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微软雅黑" w:hAnsi="微软雅黑" w:eastAsia="微软雅黑" w:cs="微软雅黑"/>
          <w:b/>
          <w:sz w:val="32"/>
          <w:szCs w:val="32"/>
          <w:u w:val="none"/>
        </w:rPr>
      </w:pPr>
      <w:r>
        <w:rPr>
          <w:rFonts w:hint="eastAsia" w:ascii="微软雅黑" w:hAnsi="微软雅黑" w:eastAsia="微软雅黑" w:cs="微软雅黑"/>
          <w:b/>
          <w:sz w:val="32"/>
          <w:szCs w:val="32"/>
          <w:u w:val="none"/>
        </w:rPr>
        <w:t>202</w:t>
      </w:r>
      <w:r>
        <w:rPr>
          <w:rFonts w:hint="eastAsia" w:ascii="微软雅黑" w:hAnsi="微软雅黑" w:eastAsia="微软雅黑" w:cs="微软雅黑"/>
          <w:b/>
          <w:sz w:val="32"/>
          <w:szCs w:val="32"/>
          <w:u w:val="none"/>
          <w:lang w:val="en-US" w:eastAsia="zh-CN"/>
        </w:rPr>
        <w:t>3</w:t>
      </w:r>
      <w:r>
        <w:rPr>
          <w:rFonts w:hint="eastAsia" w:ascii="微软雅黑" w:hAnsi="微软雅黑" w:eastAsia="微软雅黑" w:cs="微软雅黑"/>
          <w:b/>
          <w:sz w:val="32"/>
          <w:szCs w:val="32"/>
          <w:u w:val="none"/>
        </w:rPr>
        <w:t>年部门决算公开（目录）</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000000"/>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微软雅黑" w:hAnsi="微软雅黑" w:eastAsia="微软雅黑" w:cs="微软雅黑"/>
          <w:b/>
          <w:bCs/>
          <w:color w:val="000000"/>
          <w:sz w:val="24"/>
          <w:szCs w:val="24"/>
          <w:u w:val="none"/>
        </w:rPr>
      </w:pPr>
      <w:r>
        <w:rPr>
          <w:rFonts w:hint="eastAsia" w:ascii="微软雅黑" w:hAnsi="微软雅黑" w:eastAsia="微软雅黑" w:cs="微软雅黑"/>
          <w:b/>
          <w:bCs/>
          <w:color w:val="000000"/>
          <w:sz w:val="24"/>
          <w:szCs w:val="24"/>
          <w:u w:val="none"/>
        </w:rPr>
        <w:t>第一部分</w:t>
      </w:r>
      <w:r>
        <w:rPr>
          <w:rFonts w:hint="eastAsia" w:ascii="微软雅黑" w:hAnsi="微软雅黑" w:eastAsia="微软雅黑" w:cs="微软雅黑"/>
          <w:b/>
          <w:bCs/>
          <w:color w:val="000000"/>
          <w:sz w:val="24"/>
          <w:szCs w:val="24"/>
          <w:u w:val="none"/>
          <w:lang w:eastAsia="zh-CN"/>
        </w:rPr>
        <w:t>：202</w:t>
      </w:r>
      <w:r>
        <w:rPr>
          <w:rFonts w:hint="eastAsia" w:ascii="微软雅黑" w:hAnsi="微软雅黑" w:eastAsia="微软雅黑" w:cs="微软雅黑"/>
          <w:b/>
          <w:bCs/>
          <w:color w:val="000000"/>
          <w:sz w:val="24"/>
          <w:szCs w:val="24"/>
          <w:u w:val="none"/>
          <w:lang w:val="en-US" w:eastAsia="zh-CN"/>
        </w:rPr>
        <w:t>3</w:t>
      </w:r>
      <w:r>
        <w:rPr>
          <w:rFonts w:hint="eastAsia" w:ascii="微软雅黑" w:hAnsi="微软雅黑" w:eastAsia="微软雅黑" w:cs="微软雅黑"/>
          <w:b/>
          <w:bCs/>
          <w:color w:val="000000"/>
          <w:sz w:val="24"/>
          <w:szCs w:val="24"/>
          <w:u w:val="none"/>
        </w:rPr>
        <w:t>年部门决算情况说明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000000"/>
          <w:sz w:val="22"/>
          <w:szCs w:val="22"/>
          <w:u w:val="none"/>
        </w:rPr>
      </w:pPr>
      <w:r>
        <w:rPr>
          <w:rFonts w:hint="eastAsia" w:ascii="微软雅黑" w:hAnsi="微软雅黑" w:eastAsia="微软雅黑" w:cs="微软雅黑"/>
          <w:b/>
          <w:bCs/>
          <w:color w:val="000000"/>
          <w:sz w:val="22"/>
          <w:szCs w:val="22"/>
          <w:u w:val="none"/>
        </w:rPr>
        <w:t>一、部门主要职责及机构设置情况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（一）部门职责</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（二）机构设置</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2"/>
          <w:szCs w:val="22"/>
          <w:u w:val="none"/>
        </w:rPr>
      </w:pPr>
      <w:r>
        <w:rPr>
          <w:rFonts w:hint="eastAsia" w:ascii="微软雅黑" w:hAnsi="微软雅黑" w:eastAsia="微软雅黑" w:cs="微软雅黑"/>
          <w:b/>
          <w:bCs/>
          <w:color w:val="auto"/>
          <w:sz w:val="22"/>
          <w:szCs w:val="22"/>
          <w:u w:val="none"/>
        </w:rPr>
        <w:t>二、</w:t>
      </w:r>
      <w:r>
        <w:rPr>
          <w:rFonts w:hint="eastAsia" w:ascii="微软雅黑" w:hAnsi="微软雅黑" w:eastAsia="微软雅黑" w:cs="微软雅黑"/>
          <w:b/>
          <w:bCs/>
          <w:color w:val="auto"/>
          <w:sz w:val="22"/>
          <w:szCs w:val="22"/>
          <w:u w:val="none"/>
          <w:lang w:eastAsia="zh-CN"/>
        </w:rPr>
        <w:t>202</w:t>
      </w:r>
      <w:r>
        <w:rPr>
          <w:rFonts w:hint="eastAsia" w:ascii="微软雅黑" w:hAnsi="微软雅黑" w:eastAsia="微软雅黑" w:cs="微软雅黑"/>
          <w:b/>
          <w:bCs/>
          <w:color w:val="auto"/>
          <w:sz w:val="22"/>
          <w:szCs w:val="22"/>
          <w:u w:val="none"/>
          <w:lang w:val="en-US" w:eastAsia="zh-CN"/>
        </w:rPr>
        <w:t>3</w:t>
      </w:r>
      <w:r>
        <w:rPr>
          <w:rFonts w:hint="eastAsia" w:ascii="微软雅黑" w:hAnsi="微软雅黑" w:eastAsia="微软雅黑" w:cs="微软雅黑"/>
          <w:b/>
          <w:bCs/>
          <w:color w:val="auto"/>
          <w:sz w:val="22"/>
          <w:szCs w:val="22"/>
          <w:u w:val="none"/>
        </w:rPr>
        <w:t>年部门</w:t>
      </w:r>
      <w:r>
        <w:rPr>
          <w:rFonts w:hint="eastAsia" w:ascii="微软雅黑" w:hAnsi="微软雅黑" w:eastAsia="微软雅黑" w:cs="微软雅黑"/>
          <w:b/>
          <w:bCs/>
          <w:color w:val="auto"/>
          <w:sz w:val="22"/>
          <w:szCs w:val="22"/>
          <w:u w:val="none"/>
          <w:lang w:val="en-US" w:eastAsia="zh-CN"/>
        </w:rPr>
        <w:t>预</w:t>
      </w:r>
      <w:r>
        <w:rPr>
          <w:rFonts w:hint="eastAsia" w:ascii="微软雅黑" w:hAnsi="微软雅黑" w:eastAsia="微软雅黑" w:cs="微软雅黑"/>
          <w:b/>
          <w:bCs/>
          <w:color w:val="auto"/>
          <w:sz w:val="22"/>
          <w:szCs w:val="22"/>
          <w:u w:val="none"/>
        </w:rPr>
        <w:t>决算收支及增减变化情况说明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2"/>
          <w:szCs w:val="22"/>
          <w:u w:val="none"/>
        </w:rPr>
      </w:pPr>
      <w:r>
        <w:rPr>
          <w:rFonts w:hint="eastAsia" w:ascii="微软雅黑" w:hAnsi="微软雅黑" w:eastAsia="微软雅黑" w:cs="微软雅黑"/>
          <w:b/>
          <w:bCs/>
          <w:color w:val="auto"/>
          <w:sz w:val="22"/>
          <w:szCs w:val="22"/>
          <w:u w:val="none"/>
        </w:rPr>
        <w:t>三、机</w:t>
      </w:r>
      <w:r>
        <w:rPr>
          <w:rFonts w:hint="eastAsia" w:ascii="微软雅黑" w:hAnsi="微软雅黑" w:eastAsia="微软雅黑" w:cs="微软雅黑"/>
          <w:b/>
          <w:bCs/>
          <w:color w:val="auto"/>
          <w:sz w:val="22"/>
          <w:szCs w:val="22"/>
          <w:u w:val="none"/>
          <w:lang w:val="en-US" w:eastAsia="zh-CN"/>
        </w:rPr>
        <w:t>关</w:t>
      </w:r>
      <w:r>
        <w:rPr>
          <w:rFonts w:hint="eastAsia" w:ascii="微软雅黑" w:hAnsi="微软雅黑" w:eastAsia="微软雅黑" w:cs="微软雅黑"/>
          <w:b/>
          <w:bCs/>
          <w:color w:val="auto"/>
          <w:sz w:val="22"/>
          <w:szCs w:val="22"/>
          <w:u w:val="none"/>
        </w:rPr>
        <w:t>运行经费说明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kern w:val="0"/>
          <w:sz w:val="22"/>
          <w:szCs w:val="22"/>
          <w:u w:val="none"/>
        </w:rPr>
      </w:pPr>
      <w:r>
        <w:rPr>
          <w:rFonts w:hint="eastAsia" w:ascii="微软雅黑" w:hAnsi="微软雅黑" w:eastAsia="微软雅黑" w:cs="微软雅黑"/>
          <w:b/>
          <w:bCs/>
          <w:color w:val="auto"/>
          <w:sz w:val="22"/>
          <w:szCs w:val="22"/>
          <w:u w:val="none"/>
        </w:rPr>
        <w:t>四</w:t>
      </w:r>
      <w:r>
        <w:rPr>
          <w:rFonts w:hint="eastAsia" w:ascii="微软雅黑" w:hAnsi="微软雅黑" w:eastAsia="微软雅黑" w:cs="微软雅黑"/>
          <w:b/>
          <w:bCs/>
          <w:color w:val="auto"/>
          <w:sz w:val="22"/>
          <w:szCs w:val="22"/>
          <w:u w:val="none"/>
          <w:lang w:eastAsia="zh-CN"/>
        </w:rPr>
        <w:t>、</w:t>
      </w:r>
      <w:r>
        <w:rPr>
          <w:rFonts w:hint="eastAsia" w:ascii="微软雅黑" w:hAnsi="微软雅黑" w:eastAsia="微软雅黑" w:cs="微软雅黑"/>
          <w:b/>
          <w:bCs/>
          <w:color w:val="auto"/>
          <w:kern w:val="0"/>
          <w:sz w:val="22"/>
          <w:szCs w:val="22"/>
          <w:u w:val="none"/>
        </w:rPr>
        <w:t>国有资产占用情况说明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kern w:val="0"/>
          <w:sz w:val="22"/>
          <w:szCs w:val="22"/>
          <w:u w:val="none"/>
        </w:rPr>
      </w:pPr>
      <w:r>
        <w:rPr>
          <w:rFonts w:hint="eastAsia" w:ascii="微软雅黑" w:hAnsi="微软雅黑" w:eastAsia="微软雅黑" w:cs="微软雅黑"/>
          <w:b/>
          <w:bCs/>
          <w:color w:val="auto"/>
          <w:sz w:val="22"/>
          <w:szCs w:val="22"/>
          <w:u w:val="none"/>
        </w:rPr>
        <w:t>五</w:t>
      </w:r>
      <w:r>
        <w:rPr>
          <w:rFonts w:hint="eastAsia" w:ascii="微软雅黑" w:hAnsi="微软雅黑" w:eastAsia="微软雅黑" w:cs="微软雅黑"/>
          <w:b/>
          <w:bCs/>
          <w:color w:val="auto"/>
          <w:sz w:val="22"/>
          <w:szCs w:val="22"/>
          <w:u w:val="none"/>
          <w:lang w:eastAsia="zh-CN"/>
        </w:rPr>
        <w:t>、</w:t>
      </w:r>
      <w:r>
        <w:rPr>
          <w:rFonts w:hint="eastAsia" w:ascii="微软雅黑" w:hAnsi="微软雅黑" w:eastAsia="微软雅黑" w:cs="微软雅黑"/>
          <w:b/>
          <w:bCs/>
          <w:color w:val="auto"/>
          <w:kern w:val="0"/>
          <w:sz w:val="22"/>
          <w:szCs w:val="22"/>
          <w:u w:val="none"/>
        </w:rPr>
        <w:t>重点项目预算的绩效目标和绩效评价结果等情况的说明</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2"/>
          <w:szCs w:val="22"/>
          <w:u w:val="none"/>
        </w:rPr>
      </w:pPr>
      <w:r>
        <w:rPr>
          <w:rFonts w:hint="eastAsia" w:ascii="微软雅黑" w:hAnsi="微软雅黑" w:eastAsia="微软雅黑" w:cs="微软雅黑"/>
          <w:b/>
          <w:bCs/>
          <w:color w:val="auto"/>
          <w:sz w:val="22"/>
          <w:szCs w:val="22"/>
          <w:u w:val="none"/>
        </w:rPr>
        <w:t>六、专业性较强的名词进行解释</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4"/>
          <w:szCs w:val="24"/>
          <w:u w:val="none"/>
        </w:rPr>
      </w:pPr>
      <w:r>
        <w:rPr>
          <w:rFonts w:hint="eastAsia" w:ascii="微软雅黑" w:hAnsi="微软雅黑" w:eastAsia="微软雅黑" w:cs="微软雅黑"/>
          <w:b/>
          <w:bCs/>
          <w:color w:val="auto"/>
          <w:sz w:val="24"/>
          <w:szCs w:val="24"/>
          <w:u w:val="none"/>
        </w:rPr>
        <w:t>第二部分：</w:t>
      </w:r>
      <w:r>
        <w:rPr>
          <w:rFonts w:hint="eastAsia" w:ascii="微软雅黑" w:hAnsi="微软雅黑" w:eastAsia="微软雅黑" w:cs="微软雅黑"/>
          <w:b/>
          <w:bCs/>
          <w:color w:val="auto"/>
          <w:sz w:val="24"/>
          <w:szCs w:val="24"/>
          <w:u w:val="none"/>
          <w:lang w:eastAsia="zh-CN"/>
        </w:rPr>
        <w:t>2023</w:t>
      </w:r>
      <w:r>
        <w:rPr>
          <w:rFonts w:hint="eastAsia" w:ascii="微软雅黑" w:hAnsi="微软雅黑" w:eastAsia="微软雅黑" w:cs="微软雅黑"/>
          <w:b/>
          <w:bCs/>
          <w:color w:val="auto"/>
          <w:sz w:val="24"/>
          <w:szCs w:val="24"/>
          <w:u w:val="none"/>
        </w:rPr>
        <w:t>年部门决算附表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表一、</w:t>
      </w:r>
      <w:r>
        <w:rPr>
          <w:rFonts w:hint="eastAsia" w:ascii="微软雅黑" w:hAnsi="微软雅黑" w:eastAsia="微软雅黑" w:cs="微软雅黑"/>
          <w:sz w:val="22"/>
          <w:szCs w:val="22"/>
        </w:rPr>
        <w:t>部门收支总体情况表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表二、</w:t>
      </w:r>
      <w:r>
        <w:rPr>
          <w:rFonts w:hint="eastAsia" w:ascii="微软雅黑" w:hAnsi="微软雅黑" w:eastAsia="微软雅黑" w:cs="微软雅黑"/>
          <w:sz w:val="22"/>
          <w:szCs w:val="22"/>
        </w:rPr>
        <w:t>部门收入总体情况表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auto"/>
          <w:sz w:val="22"/>
          <w:szCs w:val="22"/>
          <w:u w:val="none"/>
        </w:rPr>
        <w:t>表三、</w:t>
      </w:r>
      <w:r>
        <w:rPr>
          <w:rFonts w:hint="eastAsia" w:ascii="微软雅黑" w:hAnsi="微软雅黑" w:eastAsia="微软雅黑" w:cs="微软雅黑"/>
          <w:sz w:val="22"/>
          <w:szCs w:val="22"/>
        </w:rPr>
        <w:t>部门支出总体情况表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表四、政府采购情况表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表五、政府购买服务支出情况表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表六、</w:t>
      </w:r>
      <w:r>
        <w:rPr>
          <w:rFonts w:hint="eastAsia" w:ascii="微软雅黑" w:hAnsi="微软雅黑" w:eastAsia="微软雅黑" w:cs="微软雅黑"/>
          <w:sz w:val="22"/>
          <w:szCs w:val="22"/>
        </w:rPr>
        <w:t>财政拨款收支总体情况表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auto"/>
          <w:sz w:val="22"/>
          <w:szCs w:val="22"/>
          <w:u w:val="none"/>
        </w:rPr>
        <w:t>表七、</w:t>
      </w:r>
      <w:r>
        <w:rPr>
          <w:rFonts w:hint="eastAsia" w:ascii="微软雅黑" w:hAnsi="微软雅黑" w:eastAsia="微软雅黑" w:cs="微软雅黑"/>
          <w:sz w:val="22"/>
          <w:szCs w:val="22"/>
        </w:rPr>
        <w:t>一般公共预算财政拨款支出情况表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表八、</w:t>
      </w:r>
      <w:r>
        <w:rPr>
          <w:rFonts w:hint="eastAsia" w:ascii="微软雅黑" w:hAnsi="微软雅黑" w:eastAsia="微软雅黑" w:cs="微软雅黑"/>
          <w:sz w:val="22"/>
          <w:szCs w:val="22"/>
        </w:rPr>
        <w:t>一般公共预算财政拨款基本支出情况表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表九、政府性基金预算财政拨款收支情况表</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表十、政府性基金预算财政拨款基本支出情况表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表十一、国有资本经营预算财政拨款支出决算情况表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表十二、财政拨款“三公”经费支出决算情况表</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4"/>
          <w:szCs w:val="24"/>
          <w:u w:val="none"/>
        </w:rPr>
      </w:pPr>
      <w:bookmarkStart w:id="0" w:name="_Toc2266"/>
      <w:r>
        <w:rPr>
          <w:rFonts w:hint="eastAsia" w:ascii="微软雅黑" w:hAnsi="微软雅黑" w:eastAsia="微软雅黑" w:cs="微软雅黑"/>
          <w:b/>
          <w:bCs/>
          <w:color w:val="auto"/>
          <w:sz w:val="24"/>
          <w:szCs w:val="24"/>
          <w:u w:val="none"/>
        </w:rPr>
        <w:t>第三部分</w:t>
      </w:r>
      <w:bookmarkEnd w:id="0"/>
      <w:r>
        <w:rPr>
          <w:rFonts w:hint="eastAsia" w:ascii="微软雅黑" w:hAnsi="微软雅黑" w:eastAsia="微软雅黑" w:cs="微软雅黑"/>
          <w:b/>
          <w:bCs/>
          <w:color w:val="auto"/>
          <w:sz w:val="24"/>
          <w:szCs w:val="24"/>
          <w:u w:val="none"/>
        </w:rPr>
        <w:t xml:space="preserve"> 2023年度部门绩效评价情况</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微软雅黑" w:hAnsi="微软雅黑" w:eastAsia="微软雅黑" w:cs="微软雅黑"/>
          <w:b/>
          <w:sz w:val="32"/>
          <w:szCs w:val="32"/>
          <w:u w:val="none"/>
        </w:rPr>
      </w:pPr>
      <w:r>
        <w:rPr>
          <w:rFonts w:hint="eastAsia" w:ascii="微软雅黑" w:hAnsi="微软雅黑" w:eastAsia="微软雅黑" w:cs="微软雅黑"/>
          <w:color w:val="auto"/>
          <w:sz w:val="24"/>
          <w:szCs w:val="24"/>
          <w:u w:val="none"/>
        </w:rPr>
        <w:br w:type="page"/>
      </w:r>
      <w:r>
        <w:rPr>
          <w:rFonts w:hint="eastAsia" w:ascii="微软雅黑" w:hAnsi="微软雅黑" w:eastAsia="微软雅黑" w:cs="微软雅黑"/>
          <w:b/>
          <w:sz w:val="32"/>
          <w:szCs w:val="32"/>
          <w:u w:val="none"/>
          <w:lang w:eastAsia="zh-CN"/>
        </w:rPr>
        <w:t>2023</w:t>
      </w:r>
      <w:r>
        <w:rPr>
          <w:rFonts w:hint="eastAsia" w:ascii="微软雅黑" w:hAnsi="微软雅黑" w:eastAsia="微软雅黑" w:cs="微软雅黑"/>
          <w:b/>
          <w:sz w:val="32"/>
          <w:szCs w:val="32"/>
          <w:u w:val="none"/>
        </w:rPr>
        <w:t>年部门决算编制说明</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outlineLvl w:val="0"/>
        <w:rPr>
          <w:rFonts w:hint="eastAsia" w:ascii="微软雅黑" w:hAnsi="微软雅黑" w:eastAsia="微软雅黑" w:cs="微软雅黑"/>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val="0"/>
          <w:sz w:val="24"/>
          <w:szCs w:val="24"/>
          <w:u w:val="none"/>
        </w:rPr>
      </w:pPr>
      <w:r>
        <w:rPr>
          <w:rFonts w:hint="eastAsia" w:ascii="微软雅黑" w:hAnsi="微软雅黑" w:eastAsia="微软雅黑" w:cs="微软雅黑"/>
          <w:b/>
          <w:bCs w:val="0"/>
          <w:sz w:val="24"/>
          <w:szCs w:val="24"/>
          <w:u w:val="none"/>
        </w:rPr>
        <w:t>一、部门情况</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val="0"/>
          <w:sz w:val="24"/>
          <w:szCs w:val="24"/>
          <w:u w:val="none"/>
        </w:rPr>
      </w:pPr>
      <w:r>
        <w:rPr>
          <w:rFonts w:hint="eastAsia" w:ascii="微软雅黑" w:hAnsi="微软雅黑" w:eastAsia="微软雅黑" w:cs="微软雅黑"/>
          <w:b/>
          <w:bCs w:val="0"/>
          <w:sz w:val="24"/>
          <w:szCs w:val="24"/>
          <w:u w:val="none"/>
        </w:rPr>
        <w:t>（一）部门职责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rPr>
      </w:pPr>
      <w:r>
        <w:rPr>
          <w:rFonts w:hint="eastAsia" w:ascii="微软雅黑" w:hAnsi="微软雅黑" w:eastAsia="微软雅黑" w:cs="微软雅黑"/>
          <w:sz w:val="22"/>
          <w:szCs w:val="22"/>
          <w:u w:val="none"/>
          <w:lang w:eastAsia="zh-CN"/>
        </w:rPr>
        <w:t>北京蓟城山水投资管理集团有限公司</w:t>
      </w:r>
      <w:r>
        <w:rPr>
          <w:rFonts w:hint="default" w:ascii="微软雅黑" w:hAnsi="微软雅黑" w:eastAsia="微软雅黑" w:cs="微软雅黑"/>
          <w:sz w:val="22"/>
          <w:szCs w:val="22"/>
          <w:u w:val="none"/>
          <w:lang w:eastAsia="zh-CN"/>
        </w:rPr>
        <w:t>主要承担着全区园林绿化养护和市政道路设施维护、园林市政工程建设、节日环境布置、应急抢险、重大活动服务保障任务以及上级交办的其他事项，生产经营主要分为城市运行服务管理、静态停车管理、科技、文创旅游、资产运营</w:t>
      </w:r>
      <w:r>
        <w:rPr>
          <w:rFonts w:hint="eastAsia" w:ascii="微软雅黑" w:hAnsi="微软雅黑" w:eastAsia="微软雅黑" w:cs="微软雅黑"/>
          <w:sz w:val="22"/>
          <w:szCs w:val="22"/>
          <w:u w:val="none"/>
          <w:lang w:eastAsia="zh-CN"/>
        </w:rPr>
        <w:t>、</w:t>
      </w:r>
      <w:r>
        <w:rPr>
          <w:rFonts w:hint="eastAsia" w:ascii="微软雅黑" w:hAnsi="微软雅黑" w:eastAsia="微软雅黑" w:cs="微软雅黑"/>
          <w:sz w:val="22"/>
          <w:szCs w:val="22"/>
          <w:u w:val="none"/>
          <w:lang w:val="en-US" w:eastAsia="zh-CN"/>
        </w:rPr>
        <w:t>核酸检测等六</w:t>
      </w:r>
      <w:r>
        <w:rPr>
          <w:rFonts w:hint="default" w:ascii="微软雅黑" w:hAnsi="微软雅黑" w:eastAsia="微软雅黑" w:cs="微软雅黑"/>
          <w:sz w:val="22"/>
          <w:szCs w:val="22"/>
          <w:u w:val="none"/>
          <w:lang w:eastAsia="zh-CN"/>
        </w:rPr>
        <w:t>大业务板块。</w:t>
      </w:r>
      <w:r>
        <w:rPr>
          <w:rFonts w:hint="eastAsia" w:ascii="微软雅黑" w:hAnsi="微软雅黑" w:eastAsia="微软雅黑" w:cs="微软雅黑"/>
          <w:sz w:val="22"/>
          <w:szCs w:val="22"/>
          <w:u w:val="none"/>
          <w:lang w:val="en-US" w:eastAsia="zh-CN"/>
        </w:rPr>
        <w:t>是</w:t>
      </w:r>
      <w:r>
        <w:rPr>
          <w:rFonts w:hint="eastAsia" w:ascii="微软雅黑" w:hAnsi="微软雅黑" w:eastAsia="微软雅黑" w:cs="微软雅黑"/>
          <w:sz w:val="22"/>
          <w:szCs w:val="22"/>
          <w:u w:val="none"/>
          <w:lang w:eastAsia="zh-CN"/>
        </w:rPr>
        <w:t>西城区国资委一级监管企业。</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textAlignment w:val="auto"/>
        <w:rPr>
          <w:rFonts w:hint="eastAsia" w:ascii="微软雅黑" w:hAnsi="微软雅黑" w:eastAsia="微软雅黑" w:cs="微软雅黑"/>
          <w:sz w:val="24"/>
          <w:szCs w:val="24"/>
          <w:u w:val="none"/>
          <w:lang w:eastAsia="zh-CN"/>
        </w:rPr>
      </w:pPr>
      <w:r>
        <w:rPr>
          <w:rFonts w:hint="eastAsia" w:ascii="微软雅黑" w:hAnsi="微软雅黑" w:eastAsia="微软雅黑" w:cs="微软雅黑"/>
          <w:b/>
          <w:bCs/>
          <w:sz w:val="24"/>
          <w:szCs w:val="24"/>
          <w:u w:val="none"/>
        </w:rPr>
        <w:t>主要职责</w:t>
      </w:r>
      <w:r>
        <w:rPr>
          <w:rFonts w:hint="eastAsia" w:ascii="微软雅黑" w:hAnsi="微软雅黑" w:eastAsia="微软雅黑" w:cs="微软雅黑"/>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1、承担全区园林绿化养护和市政道路、设施维护工作。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440" w:firstLineChars="200"/>
        <w:jc w:val="both"/>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2、承担区属园林市政工作项目立项、工程质量监管等工作。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0" w:firstLine="440" w:firstLineChars="200"/>
        <w:jc w:val="both"/>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3、组织实施园林市政道路应急抢险、重要节假日和重大活动花卉布置等事务性、服务性工作。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jc w:val="both"/>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4、负责部分区属公园的管理工作。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jc w:val="both"/>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5、承办区政府、区国资委上级业务指导部门交办的其他事项。</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val="0"/>
          <w:sz w:val="24"/>
          <w:szCs w:val="24"/>
          <w:u w:val="none"/>
          <w:lang w:val="en-US" w:eastAsia="zh-CN"/>
        </w:rPr>
      </w:pPr>
      <w:r>
        <w:rPr>
          <w:rFonts w:hint="eastAsia" w:ascii="微软雅黑" w:hAnsi="微软雅黑" w:eastAsia="微软雅黑" w:cs="微软雅黑"/>
          <w:b/>
          <w:bCs w:val="0"/>
          <w:sz w:val="24"/>
          <w:szCs w:val="24"/>
          <w:u w:val="none"/>
        </w:rPr>
        <w:t>（二）</w:t>
      </w:r>
      <w:r>
        <w:rPr>
          <w:rFonts w:hint="eastAsia" w:ascii="微软雅黑" w:hAnsi="微软雅黑" w:eastAsia="微软雅黑" w:cs="微软雅黑"/>
          <w:b/>
          <w:bCs w:val="0"/>
          <w:sz w:val="24"/>
          <w:szCs w:val="24"/>
          <w:u w:val="none"/>
          <w:lang w:val="en-US" w:eastAsia="zh-CN"/>
        </w:rPr>
        <w:t>机构设置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jc w:val="both"/>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val="en-US" w:eastAsia="zh-CN"/>
        </w:rPr>
        <w:t>集团公司本部设有12个部室，下属7家二级子公司（其中二级子公司西城绿化下设5家分公司），7家三级子公司、1家四级子公司。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rPr>
      </w:pPr>
      <w:r>
        <w:rPr>
          <w:rFonts w:hint="eastAsia" w:ascii="微软雅黑" w:hAnsi="微软雅黑" w:eastAsia="微软雅黑" w:cs="微软雅黑"/>
          <w:sz w:val="22"/>
          <w:szCs w:val="2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55"/>
        <w:textAlignment w:val="auto"/>
        <w:rPr>
          <w:rFonts w:hint="eastAsia" w:ascii="微软雅黑" w:hAnsi="微软雅黑" w:eastAsia="微软雅黑" w:cs="微软雅黑"/>
          <w:b w:val="0"/>
          <w:bCs/>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val="0"/>
          <w:sz w:val="24"/>
          <w:szCs w:val="24"/>
          <w:u w:val="none"/>
        </w:rPr>
      </w:pPr>
      <w:r>
        <w:rPr>
          <w:rFonts w:hint="eastAsia" w:ascii="微软雅黑" w:hAnsi="微软雅黑" w:eastAsia="微软雅黑" w:cs="微软雅黑"/>
          <w:b/>
          <w:bCs w:val="0"/>
          <w:sz w:val="24"/>
          <w:szCs w:val="24"/>
          <w:u w:val="none"/>
        </w:rPr>
        <w:t>二、</w:t>
      </w:r>
      <w:r>
        <w:rPr>
          <w:rFonts w:hint="eastAsia" w:ascii="微软雅黑" w:hAnsi="微软雅黑" w:eastAsia="微软雅黑" w:cs="微软雅黑"/>
          <w:b/>
          <w:bCs w:val="0"/>
          <w:color w:val="auto"/>
          <w:sz w:val="24"/>
          <w:szCs w:val="24"/>
          <w:u w:val="none"/>
          <w:lang w:eastAsia="zh-CN"/>
        </w:rPr>
        <w:t>2023</w:t>
      </w:r>
      <w:r>
        <w:rPr>
          <w:rFonts w:hint="eastAsia" w:ascii="微软雅黑" w:hAnsi="微软雅黑" w:eastAsia="微软雅黑" w:cs="微软雅黑"/>
          <w:b/>
          <w:bCs w:val="0"/>
          <w:color w:val="auto"/>
          <w:sz w:val="24"/>
          <w:szCs w:val="24"/>
          <w:u w:val="none"/>
        </w:rPr>
        <w:t>年部门</w:t>
      </w:r>
      <w:r>
        <w:rPr>
          <w:rFonts w:hint="eastAsia" w:ascii="微软雅黑" w:hAnsi="微软雅黑" w:eastAsia="微软雅黑" w:cs="微软雅黑"/>
          <w:b/>
          <w:bCs w:val="0"/>
          <w:color w:val="auto"/>
          <w:sz w:val="24"/>
          <w:szCs w:val="24"/>
          <w:u w:val="none"/>
          <w:lang w:val="en-US" w:eastAsia="zh-CN"/>
        </w:rPr>
        <w:t>预</w:t>
      </w:r>
      <w:r>
        <w:rPr>
          <w:rFonts w:hint="eastAsia" w:ascii="微软雅黑" w:hAnsi="微软雅黑" w:eastAsia="微软雅黑" w:cs="微软雅黑"/>
          <w:b/>
          <w:bCs w:val="0"/>
          <w:color w:val="auto"/>
          <w:sz w:val="24"/>
          <w:szCs w:val="24"/>
          <w:u w:val="none"/>
        </w:rPr>
        <w:t>决算收支及增减变化情况说明</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lang w:val="en-US" w:eastAsia="zh-CN"/>
        </w:rPr>
      </w:pPr>
      <w:r>
        <w:rPr>
          <w:rFonts w:hint="eastAsia" w:ascii="微软雅黑" w:hAnsi="微软雅黑" w:eastAsia="微软雅黑" w:cs="微软雅黑"/>
          <w:sz w:val="22"/>
          <w:szCs w:val="22"/>
          <w:u w:val="none"/>
          <w:lang w:eastAsia="zh-CN"/>
        </w:rPr>
        <w:t>2023</w:t>
      </w:r>
      <w:r>
        <w:rPr>
          <w:rFonts w:hint="eastAsia" w:ascii="微软雅黑" w:hAnsi="微软雅黑" w:eastAsia="微软雅黑" w:cs="微软雅黑"/>
          <w:sz w:val="22"/>
          <w:szCs w:val="22"/>
          <w:u w:val="none"/>
        </w:rPr>
        <w:t>年</w:t>
      </w:r>
      <w:r>
        <w:rPr>
          <w:rFonts w:hint="eastAsia" w:ascii="微软雅黑" w:hAnsi="微软雅黑" w:eastAsia="微软雅黑" w:cs="微软雅黑"/>
          <w:sz w:val="22"/>
          <w:szCs w:val="22"/>
          <w:u w:val="none"/>
          <w:lang w:val="en-US" w:eastAsia="zh-CN"/>
        </w:rPr>
        <w:t>预算收入96196.97万元，上年结转预算收入0万元，总计预算年初数为96196.97万元。</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default"/>
          <w:lang w:val="en-US" w:eastAsia="zh-CN"/>
        </w:rPr>
      </w:pPr>
      <w:r>
        <w:rPr>
          <w:rFonts w:hint="eastAsia" w:ascii="微软雅黑" w:hAnsi="微软雅黑" w:eastAsia="微软雅黑" w:cs="微软雅黑"/>
          <w:sz w:val="22"/>
          <w:szCs w:val="22"/>
          <w:u w:val="none"/>
          <w:lang w:val="en-US" w:eastAsia="zh-CN"/>
        </w:rPr>
        <w:t>2023年预算收入调整数为1486.32万元。</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color w:val="000000"/>
          <w:sz w:val="22"/>
          <w:szCs w:val="22"/>
          <w:u w:val="none"/>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微软雅黑" w:hAnsi="微软雅黑" w:eastAsia="微软雅黑" w:cs="微软雅黑"/>
          <w:sz w:val="22"/>
          <w:szCs w:val="22"/>
          <w:u w:val="none"/>
          <w:lang w:eastAsia="zh-CN"/>
        </w:rPr>
        <w:t>2023</w:t>
      </w:r>
      <w:r>
        <w:rPr>
          <w:rFonts w:hint="eastAsia" w:ascii="微软雅黑" w:hAnsi="微软雅黑" w:eastAsia="微软雅黑" w:cs="微软雅黑"/>
          <w:sz w:val="22"/>
          <w:szCs w:val="22"/>
          <w:u w:val="none"/>
        </w:rPr>
        <w:t>年决算收入</w:t>
      </w:r>
      <w:r>
        <w:rPr>
          <w:rFonts w:hint="eastAsia" w:ascii="微软雅黑" w:hAnsi="微软雅黑" w:eastAsia="微软雅黑" w:cs="微软雅黑"/>
          <w:color w:val="000000"/>
          <w:sz w:val="22"/>
          <w:szCs w:val="22"/>
          <w:u w:val="none"/>
        </w:rPr>
        <w:t>本年度实际收到的</w:t>
      </w:r>
      <w:r>
        <w:rPr>
          <w:rFonts w:hint="eastAsia" w:ascii="微软雅黑" w:hAnsi="微软雅黑" w:eastAsia="微软雅黑" w:cs="微软雅黑"/>
          <w:bCs/>
          <w:color w:val="000000"/>
          <w:sz w:val="22"/>
          <w:szCs w:val="22"/>
          <w:u w:val="none"/>
        </w:rPr>
        <w:t>一般</w:t>
      </w:r>
      <w:r>
        <w:rPr>
          <w:rFonts w:hint="eastAsia" w:ascii="微软雅黑" w:hAnsi="微软雅黑" w:eastAsia="微软雅黑" w:cs="微软雅黑"/>
          <w:color w:val="000000"/>
          <w:sz w:val="22"/>
          <w:szCs w:val="22"/>
          <w:u w:val="none"/>
        </w:rPr>
        <w:t>公共预算财政拨款收入</w:t>
      </w:r>
      <w:r>
        <w:rPr>
          <w:rFonts w:hint="eastAsia" w:ascii="微软雅黑" w:hAnsi="微软雅黑" w:eastAsia="微软雅黑" w:cs="微软雅黑"/>
          <w:color w:val="000000"/>
          <w:sz w:val="22"/>
          <w:szCs w:val="22"/>
          <w:u w:val="none"/>
          <w:lang w:val="en-US" w:eastAsia="zh-CN"/>
        </w:rPr>
        <w:t>97683.3</w:t>
      </w:r>
      <w:r>
        <w:rPr>
          <w:rFonts w:hint="eastAsia" w:ascii="微软雅黑" w:hAnsi="微软雅黑" w:eastAsia="微软雅黑" w:cs="微软雅黑"/>
          <w:color w:val="000000"/>
          <w:sz w:val="22"/>
          <w:szCs w:val="22"/>
          <w:u w:val="none"/>
        </w:rPr>
        <w:t>万元，财政部门拨款对账单</w:t>
      </w:r>
      <w:r>
        <w:rPr>
          <w:rFonts w:hint="eastAsia" w:ascii="微软雅黑" w:hAnsi="微软雅黑" w:eastAsia="微软雅黑" w:cs="微软雅黑"/>
          <w:color w:val="000000"/>
          <w:sz w:val="22"/>
          <w:szCs w:val="22"/>
          <w:u w:val="none"/>
          <w:lang w:val="en-US" w:eastAsia="zh-CN"/>
        </w:rPr>
        <w:t>97683.3</w:t>
      </w:r>
      <w:r>
        <w:rPr>
          <w:rFonts w:hint="eastAsia" w:ascii="微软雅黑" w:hAnsi="微软雅黑" w:eastAsia="微软雅黑" w:cs="微软雅黑"/>
          <w:color w:val="000000"/>
          <w:sz w:val="22"/>
          <w:szCs w:val="22"/>
          <w:u w:val="none"/>
        </w:rPr>
        <w:t>万元，</w:t>
      </w:r>
      <w:r>
        <w:rPr>
          <w:rFonts w:hint="eastAsia" w:ascii="微软雅黑" w:hAnsi="微软雅黑" w:eastAsia="微软雅黑" w:cs="微软雅黑"/>
          <w:color w:val="000000"/>
          <w:sz w:val="22"/>
          <w:szCs w:val="22"/>
          <w:u w:val="none"/>
          <w:lang w:val="en-US" w:eastAsia="zh-CN"/>
        </w:rPr>
        <w:t>未出现差异。</w:t>
      </w:r>
    </w:p>
    <w:p>
      <w:pPr>
        <w:keepNext w:val="0"/>
        <w:keepLines w:val="0"/>
        <w:pageBreakBefore w:val="0"/>
        <w:widowControl w:val="0"/>
        <w:kinsoku/>
        <w:wordWrap/>
        <w:overflowPunct/>
        <w:topLinePunct w:val="0"/>
        <w:autoSpaceDE/>
        <w:autoSpaceDN/>
        <w:bidi w:val="0"/>
        <w:adjustRightInd w:val="0"/>
        <w:snapToGrid w:val="0"/>
        <w:spacing w:after="157" w:afterLines="50" w:line="500" w:lineRule="exact"/>
        <w:ind w:firstLine="0"/>
        <w:textAlignment w:val="auto"/>
        <w:rPr>
          <w:rFonts w:hint="eastAsia" w:ascii="微软雅黑" w:hAnsi="微软雅黑" w:eastAsia="微软雅黑" w:cs="微软雅黑"/>
          <w:color w:val="000000"/>
          <w:sz w:val="22"/>
          <w:szCs w:val="22"/>
          <w:u w:val="none"/>
          <w:lang w:val="en-US" w:eastAsia="zh-CN"/>
        </w:rPr>
      </w:pPr>
      <w:r>
        <w:rPr>
          <w:rFonts w:hint="eastAsia" w:ascii="微软雅黑" w:hAnsi="微软雅黑" w:eastAsia="微软雅黑" w:cs="微软雅黑"/>
          <w:b/>
          <w:bCs/>
          <w:color w:val="000000"/>
          <w:sz w:val="22"/>
          <w:szCs w:val="22"/>
          <w:u w:val="none"/>
          <w:lang w:val="en-US" w:eastAsia="zh-CN"/>
        </w:rPr>
        <w:t>增减变化如下表所示</w:t>
      </w:r>
      <w:r>
        <w:rPr>
          <w:rFonts w:hint="eastAsia" w:ascii="微软雅黑" w:hAnsi="微软雅黑" w:eastAsia="微软雅黑" w:cs="微软雅黑"/>
          <w:color w:val="000000"/>
          <w:sz w:val="22"/>
          <w:szCs w:val="22"/>
          <w:u w:val="none"/>
          <w:lang w:val="en-US" w:eastAsia="zh-CN"/>
        </w:rPr>
        <w:t>：</w:t>
      </w:r>
    </w:p>
    <w:tbl>
      <w:tblPr>
        <w:tblStyle w:val="7"/>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37"/>
        <w:gridCol w:w="2061"/>
        <w:gridCol w:w="4493"/>
        <w:gridCol w:w="1105"/>
        <w:gridCol w:w="1023"/>
        <w:gridCol w:w="1050"/>
        <w:gridCol w:w="1077"/>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5" w:hRule="atLeast"/>
        </w:trPr>
        <w:tc>
          <w:tcPr>
            <w:tcW w:w="13988" w:type="dxa"/>
            <w:gridSpan w:val="8"/>
            <w:vMerge w:val="restart"/>
            <w:tcBorders>
              <w:top w:val="nil"/>
              <w:left w:val="single" w:color="FFFFFF"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                               收入预决算对比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3988" w:type="dxa"/>
            <w:gridSpan w:val="8"/>
            <w:vMerge w:val="continue"/>
            <w:tcBorders>
              <w:top w:val="nil"/>
              <w:left w:val="single" w:color="FFFFFF"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13988" w:type="dxa"/>
            <w:gridSpan w:val="8"/>
            <w:vMerge w:val="continue"/>
            <w:tcBorders>
              <w:top w:val="nil"/>
              <w:left w:val="single" w:color="FFFFFF"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功能分类代码</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功能分类名称</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差异</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差异率</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差异原因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德胜门对景仿古建筑建设项目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6255.00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-2555.00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-40.85%</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2022年交通疏堵工程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235.91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90.91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天宁寺桥桥下空间更新改造项目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654.12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1568.51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914.38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万寿西宫国控空气质量自动监测子站升级改造项目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153.53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153.53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2022年掘路修复工程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471.07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369.19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-101.87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-21.63%</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2021年市政排水管线改造工程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963.95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667.44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西城区支路胡同干式消防管线建设工程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1145.35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190.67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-954.68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-83.35%</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京财预指【2022】1855号德胜对景改造提升项目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2937.60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2505.80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-431.80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地铁16号线地上物拆迁及临时占地补偿</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2021年交通疏堵工程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41.55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26.68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-14.87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-35.79%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2024年交通疏堵工程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西城区受壁街（西二环路~赵登禹路）市政道路及地下停车场建设</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2023年体育设施维护项目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274.67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252.90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-21.77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2022年应急抢险工作经费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349.52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318.76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-30.76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2023年应急抢险养护工作经费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2021年应急抢险工作经费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329.92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329.92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西城区南新华街环境整治景观提升项目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64.92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-157.08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-70.76%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地铁19号线牛街站一体化设计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24.91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-82.29%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金融街地下交通房屋和电气设备、设施维修更换工程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78.92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官园国控空气质量自动监测子站升级改造项目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130.30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2019年西城区交通环境治理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220.54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220.54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2020年西城区交通环境治理</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606.78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606.78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2023年交通疏堵工程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269.11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119.11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79.41%</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西二环十七米绿地景观提升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54.90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151.09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96.19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175.20%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玫瑰公园全龄友好公园改造工程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什刹海后海绿道景观提升工程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1541.45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1541.45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西城区道路林荫计划（2022年度）</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399.50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1134.11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734.61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183.88%</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新兴盛游园建设项目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西城区2023年空间立体绿化工程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67.50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206.26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138.76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205.57%</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2022年节日景观布置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867.35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782.97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-84.38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-9.73%</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西单文化广场景观提升工程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1646.20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1292.49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-353.71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平安大街环境品质提升</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4307.85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4307.85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西城区2022年小微绿地建设工程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25.91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61.41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137.04%</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柳荫街周边区域环境整治提升项目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4168.00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金科新区核心区综合整治提升工程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1517.38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64.39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-1452.98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-95.76%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前英子胡同游园建设项目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德胜国际中心游园绿地建设项目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2019年道路大中修工程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39.12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西城区道路林荫计划</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2085.96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1841.72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-244.24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2021年大气污染防治园林市政精细化整治项目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199.98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199.98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西城区2021年空间立体绿化工程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54.03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2021年金融街论坛年会景观布置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380.45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330.75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2023年节日景观布置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3872.17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-127.83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西城区2023年小微绿地建设工程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-16.64%</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国家应急指挥总部建设项目代征绿地建设项目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38.75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四环游园建设项目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西直门游园绿地建设项目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2022年冬奥冬残奥赛会期间西城区景观布置项目(新增点位)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93.13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93.13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南中轴路（珠市口大街-永安路）道路建设二期工程树木移伐及围墙拆除项目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160.09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124.93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-35.16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西二环（西便门-西直门）37栋楼景观照明设施改造提升工程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37.40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2022年度西城区屋顶绿化建设项目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万宁桥周边环境整治</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135.51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295.51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118.07%</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北京移动通信有限责任公司工程建设中心综合楼项目代征绿地建设项目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前三门大街南侧23栋楼景观照明设施改造提升工程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211.70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236.89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25.18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受壁街口袋公园建设项目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2021年道路大中修工程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1491.88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1132.30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-359.58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三里河路游园建设项目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2022年道路大中修工程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2709.46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1129.46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71.49%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露园小区游园建设项目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2022年冬奥冬残奥赛会期间西城区景观布置项目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1015.41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1015.41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2022年金融街论坛环境布置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110.23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110.23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2021年清河农场基础设施改善工程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132.42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132.42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2020年清河农场基础设施改善工程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101.62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101.62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2023年支路胡同干式消防日常维护</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2023年区建交通附属设施日常养护</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2023年清河农场基础设施改善工程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西城区2017年城市森林建设工程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1388.70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1537.13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148.42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10.69%</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2023年园林市政养护项目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44238.04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42850.81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-1387.22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2022年清河农场基础设施改善工程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133.18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-96.82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2023年园艺文化推广活动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375.75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375.75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金融街地区品质提升项目（智能科技类）养护经费</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质保金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242.76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217.96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-24.80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-10.22%</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园林废弃物循环利用</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1284.86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1284.86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吕祖阁游园绿地建设项目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2021年西城区景观照明恢复工程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186.36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186.36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2024年道路大中修工程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2023年道路大中修工程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3180.00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二环路辅路慢行系统改造提升项目（2020年-2021年）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2314.78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2179.18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-135.60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2022年慢行系统改造工程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844.20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323.20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62.03%</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2021年慢行系统改造工程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426.76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284.37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-142.39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-33.37%</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2023年慢行系统改造工程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531.00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1013.54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482.54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90.87%</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2024年慢行系统改造工程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京财资环指【2022】2232号翠芳园全龄友好公园改造工程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468.03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343.29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-124.74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京财资环指【2021】1943号玫瑰公园全龄友好公园改造</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259.65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259.65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京财资环指【2021】1943号南礼士路公园全龄友好公园改造</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144.02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119.29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-24.73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-17.17%</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官园公园全龄友好公园改造工程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210.09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210.09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白云公园全龄友好公园改造工程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504.45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504.45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其他林业和草原支出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重点纪念林养护补助</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2120598</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城市环境治理支出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京财公用指【2022】2324号西城区平安大街环境品质提升项目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514.96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514.96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其他城乡社区公共设施支出</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京财经建指【2022】2000号西城区南新华街环境整治景观提升项目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2130205</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森林资源培育</w:t>
            </w:r>
          </w:p>
        </w:tc>
        <w:tc>
          <w:tcPr>
            <w:tcW w:w="4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京财资环指【2022】2232号长椿苑全龄友好公园改造工程</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941.05 </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-941.05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实际执行与预算差，差额调减</w:t>
            </w:r>
          </w:p>
        </w:tc>
      </w:tr>
    </w:tbl>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000000"/>
          <w:sz w:val="24"/>
          <w:szCs w:val="24"/>
          <w:u w:val="none"/>
          <w:lang w:val="en-US" w:eastAsia="zh-CN"/>
        </w:rPr>
        <w:sectPr>
          <w:pgSz w:w="16838" w:h="11906" w:orient="landscape"/>
          <w:pgMar w:top="1800" w:right="1440" w:bottom="1800" w:left="144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4"/>
          <w:szCs w:val="24"/>
          <w:u w:val="none"/>
        </w:rPr>
      </w:pPr>
      <w:r>
        <w:rPr>
          <w:rFonts w:hint="eastAsia" w:ascii="微软雅黑" w:hAnsi="微软雅黑" w:eastAsia="微软雅黑" w:cs="微软雅黑"/>
          <w:b/>
          <w:bCs/>
          <w:color w:val="auto"/>
          <w:kern w:val="2"/>
          <w:sz w:val="24"/>
          <w:szCs w:val="24"/>
          <w:lang w:val="en-US" w:eastAsia="zh-CN" w:bidi="ar-SA"/>
        </w:rPr>
        <w:t>三、</w:t>
      </w:r>
      <w:r>
        <w:rPr>
          <w:rFonts w:hint="eastAsia" w:ascii="微软雅黑" w:hAnsi="微软雅黑" w:eastAsia="微软雅黑" w:cs="微软雅黑"/>
          <w:b/>
          <w:bCs/>
          <w:color w:val="auto"/>
          <w:sz w:val="24"/>
          <w:szCs w:val="24"/>
          <w:u w:val="none"/>
        </w:rPr>
        <w:t>机</w:t>
      </w:r>
      <w:r>
        <w:rPr>
          <w:rFonts w:hint="eastAsia" w:ascii="微软雅黑" w:hAnsi="微软雅黑" w:eastAsia="微软雅黑" w:cs="微软雅黑"/>
          <w:b/>
          <w:bCs/>
          <w:color w:val="auto"/>
          <w:sz w:val="24"/>
          <w:szCs w:val="24"/>
          <w:u w:val="none"/>
          <w:lang w:val="en-US" w:eastAsia="zh-CN"/>
        </w:rPr>
        <w:t>关</w:t>
      </w:r>
      <w:r>
        <w:rPr>
          <w:rFonts w:hint="eastAsia" w:ascii="微软雅黑" w:hAnsi="微软雅黑" w:eastAsia="微软雅黑" w:cs="微软雅黑"/>
          <w:b/>
          <w:bCs/>
          <w:color w:val="auto"/>
          <w:sz w:val="24"/>
          <w:szCs w:val="24"/>
          <w:u w:val="none"/>
        </w:rPr>
        <w:t>运行经费说明</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highlight w:val="none"/>
          <w:u w:val="none"/>
          <w:lang w:val="en-US" w:eastAsia="zh-CN"/>
        </w:rPr>
      </w:pPr>
      <w:r>
        <w:rPr>
          <w:rFonts w:hint="eastAsia" w:ascii="微软雅黑" w:hAnsi="微软雅黑" w:eastAsia="微软雅黑" w:cs="微软雅黑"/>
          <w:sz w:val="22"/>
          <w:szCs w:val="22"/>
          <w:highlight w:val="none"/>
          <w:u w:val="none"/>
          <w:lang w:val="en-US" w:eastAsia="zh-CN"/>
        </w:rPr>
        <w:t>无此项支出。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auto"/>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val="0"/>
          <w:color w:val="auto"/>
          <w:kern w:val="0"/>
          <w:sz w:val="24"/>
          <w:szCs w:val="24"/>
          <w:u w:val="none"/>
        </w:rPr>
      </w:pPr>
      <w:r>
        <w:rPr>
          <w:rFonts w:hint="eastAsia" w:ascii="微软雅黑" w:hAnsi="微软雅黑" w:eastAsia="微软雅黑" w:cs="微软雅黑"/>
          <w:b/>
          <w:bCs w:val="0"/>
          <w:color w:val="auto"/>
          <w:kern w:val="0"/>
          <w:sz w:val="24"/>
          <w:szCs w:val="24"/>
          <w:lang w:val="en-US" w:eastAsia="zh-CN" w:bidi="ar-SA"/>
        </w:rPr>
        <w:t>四、</w:t>
      </w:r>
      <w:r>
        <w:rPr>
          <w:rFonts w:hint="eastAsia" w:ascii="微软雅黑" w:hAnsi="微软雅黑" w:eastAsia="微软雅黑" w:cs="微软雅黑"/>
          <w:b/>
          <w:bCs w:val="0"/>
          <w:color w:val="auto"/>
          <w:kern w:val="0"/>
          <w:sz w:val="24"/>
          <w:szCs w:val="24"/>
          <w:u w:val="none"/>
        </w:rPr>
        <w:t>国有资产占用情况说明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000000"/>
          <w:sz w:val="22"/>
          <w:szCs w:val="22"/>
          <w:u w:val="none"/>
        </w:rPr>
        <w:t>截止</w:t>
      </w:r>
      <w:r>
        <w:rPr>
          <w:rFonts w:hint="eastAsia" w:ascii="微软雅黑" w:hAnsi="微软雅黑" w:eastAsia="微软雅黑" w:cs="微软雅黑"/>
          <w:color w:val="000000"/>
          <w:sz w:val="22"/>
          <w:szCs w:val="22"/>
          <w:u w:val="none"/>
          <w:lang w:eastAsia="zh-CN"/>
        </w:rPr>
        <w:t>2023</w:t>
      </w:r>
      <w:r>
        <w:rPr>
          <w:rFonts w:hint="eastAsia" w:ascii="微软雅黑" w:hAnsi="微软雅黑" w:eastAsia="微软雅黑" w:cs="微软雅黑"/>
          <w:color w:val="000000"/>
          <w:sz w:val="22"/>
          <w:szCs w:val="22"/>
          <w:u w:val="none"/>
        </w:rPr>
        <w:t>年底，本部门固定资产总额</w:t>
      </w:r>
      <w:r>
        <w:rPr>
          <w:rFonts w:hint="eastAsia" w:ascii="微软雅黑" w:hAnsi="微软雅黑" w:eastAsia="微软雅黑" w:cs="微软雅黑"/>
          <w:color w:val="000000"/>
          <w:sz w:val="22"/>
          <w:szCs w:val="22"/>
          <w:u w:val="none"/>
          <w:lang w:val="en-US" w:eastAsia="zh-CN"/>
        </w:rPr>
        <w:t>0</w:t>
      </w:r>
      <w:r>
        <w:rPr>
          <w:rFonts w:hint="eastAsia" w:ascii="微软雅黑" w:hAnsi="微软雅黑" w:eastAsia="微软雅黑" w:cs="微软雅黑"/>
          <w:color w:val="000000"/>
          <w:sz w:val="22"/>
          <w:szCs w:val="22"/>
          <w:u w:val="none"/>
        </w:rPr>
        <w:t>万元，其中：车辆</w:t>
      </w:r>
      <w:r>
        <w:rPr>
          <w:rFonts w:hint="eastAsia" w:ascii="微软雅黑" w:hAnsi="微软雅黑" w:eastAsia="微软雅黑" w:cs="微软雅黑"/>
          <w:color w:val="000000"/>
          <w:sz w:val="22"/>
          <w:szCs w:val="22"/>
          <w:u w:val="none"/>
          <w:lang w:val="en-US" w:eastAsia="zh-CN"/>
        </w:rPr>
        <w:t>0</w:t>
      </w:r>
      <w:r>
        <w:rPr>
          <w:rFonts w:hint="eastAsia" w:ascii="微软雅黑" w:hAnsi="微软雅黑" w:eastAsia="微软雅黑" w:cs="微软雅黑"/>
          <w:color w:val="000000"/>
          <w:sz w:val="22"/>
          <w:szCs w:val="22"/>
          <w:u w:val="none"/>
        </w:rPr>
        <w:t>台，</w:t>
      </w:r>
      <w:r>
        <w:rPr>
          <w:rFonts w:hint="eastAsia" w:ascii="微软雅黑" w:hAnsi="微软雅黑" w:eastAsia="微软雅黑" w:cs="微软雅黑"/>
          <w:color w:val="000000"/>
          <w:sz w:val="22"/>
          <w:szCs w:val="22"/>
          <w:u w:val="none"/>
          <w:lang w:val="en-US" w:eastAsia="zh-CN"/>
        </w:rPr>
        <w:t>0</w:t>
      </w:r>
      <w:r>
        <w:rPr>
          <w:rFonts w:hint="eastAsia" w:ascii="微软雅黑" w:hAnsi="微软雅黑" w:eastAsia="微软雅黑" w:cs="微软雅黑"/>
          <w:color w:val="000000"/>
          <w:sz w:val="22"/>
          <w:szCs w:val="22"/>
          <w:u w:val="none"/>
        </w:rPr>
        <w:t>万元；单位价值50万元以上的通用设备</w:t>
      </w:r>
      <w:r>
        <w:rPr>
          <w:rFonts w:hint="eastAsia" w:ascii="微软雅黑" w:hAnsi="微软雅黑" w:eastAsia="微软雅黑" w:cs="微软雅黑"/>
          <w:color w:val="000000"/>
          <w:sz w:val="22"/>
          <w:szCs w:val="22"/>
          <w:u w:val="none"/>
          <w:lang w:val="en-US" w:eastAsia="zh-CN"/>
        </w:rPr>
        <w:t>0</w:t>
      </w:r>
      <w:r>
        <w:rPr>
          <w:rFonts w:hint="eastAsia" w:ascii="微软雅黑" w:hAnsi="微软雅黑" w:eastAsia="微软雅黑" w:cs="微软雅黑"/>
          <w:color w:val="000000"/>
          <w:sz w:val="22"/>
          <w:szCs w:val="22"/>
          <w:u w:val="none"/>
        </w:rPr>
        <w:t>台（套）、</w:t>
      </w:r>
      <w:r>
        <w:rPr>
          <w:rFonts w:hint="eastAsia" w:ascii="微软雅黑" w:hAnsi="微软雅黑" w:eastAsia="微软雅黑" w:cs="微软雅黑"/>
          <w:color w:val="000000"/>
          <w:sz w:val="22"/>
          <w:szCs w:val="22"/>
          <w:u w:val="none"/>
          <w:lang w:val="en-US" w:eastAsia="zh-CN"/>
        </w:rPr>
        <w:t>0</w:t>
      </w:r>
      <w:r>
        <w:rPr>
          <w:rFonts w:hint="eastAsia" w:ascii="微软雅黑" w:hAnsi="微软雅黑" w:eastAsia="微软雅黑" w:cs="微软雅黑"/>
          <w:color w:val="000000"/>
          <w:sz w:val="22"/>
          <w:szCs w:val="22"/>
          <w:u w:val="none"/>
        </w:rPr>
        <w:t>万元，单位价值100万元以上的专用设备0台（套）、0万元。</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color w:val="auto"/>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540" w:lineRule="exact"/>
        <w:textAlignment w:val="auto"/>
        <w:rPr>
          <w:rFonts w:hint="eastAsia" w:ascii="微软雅黑" w:hAnsi="微软雅黑" w:eastAsia="微软雅黑" w:cs="微软雅黑"/>
          <w:b/>
          <w:bCs w:val="0"/>
          <w:color w:val="auto"/>
          <w:kern w:val="0"/>
          <w:sz w:val="24"/>
          <w:szCs w:val="24"/>
          <w:u w:val="none"/>
        </w:rPr>
      </w:pPr>
      <w:r>
        <w:rPr>
          <w:rFonts w:hint="eastAsia" w:ascii="微软雅黑" w:hAnsi="微软雅黑" w:eastAsia="微软雅黑" w:cs="微软雅黑"/>
          <w:b/>
          <w:bCs w:val="0"/>
          <w:color w:val="auto"/>
          <w:kern w:val="0"/>
          <w:sz w:val="24"/>
          <w:szCs w:val="24"/>
          <w:lang w:val="en-US" w:eastAsia="zh-CN" w:bidi="ar-SA"/>
        </w:rPr>
        <w:t>五、</w:t>
      </w:r>
      <w:r>
        <w:rPr>
          <w:rFonts w:hint="eastAsia" w:ascii="微软雅黑" w:hAnsi="微软雅黑" w:eastAsia="微软雅黑" w:cs="微软雅黑"/>
          <w:b/>
          <w:bCs w:val="0"/>
          <w:color w:val="auto"/>
          <w:kern w:val="0"/>
          <w:sz w:val="24"/>
          <w:szCs w:val="24"/>
          <w:u w:val="none"/>
        </w:rPr>
        <w:t>重点项目预算的绩效目标和绩效评价结果等情况的说明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color w:val="000000"/>
          <w:sz w:val="22"/>
          <w:szCs w:val="22"/>
          <w:u w:val="none"/>
          <w:lang w:eastAsia="zh-CN"/>
        </w:rPr>
      </w:pPr>
      <w:r>
        <w:rPr>
          <w:rFonts w:hint="eastAsia" w:ascii="微软雅黑" w:hAnsi="微软雅黑" w:eastAsia="微软雅黑" w:cs="微软雅黑"/>
          <w:color w:val="000000"/>
          <w:sz w:val="22"/>
          <w:szCs w:val="22"/>
          <w:u w:val="none"/>
        </w:rPr>
        <w:t>无此项支出</w:t>
      </w:r>
      <w:r>
        <w:rPr>
          <w:rFonts w:hint="eastAsia" w:ascii="微软雅黑" w:hAnsi="微软雅黑" w:eastAsia="微软雅黑" w:cs="微软雅黑"/>
          <w:color w:val="000000"/>
          <w:sz w:val="22"/>
          <w:szCs w:val="2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4"/>
          <w:szCs w:val="24"/>
          <w:u w:val="none"/>
        </w:rPr>
      </w:pPr>
      <w:r>
        <w:rPr>
          <w:rFonts w:hint="eastAsia" w:ascii="微软雅黑" w:hAnsi="微软雅黑" w:eastAsia="微软雅黑" w:cs="微软雅黑"/>
          <w:b/>
          <w:bCs/>
          <w:color w:val="auto"/>
          <w:sz w:val="24"/>
          <w:szCs w:val="24"/>
          <w:u w:val="none"/>
        </w:rPr>
        <w:t>六、专业性较强的名词进行解释</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rPr>
      </w:pPr>
      <w:r>
        <w:rPr>
          <w:rFonts w:hint="eastAsia" w:ascii="微软雅黑" w:hAnsi="微软雅黑" w:eastAsia="微软雅黑" w:cs="微软雅黑"/>
          <w:sz w:val="22"/>
          <w:szCs w:val="22"/>
          <w:u w:val="none"/>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微软雅黑" w:hAnsi="微软雅黑" w:eastAsia="微软雅黑" w:cs="微软雅黑"/>
          <w:b/>
          <w:sz w:val="32"/>
          <w:szCs w:val="32"/>
          <w:u w:val="none"/>
          <w:lang w:eastAsia="zh-CN"/>
        </w:rPr>
      </w:pPr>
      <w:r>
        <w:rPr>
          <w:rFonts w:hint="eastAsia" w:ascii="微软雅黑" w:hAnsi="微软雅黑" w:eastAsia="微软雅黑" w:cs="微软雅黑"/>
          <w:sz w:val="22"/>
          <w:szCs w:val="22"/>
          <w:u w:val="none"/>
        </w:rPr>
        <w:br w:type="page"/>
      </w:r>
      <w:r>
        <w:rPr>
          <w:rFonts w:hint="eastAsia" w:ascii="微软雅黑" w:hAnsi="微软雅黑" w:eastAsia="微软雅黑" w:cs="微软雅黑"/>
          <w:b/>
          <w:sz w:val="32"/>
          <w:szCs w:val="32"/>
          <w:u w:val="none"/>
          <w:lang w:val="en-US" w:eastAsia="zh-CN"/>
        </w:rPr>
        <w:t>2023</w:t>
      </w:r>
      <w:r>
        <w:rPr>
          <w:rFonts w:hint="eastAsia" w:ascii="微软雅黑" w:hAnsi="微软雅黑" w:eastAsia="微软雅黑" w:cs="微软雅黑"/>
          <w:b/>
          <w:sz w:val="32"/>
          <w:szCs w:val="32"/>
          <w:u w:val="none"/>
          <w:lang w:eastAsia="zh-CN"/>
        </w:rPr>
        <w:t>年部门决算附表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表一、</w:t>
      </w:r>
      <w:r>
        <w:rPr>
          <w:rFonts w:hint="eastAsia" w:ascii="微软雅黑" w:hAnsi="微软雅黑" w:eastAsia="微软雅黑" w:cs="微软雅黑"/>
          <w:sz w:val="22"/>
          <w:szCs w:val="22"/>
        </w:rPr>
        <w:t>部门收支总体情况表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表二、</w:t>
      </w:r>
      <w:r>
        <w:rPr>
          <w:rFonts w:hint="eastAsia" w:ascii="微软雅黑" w:hAnsi="微软雅黑" w:eastAsia="微软雅黑" w:cs="微软雅黑"/>
          <w:sz w:val="22"/>
          <w:szCs w:val="22"/>
        </w:rPr>
        <w:t>部门收入总体情况表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auto"/>
          <w:sz w:val="22"/>
          <w:szCs w:val="22"/>
          <w:u w:val="none"/>
        </w:rPr>
        <w:t>表三、</w:t>
      </w:r>
      <w:r>
        <w:rPr>
          <w:rFonts w:hint="eastAsia" w:ascii="微软雅黑" w:hAnsi="微软雅黑" w:eastAsia="微软雅黑" w:cs="微软雅黑"/>
          <w:sz w:val="22"/>
          <w:szCs w:val="22"/>
        </w:rPr>
        <w:t>部门支出总体情况表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表四、政府采购情况表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表五、政府购买服务支出情况表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表六、</w:t>
      </w:r>
      <w:r>
        <w:rPr>
          <w:rFonts w:hint="eastAsia" w:ascii="微软雅黑" w:hAnsi="微软雅黑" w:eastAsia="微软雅黑" w:cs="微软雅黑"/>
          <w:sz w:val="22"/>
          <w:szCs w:val="22"/>
        </w:rPr>
        <w:t>财政拨款收支总体情况表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color w:val="auto"/>
          <w:sz w:val="22"/>
          <w:szCs w:val="22"/>
          <w:u w:val="none"/>
        </w:rPr>
        <w:t>表七、</w:t>
      </w:r>
      <w:r>
        <w:rPr>
          <w:rFonts w:hint="eastAsia" w:ascii="微软雅黑" w:hAnsi="微软雅黑" w:eastAsia="微软雅黑" w:cs="微软雅黑"/>
          <w:sz w:val="22"/>
          <w:szCs w:val="22"/>
        </w:rPr>
        <w:t>一般公共预算财政拨款支出情况表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表八、</w:t>
      </w:r>
      <w:r>
        <w:rPr>
          <w:rFonts w:hint="eastAsia" w:ascii="微软雅黑" w:hAnsi="微软雅黑" w:eastAsia="微软雅黑" w:cs="微软雅黑"/>
          <w:sz w:val="22"/>
          <w:szCs w:val="22"/>
        </w:rPr>
        <w:t>一般公共预算财政拨款基本支出情况表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表九、政府性基金预算财政拨款收支情况表</w:t>
      </w:r>
    </w:p>
    <w:p>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表十、政府性基金预算财政拨款基本支出情况表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表十一、国有资本经营预算财政拨款支出决算情况表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2"/>
          <w:szCs w:val="22"/>
          <w:u w:val="none"/>
        </w:rPr>
      </w:pPr>
      <w:r>
        <w:rPr>
          <w:rFonts w:hint="eastAsia" w:ascii="微软雅黑" w:hAnsi="微软雅黑" w:eastAsia="微软雅黑" w:cs="微软雅黑"/>
          <w:color w:val="auto"/>
          <w:sz w:val="22"/>
          <w:szCs w:val="22"/>
          <w:u w:val="none"/>
        </w:rPr>
        <w:t>表十二、财政拨款“三公”经费支出决算情况表</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4"/>
          <w:szCs w:val="24"/>
          <w:u w:val="none"/>
        </w:rPr>
      </w:pP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u w:val="none"/>
          <w:lang w:val="en-US" w:eastAsia="zh-CN"/>
        </w:rPr>
        <w:t>以上表格请见附件《北京蓟城山水投资管理集团有限公司-2023年部门决算表》内的详细说明。</w:t>
      </w:r>
    </w:p>
    <w:p>
      <w:pPr>
        <w:pStyle w:val="4"/>
        <w:rPr>
          <w:rFonts w:hint="eastAsia" w:ascii="微软雅黑" w:hAnsi="微软雅黑" w:eastAsia="微软雅黑" w:cs="微软雅黑"/>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color w:val="auto"/>
          <w:sz w:val="24"/>
          <w:szCs w:val="24"/>
          <w:u w:val="none"/>
        </w:rPr>
      </w:pPr>
      <w:r>
        <w:rPr>
          <w:rFonts w:hint="eastAsia" w:ascii="微软雅黑" w:hAnsi="微软雅黑" w:eastAsia="微软雅黑" w:cs="微软雅黑"/>
          <w:b/>
          <w:bCs/>
          <w:color w:val="auto"/>
          <w:sz w:val="24"/>
          <w:szCs w:val="24"/>
          <w:u w:val="none"/>
        </w:rPr>
        <w:t>第三部分 2023年度部门绩效评价情况</w:t>
      </w:r>
    </w:p>
    <w:p>
      <w:pPr>
        <w:keepNext w:val="0"/>
        <w:keepLines w:val="0"/>
        <w:pageBreakBefore w:val="0"/>
        <w:widowControl w:val="0"/>
        <w:kinsoku/>
        <w:wordWrap/>
        <w:overflowPunct/>
        <w:topLinePunct w:val="0"/>
        <w:autoSpaceDE/>
        <w:autoSpaceDN/>
        <w:bidi w:val="0"/>
        <w:adjustRightInd w:val="0"/>
        <w:snapToGrid w:val="0"/>
        <w:spacing w:line="540" w:lineRule="exact"/>
        <w:ind w:firstLine="440" w:firstLineChars="200"/>
        <w:textAlignment w:val="auto"/>
        <w:rPr>
          <w:rFonts w:hint="eastAsia" w:ascii="微软雅黑" w:hAnsi="微软雅黑" w:eastAsia="微软雅黑" w:cs="微软雅黑"/>
          <w:sz w:val="22"/>
          <w:szCs w:val="22"/>
          <w:u w:val="none"/>
        </w:rPr>
      </w:pPr>
      <w:r>
        <w:rPr>
          <w:rFonts w:hint="eastAsia" w:ascii="微软雅黑" w:hAnsi="微软雅黑" w:eastAsia="微软雅黑" w:cs="微软雅黑"/>
          <w:sz w:val="22"/>
          <w:szCs w:val="22"/>
          <w:u w:val="none"/>
        </w:rPr>
        <w:t>2023年，</w:t>
      </w:r>
      <w:r>
        <w:rPr>
          <w:rFonts w:hint="eastAsia" w:ascii="微软雅黑" w:hAnsi="微软雅黑" w:eastAsia="微软雅黑" w:cs="微软雅黑"/>
          <w:sz w:val="22"/>
          <w:szCs w:val="22"/>
          <w:u w:val="none"/>
          <w:lang w:val="en-US" w:eastAsia="zh-CN"/>
        </w:rPr>
        <w:t>北京蓟城山水投资管理集团有限公司</w:t>
      </w:r>
      <w:r>
        <w:rPr>
          <w:rFonts w:hint="eastAsia" w:ascii="微软雅黑" w:hAnsi="微软雅黑" w:eastAsia="微软雅黑" w:cs="微软雅黑"/>
          <w:sz w:val="22"/>
          <w:szCs w:val="22"/>
          <w:u w:val="none"/>
        </w:rPr>
        <w:t>对2023年度部门项目支出实施绩效评价，评价项目</w:t>
      </w:r>
      <w:r>
        <w:rPr>
          <w:rFonts w:hint="eastAsia" w:ascii="微软雅黑" w:hAnsi="微软雅黑" w:eastAsia="微软雅黑" w:cs="微软雅黑"/>
          <w:sz w:val="22"/>
          <w:szCs w:val="22"/>
          <w:u w:val="none"/>
          <w:lang w:val="en-US" w:eastAsia="zh-CN"/>
        </w:rPr>
        <w:t>3</w:t>
      </w:r>
      <w:r>
        <w:rPr>
          <w:rFonts w:hint="eastAsia" w:ascii="微软雅黑" w:hAnsi="微软雅黑" w:eastAsia="微软雅黑" w:cs="微软雅黑"/>
          <w:sz w:val="22"/>
          <w:szCs w:val="22"/>
          <w:u w:val="none"/>
        </w:rPr>
        <w:t>个，</w:t>
      </w:r>
      <w:r>
        <w:rPr>
          <w:rFonts w:hint="eastAsia" w:ascii="微软雅黑" w:hAnsi="微软雅黑" w:eastAsia="微软雅黑" w:cs="微软雅黑"/>
          <w:sz w:val="22"/>
          <w:szCs w:val="22"/>
          <w:u w:val="none"/>
          <w:lang w:val="en-US" w:eastAsia="zh-CN"/>
        </w:rPr>
        <w:t>自</w:t>
      </w:r>
      <w:r>
        <w:rPr>
          <w:rFonts w:hint="eastAsia" w:ascii="微软雅黑" w:hAnsi="微软雅黑" w:eastAsia="微软雅黑" w:cs="微软雅黑"/>
          <w:sz w:val="22"/>
          <w:szCs w:val="22"/>
          <w:u w:val="none"/>
        </w:rPr>
        <w:t>价结果（概括评价总体情况）</w:t>
      </w:r>
      <w:r>
        <w:rPr>
          <w:rFonts w:hint="eastAsia" w:ascii="微软雅黑" w:hAnsi="微软雅黑" w:eastAsia="微软雅黑" w:cs="微软雅黑"/>
          <w:sz w:val="22"/>
          <w:szCs w:val="22"/>
          <w:u w:val="none"/>
          <w:lang w:val="en-US" w:eastAsia="zh-CN"/>
        </w:rPr>
        <w:t>详见附表</w:t>
      </w:r>
      <w:r>
        <w:rPr>
          <w:rFonts w:hint="eastAsia" w:ascii="微软雅黑" w:hAnsi="微软雅黑" w:eastAsia="微软雅黑" w:cs="微软雅黑"/>
          <w:sz w:val="22"/>
          <w:szCs w:val="22"/>
          <w:u w:val="none"/>
        </w:rPr>
        <w:t>。</w:t>
      </w:r>
    </w:p>
    <w:p>
      <w:pPr>
        <w:pStyle w:val="4"/>
        <w:rPr>
          <w:rFonts w:hint="eastAsia"/>
          <w:lang w:val="en-US" w:eastAsia="zh-CN"/>
        </w:rPr>
      </w:pPr>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DkyZmRmZDkwZjhhZWNhMDcwNzcwYzIxZWQxNmYifQ=="/>
  </w:docVars>
  <w:rsids>
    <w:rsidRoot w:val="00D34E37"/>
    <w:rsid w:val="00000103"/>
    <w:rsid w:val="00012DE2"/>
    <w:rsid w:val="00016B13"/>
    <w:rsid w:val="00050C1C"/>
    <w:rsid w:val="000630A7"/>
    <w:rsid w:val="00063573"/>
    <w:rsid w:val="00081054"/>
    <w:rsid w:val="000A241F"/>
    <w:rsid w:val="000C0EF8"/>
    <w:rsid w:val="000E36ED"/>
    <w:rsid w:val="000E5692"/>
    <w:rsid w:val="000E5739"/>
    <w:rsid w:val="000F7A99"/>
    <w:rsid w:val="00111FE2"/>
    <w:rsid w:val="00112C12"/>
    <w:rsid w:val="001215BC"/>
    <w:rsid w:val="00127092"/>
    <w:rsid w:val="00135928"/>
    <w:rsid w:val="0015563F"/>
    <w:rsid w:val="001650FE"/>
    <w:rsid w:val="001726B9"/>
    <w:rsid w:val="00186771"/>
    <w:rsid w:val="00191F07"/>
    <w:rsid w:val="00196F18"/>
    <w:rsid w:val="001A3C63"/>
    <w:rsid w:val="001A7309"/>
    <w:rsid w:val="001C0198"/>
    <w:rsid w:val="001D4A80"/>
    <w:rsid w:val="002450BE"/>
    <w:rsid w:val="0025134C"/>
    <w:rsid w:val="0026185B"/>
    <w:rsid w:val="00261FCC"/>
    <w:rsid w:val="00262D52"/>
    <w:rsid w:val="0026448E"/>
    <w:rsid w:val="00277510"/>
    <w:rsid w:val="00285C75"/>
    <w:rsid w:val="002964B2"/>
    <w:rsid w:val="002B79B7"/>
    <w:rsid w:val="002C05A8"/>
    <w:rsid w:val="002F3D03"/>
    <w:rsid w:val="00301BB6"/>
    <w:rsid w:val="00326150"/>
    <w:rsid w:val="00326201"/>
    <w:rsid w:val="00362732"/>
    <w:rsid w:val="00366F4E"/>
    <w:rsid w:val="003826E3"/>
    <w:rsid w:val="0039303E"/>
    <w:rsid w:val="0039667C"/>
    <w:rsid w:val="003A3819"/>
    <w:rsid w:val="003D22ED"/>
    <w:rsid w:val="003D4CA7"/>
    <w:rsid w:val="003E0C3D"/>
    <w:rsid w:val="0042273A"/>
    <w:rsid w:val="0043493E"/>
    <w:rsid w:val="004557CE"/>
    <w:rsid w:val="00485AEF"/>
    <w:rsid w:val="004B13D6"/>
    <w:rsid w:val="004C4C50"/>
    <w:rsid w:val="004C52CD"/>
    <w:rsid w:val="004D4425"/>
    <w:rsid w:val="00555248"/>
    <w:rsid w:val="00562B26"/>
    <w:rsid w:val="00570513"/>
    <w:rsid w:val="00593C39"/>
    <w:rsid w:val="005962F3"/>
    <w:rsid w:val="005A558D"/>
    <w:rsid w:val="005B629A"/>
    <w:rsid w:val="005C463E"/>
    <w:rsid w:val="005C62A9"/>
    <w:rsid w:val="005D0AE5"/>
    <w:rsid w:val="005E08A1"/>
    <w:rsid w:val="00613C39"/>
    <w:rsid w:val="00634EFB"/>
    <w:rsid w:val="00645C24"/>
    <w:rsid w:val="00652854"/>
    <w:rsid w:val="00685050"/>
    <w:rsid w:val="006873FC"/>
    <w:rsid w:val="006A272F"/>
    <w:rsid w:val="006A41B1"/>
    <w:rsid w:val="00700949"/>
    <w:rsid w:val="00734E1D"/>
    <w:rsid w:val="00735B0C"/>
    <w:rsid w:val="00736D5A"/>
    <w:rsid w:val="00743776"/>
    <w:rsid w:val="00754EF4"/>
    <w:rsid w:val="00757C60"/>
    <w:rsid w:val="00770BC7"/>
    <w:rsid w:val="007B02B6"/>
    <w:rsid w:val="007B1AAD"/>
    <w:rsid w:val="007B1EF7"/>
    <w:rsid w:val="007C772C"/>
    <w:rsid w:val="007E439D"/>
    <w:rsid w:val="00810870"/>
    <w:rsid w:val="00820A84"/>
    <w:rsid w:val="0082247B"/>
    <w:rsid w:val="00833370"/>
    <w:rsid w:val="0083731D"/>
    <w:rsid w:val="00844497"/>
    <w:rsid w:val="0085749A"/>
    <w:rsid w:val="00865664"/>
    <w:rsid w:val="008C0EC5"/>
    <w:rsid w:val="008C4B9D"/>
    <w:rsid w:val="008C5133"/>
    <w:rsid w:val="008C7B74"/>
    <w:rsid w:val="008D2BD0"/>
    <w:rsid w:val="008F501E"/>
    <w:rsid w:val="00904A3F"/>
    <w:rsid w:val="00953F01"/>
    <w:rsid w:val="00984C05"/>
    <w:rsid w:val="00991262"/>
    <w:rsid w:val="00992C5F"/>
    <w:rsid w:val="009A0153"/>
    <w:rsid w:val="009A3D9E"/>
    <w:rsid w:val="009B31D0"/>
    <w:rsid w:val="009F49B9"/>
    <w:rsid w:val="00A0190C"/>
    <w:rsid w:val="00A62687"/>
    <w:rsid w:val="00A67501"/>
    <w:rsid w:val="00A738C5"/>
    <w:rsid w:val="00A75EAC"/>
    <w:rsid w:val="00A82556"/>
    <w:rsid w:val="00A84FA7"/>
    <w:rsid w:val="00AA6303"/>
    <w:rsid w:val="00AC0B73"/>
    <w:rsid w:val="00B01EB8"/>
    <w:rsid w:val="00B344C1"/>
    <w:rsid w:val="00B34AFC"/>
    <w:rsid w:val="00B474E3"/>
    <w:rsid w:val="00B52759"/>
    <w:rsid w:val="00B85578"/>
    <w:rsid w:val="00B970D3"/>
    <w:rsid w:val="00BA5D76"/>
    <w:rsid w:val="00BA7660"/>
    <w:rsid w:val="00BB03A5"/>
    <w:rsid w:val="00BB1874"/>
    <w:rsid w:val="00BD437E"/>
    <w:rsid w:val="00C12E09"/>
    <w:rsid w:val="00C2190C"/>
    <w:rsid w:val="00C51940"/>
    <w:rsid w:val="00C943E3"/>
    <w:rsid w:val="00CA0A3C"/>
    <w:rsid w:val="00CA4641"/>
    <w:rsid w:val="00CA5CF1"/>
    <w:rsid w:val="00CC43F2"/>
    <w:rsid w:val="00CC65AE"/>
    <w:rsid w:val="00CD43AF"/>
    <w:rsid w:val="00CD4BFD"/>
    <w:rsid w:val="00CD5A1E"/>
    <w:rsid w:val="00CE760A"/>
    <w:rsid w:val="00CF1140"/>
    <w:rsid w:val="00D20C7D"/>
    <w:rsid w:val="00D34E37"/>
    <w:rsid w:val="00D45249"/>
    <w:rsid w:val="00D84C81"/>
    <w:rsid w:val="00D93F9F"/>
    <w:rsid w:val="00DB20E7"/>
    <w:rsid w:val="00DB66E1"/>
    <w:rsid w:val="00DE5DC9"/>
    <w:rsid w:val="00DF19A8"/>
    <w:rsid w:val="00DF6F75"/>
    <w:rsid w:val="00E00AB7"/>
    <w:rsid w:val="00E0236B"/>
    <w:rsid w:val="00E1511B"/>
    <w:rsid w:val="00E269A7"/>
    <w:rsid w:val="00E26EFC"/>
    <w:rsid w:val="00E52B50"/>
    <w:rsid w:val="00E65469"/>
    <w:rsid w:val="00E76640"/>
    <w:rsid w:val="00E8395E"/>
    <w:rsid w:val="00EA6AB1"/>
    <w:rsid w:val="00EB10BF"/>
    <w:rsid w:val="00EC6D86"/>
    <w:rsid w:val="00ED247C"/>
    <w:rsid w:val="00ED55D7"/>
    <w:rsid w:val="00EE0AE2"/>
    <w:rsid w:val="00EE77DF"/>
    <w:rsid w:val="00F31E93"/>
    <w:rsid w:val="00F865E7"/>
    <w:rsid w:val="00F90244"/>
    <w:rsid w:val="00FA380B"/>
    <w:rsid w:val="00FB5261"/>
    <w:rsid w:val="00FB5E8B"/>
    <w:rsid w:val="00FC3D02"/>
    <w:rsid w:val="00FC45EE"/>
    <w:rsid w:val="00FE2C15"/>
    <w:rsid w:val="024C7F43"/>
    <w:rsid w:val="06345FD4"/>
    <w:rsid w:val="08CF06F7"/>
    <w:rsid w:val="099866AB"/>
    <w:rsid w:val="0D202894"/>
    <w:rsid w:val="0E244C34"/>
    <w:rsid w:val="0E9657C9"/>
    <w:rsid w:val="101C4FBA"/>
    <w:rsid w:val="119D0C10"/>
    <w:rsid w:val="12016C66"/>
    <w:rsid w:val="150D44ED"/>
    <w:rsid w:val="15636EA5"/>
    <w:rsid w:val="17A309FF"/>
    <w:rsid w:val="1806019C"/>
    <w:rsid w:val="19FA3AC0"/>
    <w:rsid w:val="1A251735"/>
    <w:rsid w:val="1D67072C"/>
    <w:rsid w:val="1D736B1A"/>
    <w:rsid w:val="1DB80180"/>
    <w:rsid w:val="1F4A199E"/>
    <w:rsid w:val="208B462E"/>
    <w:rsid w:val="23096E68"/>
    <w:rsid w:val="24A402F9"/>
    <w:rsid w:val="25595E3F"/>
    <w:rsid w:val="26690B88"/>
    <w:rsid w:val="2790513A"/>
    <w:rsid w:val="2B8723B0"/>
    <w:rsid w:val="2DFC1BC2"/>
    <w:rsid w:val="2F925E69"/>
    <w:rsid w:val="331C3EE1"/>
    <w:rsid w:val="337F5FA0"/>
    <w:rsid w:val="36876519"/>
    <w:rsid w:val="39626AC1"/>
    <w:rsid w:val="3C0D7F01"/>
    <w:rsid w:val="3D324146"/>
    <w:rsid w:val="3EAB311F"/>
    <w:rsid w:val="3F56160E"/>
    <w:rsid w:val="3F9E2E79"/>
    <w:rsid w:val="425F4E69"/>
    <w:rsid w:val="42EA3A5B"/>
    <w:rsid w:val="43EB01E2"/>
    <w:rsid w:val="4554425E"/>
    <w:rsid w:val="49036C1F"/>
    <w:rsid w:val="494B6CBB"/>
    <w:rsid w:val="4C667968"/>
    <w:rsid w:val="4D5A4CA1"/>
    <w:rsid w:val="4E9014CC"/>
    <w:rsid w:val="4EF31987"/>
    <w:rsid w:val="4F7F7D55"/>
    <w:rsid w:val="4FB03367"/>
    <w:rsid w:val="5008543E"/>
    <w:rsid w:val="56D025AE"/>
    <w:rsid w:val="59305585"/>
    <w:rsid w:val="59910294"/>
    <w:rsid w:val="599502CB"/>
    <w:rsid w:val="5D43301A"/>
    <w:rsid w:val="5FEE3133"/>
    <w:rsid w:val="638C5C22"/>
    <w:rsid w:val="65387C9C"/>
    <w:rsid w:val="65FA31A3"/>
    <w:rsid w:val="66C80073"/>
    <w:rsid w:val="68175BD5"/>
    <w:rsid w:val="682A3724"/>
    <w:rsid w:val="685F173C"/>
    <w:rsid w:val="6A01464E"/>
    <w:rsid w:val="6B1765A5"/>
    <w:rsid w:val="6C107F95"/>
    <w:rsid w:val="6C38657E"/>
    <w:rsid w:val="6C732B0C"/>
    <w:rsid w:val="6D4830AA"/>
    <w:rsid w:val="6F1E36C6"/>
    <w:rsid w:val="6FF76298"/>
    <w:rsid w:val="76556A58"/>
    <w:rsid w:val="767752D8"/>
    <w:rsid w:val="773A529E"/>
    <w:rsid w:val="77FE7C73"/>
    <w:rsid w:val="7A901915"/>
    <w:rsid w:val="7B764272"/>
    <w:rsid w:val="7C090BDA"/>
    <w:rsid w:val="7EC421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Plain Text"/>
    <w:basedOn w:val="1"/>
    <w:qFormat/>
    <w:uiPriority w:val="0"/>
    <w:rPr>
      <w:rFonts w:ascii="宋体" w:hAnsi="Courier New"/>
      <w:szCs w:val="21"/>
    </w:rPr>
  </w:style>
  <w:style w:type="paragraph" w:styleId="4">
    <w:name w:val="Body Text Indent 2"/>
    <w:basedOn w:val="1"/>
    <w:qFormat/>
    <w:uiPriority w:val="0"/>
    <w:pPr>
      <w:tabs>
        <w:tab w:val="left" w:pos="2250"/>
      </w:tabs>
      <w:spacing w:before="100" w:beforeAutospacing="1" w:line="400" w:lineRule="atLeast"/>
      <w:ind w:firstLine="629"/>
    </w:pPr>
    <w:rPr>
      <w:rFonts w:eastAsia="宋体"/>
      <w:sz w:val="32"/>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unhideWhenUsed/>
    <w:qFormat/>
    <w:uiPriority w:val="99"/>
    <w:rPr>
      <w:color w:val="800080"/>
      <w:u w:val="single"/>
    </w:rPr>
  </w:style>
  <w:style w:type="character" w:styleId="11">
    <w:name w:val="Hyperlink"/>
    <w:unhideWhenUsed/>
    <w:qFormat/>
    <w:uiPriority w:val="99"/>
    <w:rPr>
      <w:color w:val="0000FF"/>
      <w:u w:val="single"/>
    </w:rPr>
  </w:style>
  <w:style w:type="character" w:customStyle="1" w:styleId="12">
    <w:name w:val="页脚 Char"/>
    <w:link w:val="5"/>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8">
    <w:name w:val="列出段落1"/>
    <w:basedOn w:val="1"/>
    <w:qFormat/>
    <w:uiPriority w:val="0"/>
    <w:pPr>
      <w:ind w:firstLine="420" w:firstLineChars="200"/>
    </w:pPr>
    <w:rPr>
      <w:rFonts w:ascii="宋体" w:hAnsi="宋体"/>
      <w:b/>
      <w:bCs/>
      <w:kern w:val="36"/>
      <w:szCs w:val="52"/>
    </w:rPr>
  </w:style>
  <w:style w:type="paragraph" w:styleId="19">
    <w:name w:val="List Paragraph"/>
    <w:basedOn w:val="1"/>
    <w:qFormat/>
    <w:uiPriority w:val="34"/>
    <w:pPr>
      <w:widowControl/>
      <w:spacing w:line="640" w:lineRule="exact"/>
      <w:ind w:firstLine="420" w:firstLineChars="200"/>
      <w:jc w:val="left"/>
    </w:pPr>
    <w:rPr>
      <w:rFonts w:ascii="Calibri" w:hAnsi="Calibri" w:eastAsia="宋体" w:cs="Times New Roman"/>
      <w:szCs w:val="22"/>
    </w:rPr>
  </w:style>
  <w:style w:type="paragraph" w:customStyle="1" w:styleId="20">
    <w:name w:val="xl6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22">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23">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
    <w:name w:val="xl6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25">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26">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20"/>
      <w:szCs w:val="20"/>
    </w:rPr>
  </w:style>
  <w:style w:type="paragraph" w:customStyle="1" w:styleId="2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2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29">
    <w:name w:val="xl72"/>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30">
    <w:name w:val="xl77"/>
    <w:basedOn w:val="1"/>
    <w:qFormat/>
    <w:uiPriority w:val="0"/>
    <w:pPr>
      <w:widowControl/>
      <w:spacing w:before="100" w:beforeAutospacing="1" w:after="100" w:afterAutospacing="1"/>
      <w:jc w:val="center"/>
    </w:pPr>
    <w:rPr>
      <w:rFonts w:ascii="宋体" w:hAnsi="宋体" w:cs="宋体"/>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142</Pages>
  <Words>14163</Words>
  <Characters>21388</Characters>
  <Lines>95</Lines>
  <Paragraphs>26</Paragraphs>
  <TotalTime>1</TotalTime>
  <ScaleCrop>false</ScaleCrop>
  <LinksUpToDate>false</LinksUpToDate>
  <CharactersWithSpaces>21622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2020-08-25T05:07:00Z</dcterms:created>
  <dc:creator>lenovo</dc:creator>
  <cp:lastModifiedBy>张楠</cp:lastModifiedBy>
  <cp:lastPrinted>2018-08-23T07:43:00Z</cp:lastPrinted>
  <dcterms:modified xsi:type="dcterms:W3CDTF">2024-08-28T02:26:32Z</dcterms:modified>
  <dc:title>2016年部门预算编制说明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0EAEAC7A96DA4E0D8F39B5EDF3651868_13</vt:lpwstr>
  </property>
</Properties>
</file>