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华文中宋" w:hAnsi="华文中宋" w:eastAsia="华文中宋"/>
          <w:sz w:val="36"/>
          <w:szCs w:val="36"/>
          <w:highlight w:val="none"/>
          <w:u w:val="none"/>
        </w:rPr>
      </w:pPr>
      <w:r>
        <w:rPr>
          <w:rFonts w:hint="eastAsia" w:ascii="华文中宋" w:hAnsi="华文中宋" w:eastAsia="华文中宋"/>
          <w:sz w:val="36"/>
          <w:szCs w:val="36"/>
          <w:highlight w:val="none"/>
          <w:u w:val="none"/>
        </w:rPr>
        <w:t>2023年度</w:t>
      </w:r>
      <w:r>
        <w:rPr>
          <w:rFonts w:hint="eastAsia" w:ascii="华文中宋" w:hAnsi="华文中宋" w:eastAsia="华文中宋"/>
          <w:sz w:val="36"/>
          <w:szCs w:val="36"/>
          <w:highlight w:val="none"/>
          <w:u w:val="none"/>
          <w:lang w:eastAsia="zh-CN"/>
        </w:rPr>
        <w:t>椿树街道</w:t>
      </w:r>
      <w:r>
        <w:rPr>
          <w:rFonts w:hint="eastAsia" w:ascii="华文中宋" w:hAnsi="华文中宋" w:eastAsia="华文中宋"/>
          <w:sz w:val="36"/>
          <w:szCs w:val="36"/>
          <w:highlight w:val="none"/>
          <w:u w:val="none"/>
        </w:rPr>
        <w:t>决算分析报告</w:t>
      </w:r>
    </w:p>
    <w:p>
      <w:pPr>
        <w:snapToGrid w:val="0"/>
        <w:jc w:val="center"/>
        <w:rPr>
          <w:rFonts w:hint="eastAsia" w:ascii="华文中宋" w:hAnsi="华文中宋" w:eastAsia="华文中宋"/>
          <w:sz w:val="36"/>
          <w:szCs w:val="36"/>
          <w:highlight w:val="none"/>
          <w:u w:val="none"/>
        </w:rPr>
      </w:pPr>
    </w:p>
    <w:p>
      <w:pPr>
        <w:snapToGrid w:val="0"/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  <w:u w:val="none"/>
        </w:rPr>
      </w:pPr>
    </w:p>
    <w:p>
      <w:pPr>
        <w:snapToGrid w:val="0"/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  <w:highlight w:val="none"/>
          <w:u w:val="none"/>
        </w:rPr>
      </w:pPr>
      <w:bookmarkStart w:id="0" w:name="YS060101"/>
      <w:r>
        <w:rPr>
          <w:rFonts w:hint="eastAsia" w:ascii="黑体" w:hAnsi="黑体" w:eastAsia="黑体"/>
          <w:sz w:val="32"/>
          <w:szCs w:val="32"/>
          <w:highlight w:val="none"/>
          <w:u w:val="none"/>
        </w:rPr>
        <w:t>一、单位情况</w:t>
      </w:r>
    </w:p>
    <w:bookmarkEnd w:id="0"/>
    <w:p>
      <w:pPr>
        <w:snapToGrid w:val="0"/>
        <w:spacing w:line="520" w:lineRule="exact"/>
        <w:ind w:firstLine="643" w:firstLineChars="200"/>
        <w:rPr>
          <w:rFonts w:hint="eastAsia" w:ascii="楷体_GB2312" w:hAnsi="仿宋" w:eastAsia="楷体_GB2312"/>
          <w:b/>
          <w:sz w:val="32"/>
          <w:szCs w:val="32"/>
          <w:highlight w:val="none"/>
          <w:u w:val="none"/>
        </w:rPr>
      </w:pPr>
      <w:r>
        <w:rPr>
          <w:rFonts w:hint="eastAsia" w:ascii="楷体_GB2312" w:hAnsi="仿宋" w:eastAsia="楷体_GB2312"/>
          <w:b/>
          <w:sz w:val="32"/>
          <w:szCs w:val="32"/>
          <w:highlight w:val="none"/>
          <w:u w:val="none"/>
        </w:rPr>
        <w:t>（一）基本情况。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u w:val="none"/>
        </w:rPr>
        <w:t>1．主要职能。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2023年是全面贯彻落实党的二十大精神开局之年。今年以来，街道坚持以习近平新时代中国特色社会主义思想为指导，扎实开展主题教育，深入实施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双提升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工程和“红墙先锋工程”，突出做好强信心、扩内需、促改革、惠民生、保健康、防风险等重点工作，持续推动减量背景下地区高质量发展，奋力谱写中国式现代化西城实践的椿树篇章。</w:t>
      </w:r>
    </w:p>
    <w:p>
      <w:pPr>
        <w:numPr>
          <w:ilvl w:val="0"/>
          <w:numId w:val="1"/>
        </w:num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u w:val="none"/>
        </w:rPr>
        <w:t>机构情况</w:t>
      </w:r>
    </w:p>
    <w:p>
      <w:pPr>
        <w:pStyle w:val="2"/>
        <w:numPr>
          <w:ilvl w:val="0"/>
          <w:numId w:val="0"/>
        </w:numPr>
        <w:ind w:right="-334" w:rightChars="-159" w:firstLine="600" w:firstLineChars="20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下设三个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二级事业单位并入本级。</w:t>
      </w:r>
    </w:p>
    <w:p>
      <w:pPr>
        <w:numPr>
          <w:ilvl w:val="0"/>
          <w:numId w:val="1"/>
        </w:numPr>
        <w:snapToGrid w:val="0"/>
        <w:spacing w:line="520" w:lineRule="exact"/>
        <w:ind w:left="0" w:leftChars="0" w:firstLine="640" w:firstLineChars="200"/>
        <w:rPr>
          <w:rFonts w:hint="eastAsia" w:ascii="仿宋_GB2312" w:hAnsi="仿宋" w:eastAsia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u w:val="none"/>
        </w:rPr>
        <w:t>人员情况</w:t>
      </w:r>
    </w:p>
    <w:p>
      <w:pPr>
        <w:pStyle w:val="2"/>
        <w:numPr>
          <w:ilvl w:val="0"/>
          <w:numId w:val="0"/>
        </w:numPr>
        <w:ind w:right="-334" w:rightChars="-159" w:firstLine="640" w:firstLineChars="200"/>
        <w:rPr>
          <w:rFonts w:hint="eastAsia" w:eastAsia="宋体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本级实有人数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hAnsi="仿宋" w:eastAsia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人，其中在职公务员105人，事业单位5</w:t>
      </w:r>
      <w:r>
        <w:rPr>
          <w:rFonts w:hint="eastAsia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人，离休人员</w:t>
      </w:r>
      <w:r>
        <w:rPr>
          <w:rFonts w:hint="eastAsia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人。</w:t>
      </w:r>
      <w:r>
        <w:rPr>
          <w:rFonts w:hint="eastAsia"/>
          <w:lang w:val="en-US" w:eastAsia="zh-CN"/>
        </w:rPr>
        <w:t xml:space="preserve"> </w:t>
      </w:r>
    </w:p>
    <w:p>
      <w:pPr>
        <w:snapToGrid w:val="0"/>
        <w:spacing w:line="520" w:lineRule="exact"/>
        <w:ind w:firstLine="643" w:firstLineChars="200"/>
        <w:rPr>
          <w:rFonts w:hint="eastAsia" w:ascii="仿宋_GB2312" w:hAnsi="仿宋" w:eastAsia="仿宋_GB2312"/>
          <w:color w:val="C00000"/>
          <w:sz w:val="32"/>
          <w:szCs w:val="32"/>
          <w:highlight w:val="none"/>
          <w:u w:val="none"/>
        </w:rPr>
      </w:pPr>
      <w:r>
        <w:rPr>
          <w:rFonts w:hint="eastAsia" w:ascii="楷体_GB2312" w:hAnsi="仿宋" w:eastAsia="楷体_GB2312"/>
          <w:b/>
          <w:sz w:val="32"/>
          <w:szCs w:val="32"/>
          <w:highlight w:val="none"/>
          <w:u w:val="none"/>
        </w:rPr>
        <w:t>（二）当年取得的主要事业成效。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1.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围绕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提质增效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，不断提升党建引领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地区发展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水平。</w:t>
      </w:r>
      <w:r>
        <w:rPr>
          <w:rFonts w:hint="eastAsia" w:ascii="仿宋_GB2312" w:hAnsi="Times New Roman" w:eastAsia="仿宋_GB2312" w:cs="Times New Roman"/>
          <w:b/>
          <w:bCs/>
          <w:color w:val="000000"/>
          <w:sz w:val="32"/>
          <w:szCs w:val="32"/>
        </w:rPr>
        <w:t>抓实抓好主题教育。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推动“红墙先锋工程”“双提升”工程联动与主题教育深度融合，街道率先制定方案、动员部署，处级班子落实“5+2”学习机制，交流研讨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次，集体调研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次，班子成员调研选题11个。组织大讨论85场，梳理社区、部门、街道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三个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层面问题216个并全部解决。“幸福椿树”公众号阅读量达120余万人次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新时代文明实践活动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开展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642余场，受众1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.4万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人次。开展“百米红径</w:t>
      </w:r>
      <w:r>
        <w:rPr>
          <w:rFonts w:hint="eastAsia" w:hAnsi="Times New Roman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集享幸福椿树”活动，发动12个区街部门、18个党建协调委员会成员单位、44个</w:t>
      </w:r>
      <w:r>
        <w:rPr>
          <w:rFonts w:hint="eastAsia" w:hAnsi="Times New Roman" w:cs="Times New Roman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两新组织</w:t>
      </w:r>
      <w:r>
        <w:rPr>
          <w:rFonts w:hint="eastAsia" w:hAnsi="Times New Roman" w:cs="Times New Roman"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，参与活动2000余人次。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32"/>
        </w:rPr>
        <w:t>抓深党建引领。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创新基层党建“椿锋领航365”工作模式，召开党建联席会，发动62家单位联手打造10个品牌项目并全部完成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开展暖心关爱新就业群体活动，</w:t>
      </w:r>
      <w:r>
        <w:rPr>
          <w:rFonts w:hint="eastAsia" w:hAnsi="Times New Roman" w:cs="Times New Roman"/>
          <w:color w:val="000000"/>
          <w:sz w:val="32"/>
          <w:szCs w:val="32"/>
          <w:lang w:eastAsia="zh-CN"/>
        </w:rPr>
        <w:t>夏天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为35位快递小哥送去暑期清凉大礼包</w:t>
      </w:r>
      <w:r>
        <w:rPr>
          <w:rFonts w:hint="eastAsia" w:hAnsi="Times New Roman" w:cs="Times New Roman"/>
          <w:color w:val="000000"/>
          <w:sz w:val="32"/>
          <w:szCs w:val="32"/>
          <w:lang w:eastAsia="zh-CN"/>
        </w:rPr>
        <w:t>，冬季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邀请同仁堂工作人员为保安、中介等新就业群体讲解冬季养生知识</w:t>
      </w:r>
      <w:r>
        <w:rPr>
          <w:rFonts w:hint="eastAsia" w:hAnsi="Times New Roman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发放健康饮品</w:t>
      </w:r>
      <w:r>
        <w:rPr>
          <w:rFonts w:hint="eastAsia" w:hAnsi="Times New Roman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hAnsi="Times New Roman" w:cs="Times New Roman"/>
          <w:color w:val="000000"/>
          <w:sz w:val="32"/>
        </w:rPr>
        <w:t>为快递小哥捐赠防风抗寒物品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。细化41个微网格推进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创城工作，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投入经费271万元打造46个党组织服务群众经费项目。市级家庭教育建设基地、民盟传统教育基地，区政协委员工作站、人大代表之家相继挂牌，助力工作效能新提升。</w:t>
      </w:r>
      <w:r>
        <w:rPr>
          <w:rFonts w:hint="eastAsia" w:ascii="仿宋_GB2312" w:hAnsi="Times New Roman" w:eastAsia="仿宋_GB2312" w:cs="Times New Roman"/>
          <w:b/>
          <w:bCs/>
          <w:color w:val="000000"/>
          <w:sz w:val="32"/>
          <w:szCs w:val="32"/>
        </w:rPr>
        <w:t>抓强干部队伍。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通过椿耕智库、椿耕课堂、椿耕论坛、椿耕训练营等，提升社工、青年干部和科长素质能力。安排10名新入职机关干部、7名社工双向挂职锻炼，选派6名优秀干部到区重要部门、重点工作中锻炼;为年轻干部配备成长引路人73名,组织63名社工、干部围绕5个课题赴南方培训。多批次组织干部交流轮岗及选拔任用，职务职级调整涉及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0人。</w:t>
      </w:r>
      <w:r>
        <w:rPr>
          <w:rFonts w:hint="eastAsia" w:ascii="仿宋_GB2312" w:hAnsi="Times New Roman" w:eastAsia="仿宋_GB2312" w:cs="Times New Roman"/>
          <w:b/>
          <w:bCs/>
          <w:color w:val="000000"/>
          <w:sz w:val="32"/>
          <w:szCs w:val="32"/>
        </w:rPr>
        <w:t>抓牢从严治党。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</w:rPr>
        <w:t>构建严密责任体系，深入开展警示教育，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修订完善制度14项，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</w:rPr>
        <w:t>加强监督检查，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坚决铲除“八不”“铁锈”式干部滋生土壤。做好巡察整改“后半篇文章”，区委巡察反馈工委及社区党组织的146个问题，均按时完成整改。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2.围绕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控规落实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，不断提升城市精细管理水平。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推进核心区控规落实落地。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拆除违建2591.86平方米，完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成全年任务103.67%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；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配合区住建委等部门完成香炉营东巷、前青厂街道路交付施划，庄胜二期A-G地块危改项目三期启动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L地块师大附中工程完工，谷维贞定向安置房启动。椿树园9栋楼完成老旧小区综合整治立项，推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动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广安控股A3地块申请式退租。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推进城市精细化治理。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完成椿树园8号楼、和外西里甲1号楼下水管线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吉祥胡同停车场改造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对前孙西夹道、和外西里东口夹道环境进行立体式提升；协调完成椿树园15号楼2部老旧电梯更换。治理第五立面，拆除海格大厦顶层假山和阳光房。着眼城市“微更新”，新增公共晾衣区108处，处理市容环境问题4800余处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清除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违规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电动三四轮车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900余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辆。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推进环境品质提升。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巩固平房区垃圾不落地和楼房区生活垃圾分类示范小区成效，商户厨余垃圾“定时定点”收运。落实“一微克”行动，装配智能油烟净化设备13套，树池篦子100%高标准苫盖，对施工扬尘等行为加大执法力度，ＰＭ2.5累计浓度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同比下降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10.8%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。聚焦“揭网见绿”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，完成地面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8745平方米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3.围绕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民生民需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，不断提升民生服务保障水平。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加强民生保障工作。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失业人员和大学生就业率分别达到66.7%、95.4%，均超额完成指标任务。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动态完善辖区2028人的困难群众信息台账，发放低保金和各类补助、救助金910万元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“两节”慰问投入资金98.49万元。</w:t>
      </w:r>
      <w:r>
        <w:rPr>
          <w:rFonts w:hint="eastAsia" w:ascii="仿宋_GB2312" w:hAnsi="宋体" w:eastAsia="仿宋_GB2312" w:cs="Times New Roman"/>
          <w:b/>
          <w:bCs/>
          <w:color w:val="000000"/>
          <w:sz w:val="32"/>
          <w:szCs w:val="32"/>
        </w:rPr>
        <w:t>加强养老服务工作。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健全“椿龄六老”服务体系，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建成“椿恒雅园”老年食堂，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优化6家养老餐桌点位布局，实现10分钟养老服务圈全覆盖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，全年为520余人提供11000余次助餐服务。新增家庭养老床位21张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安装一键呼377户，数据完整率100%；为82名平房区高龄空巢、独居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低保低收入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老人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提供助浴1300人次。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加强</w:t>
      </w:r>
      <w:r>
        <w:rPr>
          <w:rFonts w:hint="eastAsia" w:ascii="仿宋_GB2312" w:hAnsi="宋体" w:eastAsia="仿宋_GB2312" w:cs="Times New Roman"/>
          <w:b/>
          <w:bCs/>
          <w:color w:val="000000"/>
          <w:sz w:val="32"/>
          <w:szCs w:val="32"/>
        </w:rPr>
        <w:t>残疾人关爱工作。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为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名残疾人申办残疾证和保险、补贴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发放生活补贴和护理补贴3258人次、117.31万元。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4.围绕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固本强基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，不断提升基层社会治理水平。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优化社区治理体系。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持续深入开展居民议事厅建设，打造社区议事厅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楼门院示范点、推广点，指导楼门院示范点制定“小院公约”。</w:t>
      </w:r>
      <w:r>
        <w:rPr>
          <w:rFonts w:hint="eastAsia" w:ascii="仿宋_GB2312" w:hAnsi="楷体_GB2312" w:eastAsia="仿宋_GB2312" w:cs="楷体_GB2312"/>
          <w:color w:val="000000"/>
          <w:sz w:val="32"/>
          <w:szCs w:val="32"/>
        </w:rPr>
        <w:t>精心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培育“幸福小院”创新品牌，实现“百院百人百事”，细化优美宜居提升、文化氛围营造、小微问题解决三种类型，打造“幸福标准间”，创建“院落幸福守望者小队”，共建共治共享“幸福椿树”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优化社区基础工作。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统筹指导和推动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3个小区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开展业委会相关工作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组织全民健康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活动16场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居民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1800余人，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培训新增健康指导员15人。在“双提升”工作中，以“椿树蓄力，赋能提升”为主题，普遍开展社工素质能力培训。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优化社区文化生活。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举办第二十一届“椿树杯”北京市社区京剧票友大赛，今年呈现参演者覆盖面最广、行当最全、参赛年龄最长和最小等特点；配合文旅局完成京报馆和福州新馆申办市级类博物馆，成为全区仅有两家。以百姓文化之家和椿树书苑为载体，累计开展线下线上各类文体活动117场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000余人次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推动全民终身学习，图书馆服务阅读1.83万人次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四个社区联动举办新春联欢会，150余位演员为居民献上一场视听盛宴，掀起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了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 xml:space="preserve">居民文化活动新高潮。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5.围绕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和谐稳定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，不断提升地区综合治理水平。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强化群防群治。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发动力量1.2万人次，做好全国“两会”“一带一路”等重大活动服务保障；打击无证游商、黑大巴、“江西瓷”等乱象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加强出租房安全管理，清理群租房2处、违法出租房99处。联手大栅栏开展违规运营黑三轮整治，辖区罚没21辆、处罚28辆；加强反诈、禁毒及扫黄打非，街道被评为“扫黄打非”市级标兵单位。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强化重点消隐。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督促物业加强车辆停放和充电监管，在棉花片、琉璃厂西街等区域新增充电口350个；四合上院周边新建停车棚29个，实现电动车不进小区。加强大屋脊房屋隐患排查，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压实责任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全力消除安全隐患。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汛期干部、社工备勤2320人次，出动抢险412人次，转移人员45户123人次。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强化安全生产。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深刻汲取丰台长峰“4.18”重大火灾事故教训，全覆盖开展“大排查、大整治”行动，处级领导带队夜查120余天，组织各类检查2130余次，隐患整改率达到100%。开展安全生产和消防演练2场，安全教育培训8次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投入90余万元对平房区3100户居民电线电路100%排查、100%整改，实现安全生产零事故，火灾较去年同比下降50%。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6.围绕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统筹发展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，不断提升综合协调服务水平。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注重市民热线办理</w:t>
      </w:r>
      <w:r>
        <w:rPr>
          <w:rFonts w:hint="eastAsia" w:ascii="楷体_GB2312" w:hAnsi="楷体_GB2312" w:eastAsia="楷体_GB2312" w:cs="楷体_GB2312"/>
          <w:color w:val="000000"/>
          <w:sz w:val="36"/>
          <w:szCs w:val="36"/>
        </w:rPr>
        <w:t>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优化“接诉即办”流程，落实“一次倾听”“一次见面”“一次沟通”“一次追踪成效”“四个一”要求。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全年办</w:t>
      </w:r>
      <w:r>
        <w:rPr>
          <w:rFonts w:hint="eastAsia" w:ascii="仿宋_GB2312" w:hAnsi="仿宋_GB2312" w:eastAsia="仿宋_GB2312" w:cs="仿宋_GB2312"/>
          <w:sz w:val="32"/>
          <w:szCs w:val="32"/>
        </w:rPr>
        <w:t>理热线诉求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4179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件，解决了一大批群众急难愁盼问题。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直派案件市排名连续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次位列全市前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0，综合成绩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个月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位列全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区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前五名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注重地区协调服务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。“五经普”清查单位、个体核查率100%，按时完成6大项40余次统计调查任务。1-11月清单内企业税收增长率为21.48%，走访增收效果全区第一，前三季度协税护税工作区级排名街道层面位列第三。主要领导带队走访内蒙古喀喇沁旗牛家营子镇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并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捐助资金5万元；为潭柘寺镇捐赠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钱物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16万元，支持做好灾后重建工作。</w:t>
      </w:r>
      <w:r>
        <w:rPr>
          <w:rFonts w:hint="eastAsia" w:ascii="仿宋_GB2312" w:hAnsi="Times New Roman" w:eastAsia="仿宋_GB2312" w:cs="Times New Roman"/>
          <w:b/>
          <w:bCs/>
          <w:color w:val="000000"/>
          <w:sz w:val="32"/>
          <w:szCs w:val="32"/>
        </w:rPr>
        <w:t>注重为民办实事落实。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跟踪管理年度为群众拟办重要实事进度，全部完成为居民安装便民充电桩接口、整治提升香炉营东巷环境、助残体检、为老助浴等7项办实事工作。</w:t>
      </w:r>
    </w:p>
    <w:p>
      <w:pPr>
        <w:snapToGrid w:val="0"/>
        <w:spacing w:line="52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  <w:highlight w:val="none"/>
          <w:u w:val="none"/>
        </w:rPr>
      </w:pPr>
      <w:bookmarkStart w:id="1" w:name="YS060102"/>
      <w:r>
        <w:rPr>
          <w:rFonts w:hint="eastAsia" w:ascii="黑体" w:hAnsi="黑体" w:eastAsia="黑体" w:cs="Times New Roman"/>
          <w:sz w:val="32"/>
          <w:szCs w:val="32"/>
          <w:highlight w:val="none"/>
          <w:u w:val="none"/>
        </w:rPr>
        <w:t>二、收入支出预算执行情况分析</w:t>
      </w:r>
    </w:p>
    <w:bookmarkEnd w:id="1"/>
    <w:p>
      <w:pPr>
        <w:snapToGrid w:val="0"/>
        <w:spacing w:line="520" w:lineRule="exact"/>
        <w:ind w:firstLine="643" w:firstLineChars="200"/>
        <w:rPr>
          <w:rFonts w:hint="eastAsia" w:ascii="楷体_GB2312" w:hAnsi="仿宋" w:eastAsia="楷体_GB2312"/>
          <w:b/>
          <w:sz w:val="32"/>
          <w:szCs w:val="32"/>
          <w:highlight w:val="none"/>
          <w:u w:val="none"/>
        </w:rPr>
      </w:pPr>
      <w:r>
        <w:rPr>
          <w:rFonts w:hint="eastAsia" w:ascii="楷体_GB2312" w:hAnsi="仿宋" w:eastAsia="楷体_GB2312"/>
          <w:b/>
          <w:sz w:val="32"/>
          <w:szCs w:val="32"/>
          <w:highlight w:val="none"/>
          <w:u w:val="none"/>
        </w:rPr>
        <w:t>（一）收入支出预算安排情况。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/>
          <w:sz w:val="32"/>
          <w:szCs w:val="32"/>
        </w:rPr>
        <w:t>年度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一般公共</w:t>
      </w:r>
      <w:r>
        <w:rPr>
          <w:rFonts w:hint="eastAsia" w:ascii="仿宋_GB2312" w:hAnsi="仿宋" w:eastAsia="仿宋_GB2312"/>
          <w:sz w:val="32"/>
          <w:szCs w:val="32"/>
        </w:rPr>
        <w:t>预算年初数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187498752.81</w:t>
      </w:r>
      <w:r>
        <w:rPr>
          <w:rFonts w:hint="eastAsia" w:ascii="仿宋_GB2312" w:hAnsi="仿宋" w:eastAsia="仿宋_GB2312"/>
          <w:sz w:val="32"/>
          <w:szCs w:val="32"/>
        </w:rPr>
        <w:t>元，预算调整数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176046226.68</w:t>
      </w:r>
      <w:r>
        <w:rPr>
          <w:rFonts w:hint="eastAsia" w:ascii="仿宋_GB2312" w:hAnsi="仿宋" w:eastAsia="仿宋_GB2312"/>
          <w:sz w:val="32"/>
          <w:szCs w:val="32"/>
        </w:rPr>
        <w:t>元，决算数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176046226.68</w:t>
      </w:r>
      <w:r>
        <w:rPr>
          <w:rFonts w:hint="eastAsia" w:ascii="仿宋_GB2312" w:hAnsi="仿宋" w:eastAsia="仿宋_GB2312"/>
          <w:sz w:val="32"/>
          <w:szCs w:val="32"/>
        </w:rPr>
        <w:t>元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,其中一般公共预算拨款为：184716261.26，</w:t>
      </w:r>
      <w:r>
        <w:rPr>
          <w:rFonts w:hint="eastAsia" w:ascii="仿宋_GB2312" w:hAnsi="仿宋" w:eastAsia="仿宋_GB2312"/>
          <w:sz w:val="32"/>
          <w:szCs w:val="32"/>
        </w:rPr>
        <w:t>政府性基金预算财政拨款收入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10000.00元，国有资本经营预算财政拨款0.00。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trike w:val="0"/>
          <w:dstrike w:val="0"/>
          <w:sz w:val="32"/>
          <w:szCs w:val="32"/>
          <w:highlight w:val="none"/>
          <w:u w:val="none"/>
        </w:rPr>
      </w:pPr>
      <w:r>
        <w:rPr>
          <w:rFonts w:hint="eastAsia" w:ascii="仿宋_GB2312" w:hAnsi="仿宋" w:eastAsia="仿宋_GB2312"/>
          <w:strike w:val="0"/>
          <w:dstrike w:val="0"/>
          <w:sz w:val="32"/>
          <w:szCs w:val="32"/>
          <w:highlight w:val="none"/>
          <w:u w:val="none"/>
          <w:lang w:eastAsia="zh-CN"/>
        </w:rPr>
        <w:t>预算</w:t>
      </w:r>
      <w:r>
        <w:rPr>
          <w:rFonts w:hint="eastAsia" w:ascii="仿宋_GB2312" w:hAnsi="仿宋" w:eastAsia="仿宋_GB2312"/>
          <w:strike w:val="0"/>
          <w:dstrike w:val="0"/>
          <w:sz w:val="32"/>
          <w:szCs w:val="32"/>
          <w:highlight w:val="none"/>
          <w:u w:val="none"/>
        </w:rPr>
        <w:t>收入本年18472.63万元，上年16401.4万元，同比增减额2071.23万元，同比增减率12.63%。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trike w:val="0"/>
          <w:dstrike w:val="0"/>
          <w:sz w:val="32"/>
          <w:szCs w:val="32"/>
          <w:highlight w:val="none"/>
          <w:u w:val="none"/>
        </w:rPr>
      </w:pPr>
      <w:r>
        <w:rPr>
          <w:rFonts w:hint="eastAsia" w:ascii="仿宋_GB2312" w:hAnsi="仿宋" w:eastAsia="仿宋_GB2312"/>
          <w:strike w:val="0"/>
          <w:dstrike w:val="0"/>
          <w:sz w:val="32"/>
          <w:szCs w:val="32"/>
          <w:highlight w:val="none"/>
          <w:u w:val="none"/>
          <w:lang w:eastAsia="zh-CN"/>
        </w:rPr>
        <w:t>预算支出</w:t>
      </w:r>
      <w:r>
        <w:rPr>
          <w:rFonts w:hint="eastAsia" w:ascii="仿宋_GB2312" w:hAnsi="仿宋" w:eastAsia="仿宋_GB2312"/>
          <w:strike w:val="0"/>
          <w:dstrike w:val="0"/>
          <w:sz w:val="32"/>
          <w:szCs w:val="32"/>
          <w:highlight w:val="none"/>
          <w:u w:val="none"/>
        </w:rPr>
        <w:t>本年18749.88万元，上年16401.4万元，同比增减额2348.48万元，同比增减率14.32%。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" w:eastAsia="仿宋_GB2312"/>
          <w:strike w:val="0"/>
          <w:dstrike w:val="0"/>
          <w:sz w:val="32"/>
          <w:szCs w:val="32"/>
          <w:highlight w:val="none"/>
          <w:u w:val="none"/>
          <w:lang w:eastAsia="zh-CN"/>
        </w:rPr>
        <w:t>其中</w:t>
      </w:r>
      <w:r>
        <w:rPr>
          <w:rFonts w:hint="eastAsia" w:ascii="仿宋_GB2312" w:hAnsi="仿宋" w:eastAsia="仿宋_GB2312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:</w:t>
      </w:r>
      <w:r>
        <w:rPr>
          <w:rFonts w:hint="eastAsia" w:ascii="仿宋_GB2312" w:hAnsi="仿宋" w:eastAsia="仿宋_GB2312"/>
          <w:strike w:val="0"/>
          <w:dstrike w:val="0"/>
          <w:sz w:val="32"/>
          <w:szCs w:val="32"/>
          <w:highlight w:val="none"/>
          <w:u w:val="none"/>
        </w:rPr>
        <w:t>基本支出5634.17万元（其中：人员经费4976.33万元</w:t>
      </w:r>
      <w:r>
        <w:rPr>
          <w:rFonts w:hint="eastAsia" w:ascii="仿宋_GB2312" w:hAnsi="仿宋" w:eastAsia="仿宋_GB2312"/>
          <w:sz w:val="32"/>
          <w:szCs w:val="32"/>
          <w:highlight w:val="none"/>
          <w:u w:val="none"/>
        </w:rPr>
        <w:t>，公用经费657.83万元），上年基本支出5382.93万元，同比增减额251.23万元，同比增减率4.67%，增减变动原因进行说明如下：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一、保险及公积金基数上调，增发；二，补发人员津贴及退休人员津贴；三，退休人员增加，支出增加；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u w:val="none"/>
        </w:rPr>
        <w:t>项目支出13115.71万元，上年项目支出11018.46万元，同比增减额2097.25万元，同比增减率19.03%。增减变动原因进行说明如下：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中央专项转移支付资金的拨付。</w:t>
      </w:r>
    </w:p>
    <w:p>
      <w:pPr>
        <w:snapToGrid w:val="0"/>
        <w:spacing w:line="520" w:lineRule="exact"/>
        <w:ind w:firstLine="643" w:firstLineChars="200"/>
        <w:rPr>
          <w:rFonts w:hint="eastAsia" w:ascii="仿宋_GB2312" w:hAnsi="仿宋" w:eastAsia="仿宋_GB2312"/>
          <w:color w:val="C00000"/>
          <w:sz w:val="32"/>
          <w:szCs w:val="32"/>
          <w:highlight w:val="none"/>
          <w:u w:val="none"/>
        </w:rPr>
      </w:pPr>
      <w:r>
        <w:rPr>
          <w:rFonts w:hint="eastAsia" w:ascii="楷体_GB2312" w:hAnsi="仿宋" w:eastAsia="楷体_GB2312"/>
          <w:b/>
          <w:sz w:val="32"/>
          <w:szCs w:val="32"/>
          <w:highlight w:val="none"/>
          <w:u w:val="none"/>
        </w:rPr>
        <w:t>（二）收入支出预算执行情况。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本年收入支出具体明细如下：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单位：元</w:t>
      </w:r>
    </w:p>
    <w:p>
      <w:pPr>
        <w:pStyle w:val="9"/>
        <w:rPr>
          <w:rFonts w:hint="eastAsia"/>
          <w:lang w:eastAsia="zh-CN"/>
        </w:rPr>
      </w:pPr>
    </w:p>
    <w:tbl>
      <w:tblPr>
        <w:tblStyle w:val="6"/>
        <w:tblW w:w="8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9"/>
        <w:gridCol w:w="2616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19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32"/>
              </w:rPr>
              <w:t>支出项目类别</w:t>
            </w:r>
          </w:p>
        </w:tc>
        <w:tc>
          <w:tcPr>
            <w:tcW w:w="2616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32"/>
                <w:lang w:eastAsia="zh-CN"/>
              </w:rPr>
              <w:t>年初</w:t>
            </w:r>
            <w:r>
              <w:rPr>
                <w:rFonts w:hint="eastAsia" w:ascii="仿宋_GB2312" w:hAnsi="仿宋" w:eastAsia="仿宋_GB2312" w:cs="宋体"/>
                <w:b/>
                <w:sz w:val="32"/>
                <w:szCs w:val="32"/>
              </w:rPr>
              <w:t>预算金额</w:t>
            </w:r>
          </w:p>
        </w:tc>
        <w:tc>
          <w:tcPr>
            <w:tcW w:w="2925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32"/>
                <w:lang w:eastAsia="zh-CN"/>
              </w:rPr>
              <w:t>决算</w:t>
            </w:r>
            <w:r>
              <w:rPr>
                <w:rFonts w:hint="eastAsia" w:ascii="仿宋_GB2312" w:hAnsi="仿宋" w:eastAsia="仿宋_GB2312" w:cs="宋体"/>
                <w:b/>
                <w:sz w:val="32"/>
                <w:szCs w:val="32"/>
              </w:rPr>
              <w:t>支出金额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19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一般公共服务支出</w:t>
            </w:r>
          </w:p>
        </w:tc>
        <w:tc>
          <w:tcPr>
            <w:tcW w:w="2616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60477984.67</w:t>
            </w:r>
          </w:p>
        </w:tc>
        <w:tc>
          <w:tcPr>
            <w:tcW w:w="2925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60579342.71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19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国防支出</w:t>
            </w:r>
          </w:p>
        </w:tc>
        <w:tc>
          <w:tcPr>
            <w:tcW w:w="2616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80000.00</w:t>
            </w:r>
          </w:p>
        </w:tc>
        <w:tc>
          <w:tcPr>
            <w:tcW w:w="2925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77971.17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19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公共安全支出</w:t>
            </w:r>
          </w:p>
        </w:tc>
        <w:tc>
          <w:tcPr>
            <w:tcW w:w="2616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633200.00</w:t>
            </w:r>
          </w:p>
        </w:tc>
        <w:tc>
          <w:tcPr>
            <w:tcW w:w="2925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574168.25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19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文体与传媒支出</w:t>
            </w:r>
          </w:p>
        </w:tc>
        <w:tc>
          <w:tcPr>
            <w:tcW w:w="2616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2489825.00</w:t>
            </w:r>
          </w:p>
        </w:tc>
        <w:tc>
          <w:tcPr>
            <w:tcW w:w="2925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2711188.94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19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社会保障与就业支出</w:t>
            </w:r>
          </w:p>
        </w:tc>
        <w:tc>
          <w:tcPr>
            <w:tcW w:w="2616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61456920.80</w:t>
            </w:r>
          </w:p>
        </w:tc>
        <w:tc>
          <w:tcPr>
            <w:tcW w:w="2925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58639552.69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19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卫生健康支出</w:t>
            </w:r>
          </w:p>
        </w:tc>
        <w:tc>
          <w:tcPr>
            <w:tcW w:w="2616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8579914.92</w:t>
            </w:r>
          </w:p>
        </w:tc>
        <w:tc>
          <w:tcPr>
            <w:tcW w:w="2925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8590858.14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19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节能环保支出</w:t>
            </w:r>
          </w:p>
        </w:tc>
        <w:tc>
          <w:tcPr>
            <w:tcW w:w="2616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943249.84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19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城乡社区支出</w:t>
            </w:r>
          </w:p>
        </w:tc>
        <w:tc>
          <w:tcPr>
            <w:tcW w:w="2616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46629303.50</w:t>
            </w:r>
          </w:p>
        </w:tc>
        <w:tc>
          <w:tcPr>
            <w:tcW w:w="2925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35524210.94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19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其他支出</w:t>
            </w:r>
          </w:p>
        </w:tc>
        <w:tc>
          <w:tcPr>
            <w:tcW w:w="2616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36700.00</w:t>
            </w:r>
          </w:p>
        </w:tc>
        <w:tc>
          <w:tcPr>
            <w:tcW w:w="2925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11500.00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19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住房保障支出</w:t>
            </w:r>
          </w:p>
        </w:tc>
        <w:tc>
          <w:tcPr>
            <w:tcW w:w="2616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7114903.92</w:t>
            </w:r>
          </w:p>
        </w:tc>
        <w:tc>
          <w:tcPr>
            <w:tcW w:w="2925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8297344.00</w:t>
            </w:r>
          </w:p>
        </w:tc>
      </w:tr>
    </w:tbl>
    <w:p>
      <w:pPr>
        <w:snapToGrid w:val="0"/>
        <w:spacing w:line="520" w:lineRule="exact"/>
        <w:rPr>
          <w:rFonts w:hint="eastAsia" w:ascii="仿宋_GB2312" w:hAnsi="仿宋" w:eastAsia="仿宋_GB2312"/>
          <w:color w:val="C00000"/>
          <w:sz w:val="32"/>
          <w:szCs w:val="32"/>
          <w:highlight w:val="none"/>
          <w:u w:val="none"/>
        </w:rPr>
      </w:pP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u w:val="none"/>
          <w:lang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  <w:highlight w:val="none"/>
          <w:u w:val="none"/>
        </w:rPr>
        <w:t>收入</w:t>
      </w:r>
      <w:r>
        <w:rPr>
          <w:rFonts w:hint="eastAsia" w:ascii="仿宋_GB2312" w:hAnsi="仿宋" w:eastAsia="仿宋_GB2312"/>
          <w:sz w:val="32"/>
          <w:szCs w:val="32"/>
          <w:highlight w:val="none"/>
          <w:u w:val="none"/>
          <w:lang w:eastAsia="zh-CN"/>
        </w:rPr>
        <w:t>本年</w:t>
      </w:r>
      <w:r>
        <w:rPr>
          <w:rFonts w:hint="eastAsia" w:ascii="仿宋_GB2312" w:hAnsi="仿宋" w:eastAsia="仿宋_GB2312"/>
          <w:sz w:val="32"/>
          <w:szCs w:val="32"/>
          <w:highlight w:val="none"/>
          <w:u w:val="none"/>
        </w:rPr>
        <w:t>17604.62万元，上年18228.25万元，同比增减额-623.63万元，同比增减率-3.42</w:t>
      </w:r>
      <w:r>
        <w:rPr>
          <w:rFonts w:ascii="仿宋_GB2312" w:hAnsi="仿宋" w:eastAsia="仿宋_GB2312"/>
          <w:sz w:val="32"/>
          <w:szCs w:val="32"/>
          <w:highlight w:val="none"/>
          <w:u w:val="none"/>
        </w:rPr>
        <w:t>%</w:t>
      </w:r>
      <w:r>
        <w:rPr>
          <w:rFonts w:hint="eastAsia" w:ascii="仿宋_GB2312" w:hAnsi="仿宋" w:eastAsia="仿宋_GB2312"/>
          <w:sz w:val="32"/>
          <w:szCs w:val="32"/>
          <w:highlight w:val="none"/>
          <w:u w:val="none"/>
        </w:rPr>
        <w:t>。增减变动原因进行说明如下：政府性基金预算财政拨款收入</w:t>
      </w:r>
      <w:r>
        <w:rPr>
          <w:rFonts w:hint="eastAsia" w:ascii="仿宋_GB2312" w:hAnsi="仿宋" w:eastAsia="仿宋_GB2312"/>
          <w:sz w:val="32"/>
          <w:szCs w:val="32"/>
          <w:highlight w:val="none"/>
          <w:u w:val="none"/>
          <w:lang w:eastAsia="zh-CN"/>
        </w:rPr>
        <w:t>减少。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u w:val="none"/>
        </w:rPr>
        <w:t>单位支出</w:t>
      </w:r>
      <w:r>
        <w:rPr>
          <w:rFonts w:hint="eastAsia" w:ascii="仿宋_GB2312" w:hAnsi="仿宋" w:eastAsia="仿宋_GB2312"/>
          <w:sz w:val="32"/>
          <w:szCs w:val="32"/>
          <w:highlight w:val="none"/>
          <w:u w:val="none"/>
          <w:lang w:eastAsia="zh-CN"/>
        </w:rPr>
        <w:t>本年</w:t>
      </w:r>
      <w:r>
        <w:rPr>
          <w:rFonts w:hint="eastAsia" w:ascii="仿宋_GB2312" w:hAnsi="仿宋" w:eastAsia="仿宋_GB2312"/>
          <w:sz w:val="32"/>
          <w:szCs w:val="32"/>
          <w:highlight w:val="none"/>
          <w:u w:val="none"/>
        </w:rPr>
        <w:t>17604.62万元，上年18316.37万元，同比增减额-711.75万元，同比增减率-3.89</w:t>
      </w:r>
      <w:r>
        <w:rPr>
          <w:rFonts w:ascii="仿宋_GB2312" w:hAnsi="仿宋" w:eastAsia="仿宋_GB2312"/>
          <w:sz w:val="32"/>
          <w:szCs w:val="32"/>
          <w:highlight w:val="none"/>
          <w:u w:val="none"/>
        </w:rPr>
        <w:t>%</w:t>
      </w:r>
      <w:r>
        <w:rPr>
          <w:rFonts w:hint="eastAsia" w:ascii="仿宋_GB2312" w:hAnsi="仿宋" w:eastAsia="仿宋_GB2312"/>
          <w:sz w:val="32"/>
          <w:szCs w:val="32"/>
          <w:highlight w:val="none"/>
          <w:u w:val="none"/>
        </w:rPr>
        <w:t>。增减变动原因进行说明如下：椿树园11号楼甲2号装修工程质保金</w:t>
      </w:r>
      <w:r>
        <w:rPr>
          <w:rFonts w:hint="eastAsia" w:ascii="仿宋_GB2312" w:hAnsi="仿宋" w:eastAsia="仿宋_GB2312"/>
          <w:sz w:val="32"/>
          <w:szCs w:val="32"/>
          <w:highlight w:val="none"/>
          <w:u w:val="none"/>
          <w:lang w:eastAsia="zh-CN"/>
        </w:rPr>
        <w:t>尾款未支付。</w:t>
      </w:r>
    </w:p>
    <w:p>
      <w:pPr>
        <w:snapToGrid w:val="0"/>
        <w:spacing w:line="520" w:lineRule="exact"/>
        <w:ind w:firstLine="643" w:firstLineChars="200"/>
        <w:rPr>
          <w:rFonts w:hint="eastAsia" w:ascii="仿宋_GB2312" w:hAnsi="仿宋" w:eastAsia="仿宋_GB2312"/>
          <w:b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1．收入支出与预算对比分析。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（1）</w:t>
      </w:r>
    </w:p>
    <w:p>
      <w:pPr>
        <w:snapToGrid w:val="0"/>
        <w:spacing w:before="156" w:beforeLines="50" w:after="156" w:afterLines="50" w:line="520" w:lineRule="exact"/>
        <w:jc w:val="center"/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支出预决算对比分析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表</w:t>
      </w:r>
    </w:p>
    <w:tbl>
      <w:tblPr>
        <w:tblStyle w:val="6"/>
        <w:tblW w:w="852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5"/>
        <w:gridCol w:w="1604"/>
        <w:gridCol w:w="1604"/>
        <w:gridCol w:w="1481"/>
        <w:gridCol w:w="12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</w:rPr>
              <w:t>项目</w:t>
            </w:r>
          </w:p>
        </w:tc>
        <w:tc>
          <w:tcPr>
            <w:tcW w:w="4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t>支出</w:t>
            </w:r>
          </w:p>
        </w:tc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t>年初</w:t>
            </w:r>
            <w:r>
              <w:rPr>
                <w:rFonts w:ascii="宋体" w:hAnsi="宋体" w:cs="宋体"/>
                <w:strike w:val="0"/>
                <w:dstrike w:val="0"/>
                <w:color w:val="auto"/>
                <w:kern w:val="0"/>
                <w:sz w:val="24"/>
                <w:highlight w:val="none"/>
                <w:u w:val="none"/>
              </w:rPr>
              <w:t>预算数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</w:rPr>
              <w:t>决算数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</w:rPr>
              <w:t>差异额</w:t>
            </w:r>
          </w:p>
        </w:tc>
        <w:tc>
          <w:tcPr>
            <w:tcW w:w="12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</w:rPr>
              <w:t>一、基本支出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Calibri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  <w:highlight w:val="none"/>
                <w:u w:val="none"/>
              </w:rPr>
              <w:t>5634.17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Calibri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  <w:highlight w:val="none"/>
                <w:u w:val="none"/>
              </w:rPr>
              <w:t>6358.1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Calibri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  <w:highlight w:val="none"/>
                <w:u w:val="none"/>
              </w:rPr>
              <w:t>723.93</w:t>
            </w:r>
          </w:p>
        </w:tc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360" w:firstLineChars="15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</w:rPr>
              <w:t>工资福利支出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Calibri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Calibri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5610.11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Calibri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2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360" w:firstLineChars="15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商品和服务支出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Calibri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Calibri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428.56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Calibri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2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u w:val="none"/>
                <w:lang w:val="en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对个人和家庭的补助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Calibri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Calibri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313.75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Calibri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2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</w:rPr>
              <w:t>二、项目支出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Calibri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  <w:highlight w:val="none"/>
                <w:u w:val="none"/>
              </w:rPr>
              <w:t>13115.71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Calibri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  <w:highlight w:val="none"/>
                <w:u w:val="none"/>
              </w:rPr>
              <w:t>11246.53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Calibri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  <w:highlight w:val="none"/>
                <w:u w:val="none"/>
              </w:rPr>
              <w:t>-1869.18</w:t>
            </w:r>
          </w:p>
        </w:tc>
        <w:tc>
          <w:tcPr>
            <w:tcW w:w="12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40" w:firstLineChars="10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</w:rPr>
              <w:t>工资福利支出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" w:eastAsia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" w:eastAsia="仿宋_GB2312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1890.88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" w:eastAsia="仿宋_GB2312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2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40" w:firstLineChars="10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商品和服务支出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" w:eastAsia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" w:eastAsia="仿宋_GB2312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7000.9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" w:eastAsia="仿宋_GB2312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2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40" w:firstLineChars="10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对个人和家庭的补助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" w:eastAsia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" w:eastAsia="仿宋_GB2312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2260.62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" w:eastAsia="仿宋_GB2312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2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40" w:firstLineChars="10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债务利息及费用支出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Calibri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Calibri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Calibri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2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资本性支出（基本建设）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Calibri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Calibri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Calibri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2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资本性支出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Calibri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Calibri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  <w:highlight w:val="none"/>
                <w:u w:val="none"/>
              </w:rPr>
              <w:t>99.8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Calibri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  <w:highlight w:val="none"/>
                <w:u w:val="none"/>
              </w:rPr>
              <w:t>99.8</w:t>
            </w:r>
          </w:p>
        </w:tc>
        <w:tc>
          <w:tcPr>
            <w:tcW w:w="12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对企业补助（基本建设）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Calibri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Calibri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Calibri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2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u w:val="none"/>
                <w:lang w:val="en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对企业补助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Calibri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Calibri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Calibri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2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u w:val="none"/>
                <w:lang w:val="en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对社会保障基金补助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Calibri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Calibri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Calibri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2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u w:val="none"/>
                <w:lang w:val="en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其他支出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Calibri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Calibri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Calibri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2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</w:rPr>
              <w:t>支出合计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Calibri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  <w:highlight w:val="none"/>
                <w:u w:val="none"/>
              </w:rPr>
              <w:t>18749.88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Calibri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  <w:highlight w:val="none"/>
                <w:u w:val="none"/>
              </w:rPr>
              <w:t>17604.62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Calibri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  <w:highlight w:val="none"/>
                <w:u w:val="none"/>
              </w:rPr>
              <w:t>-1145.25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</w:tbl>
    <w:p>
      <w:pPr>
        <w:pStyle w:val="9"/>
        <w:numPr>
          <w:ilvl w:val="0"/>
          <w:numId w:val="0"/>
        </w:numPr>
        <w:ind w:leftChars="200"/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（2）具体原因退休人员养老金提升，养老服务方面提升。新增大件垃圾项目。</w:t>
      </w:r>
    </w:p>
    <w:p>
      <w:pPr>
        <w:snapToGrid w:val="0"/>
        <w:spacing w:line="520" w:lineRule="exact"/>
        <w:ind w:firstLine="643" w:firstLineChars="200"/>
        <w:rPr>
          <w:rFonts w:hint="eastAsia" w:ascii="仿宋_GB2312" w:hAnsi="仿宋" w:eastAsia="仿宋_GB2312"/>
          <w:b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2．收入支出结构分析。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（1）</w:t>
      </w:r>
    </w:p>
    <w:p>
      <w:pPr>
        <w:snapToGrid w:val="0"/>
        <w:spacing w:before="156" w:beforeLines="50" w:after="156" w:afterLines="50" w:line="520" w:lineRule="exact"/>
        <w:jc w:val="center"/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收入占比情况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表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9"/>
        <w:gridCol w:w="2155"/>
        <w:gridCol w:w="2277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399" w:type="dxa"/>
            <w:vMerge w:val="restar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  <w:t>项目</w:t>
            </w:r>
          </w:p>
        </w:tc>
        <w:tc>
          <w:tcPr>
            <w:tcW w:w="443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  <w:t>收入</w:t>
            </w:r>
          </w:p>
        </w:tc>
        <w:tc>
          <w:tcPr>
            <w:tcW w:w="168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39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  <w:t>决算数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  <w:t>占总收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  <w:t>入比重</w:t>
            </w:r>
          </w:p>
        </w:tc>
        <w:tc>
          <w:tcPr>
            <w:tcW w:w="1688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3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highlight w:val="none"/>
                <w:u w:val="none"/>
              </w:rPr>
            </w:pPr>
            <w:r>
              <w:rPr>
                <w:sz w:val="24"/>
                <w:highlight w:val="none"/>
                <w:u w:val="none"/>
              </w:rPr>
              <w:t>一般公共预算财政拨款收入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17593.79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99.94%</w:t>
            </w:r>
          </w:p>
        </w:tc>
        <w:tc>
          <w:tcPr>
            <w:tcW w:w="168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3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highlight w:val="none"/>
                <w:u w:val="none"/>
              </w:rPr>
            </w:pPr>
            <w:r>
              <w:rPr>
                <w:rFonts w:hint="eastAsia"/>
                <w:sz w:val="24"/>
                <w:highlight w:val="none"/>
                <w:u w:val="none"/>
              </w:rPr>
              <w:t>政府性基金预算财政拨款收入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1.15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0.01%</w:t>
            </w:r>
          </w:p>
        </w:tc>
        <w:tc>
          <w:tcPr>
            <w:tcW w:w="168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3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u w:val="none"/>
                <w:lang w:val="en-US" w:eastAsia="zh-CN"/>
              </w:rPr>
              <w:t>国有资本经营预算财政拨款收入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9.68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0.06%</w:t>
            </w:r>
          </w:p>
        </w:tc>
        <w:tc>
          <w:tcPr>
            <w:tcW w:w="168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u w:val="none"/>
                <w:lang w:eastAsia="zh-CN"/>
              </w:rPr>
              <w:t>上级补助收入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0%</w:t>
            </w:r>
          </w:p>
        </w:tc>
        <w:tc>
          <w:tcPr>
            <w:tcW w:w="168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u w:val="none"/>
                <w:lang w:eastAsia="zh-CN"/>
              </w:rPr>
              <w:t>事业收入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0%</w:t>
            </w:r>
          </w:p>
        </w:tc>
        <w:tc>
          <w:tcPr>
            <w:tcW w:w="168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u w:val="none"/>
                <w:lang w:eastAsia="zh-CN"/>
              </w:rPr>
              <w:t>经营收入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0%</w:t>
            </w:r>
          </w:p>
        </w:tc>
        <w:tc>
          <w:tcPr>
            <w:tcW w:w="168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u w:val="none"/>
                <w:lang w:eastAsia="zh-CN"/>
              </w:rPr>
              <w:t>附属单位上缴收入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0%</w:t>
            </w:r>
          </w:p>
        </w:tc>
        <w:tc>
          <w:tcPr>
            <w:tcW w:w="168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39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highlight w:val="none"/>
                <w:u w:val="none"/>
              </w:rPr>
            </w:pPr>
            <w:r>
              <w:rPr>
                <w:rFonts w:hint="eastAsia"/>
                <w:sz w:val="24"/>
                <w:highlight w:val="none"/>
                <w:u w:val="none"/>
              </w:rPr>
              <w:t>其他收入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0%</w:t>
            </w:r>
          </w:p>
        </w:tc>
        <w:tc>
          <w:tcPr>
            <w:tcW w:w="168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  <w:highlight w:val="none"/>
                <w:u w:val="none"/>
              </w:rPr>
            </w:pPr>
          </w:p>
        </w:tc>
      </w:tr>
    </w:tbl>
    <w:p>
      <w:pPr>
        <w:snapToGrid w:val="0"/>
        <w:spacing w:before="156" w:beforeLines="50" w:after="156" w:afterLines="50" w:line="520" w:lineRule="exact"/>
        <w:jc w:val="center"/>
        <w:rPr>
          <w:rFonts w:hint="eastAsia" w:ascii="仿宋_GB2312" w:hAnsi="仿宋" w:eastAsia="仿宋_GB2312"/>
          <w:sz w:val="32"/>
          <w:szCs w:val="32"/>
          <w:highlight w:val="none"/>
        </w:rPr>
      </w:pPr>
    </w:p>
    <w:p>
      <w:pPr>
        <w:snapToGrid w:val="0"/>
        <w:spacing w:before="156" w:beforeLines="50" w:after="156" w:afterLines="50" w:line="520" w:lineRule="exact"/>
        <w:jc w:val="center"/>
        <w:rPr>
          <w:rFonts w:hint="eastAsia" w:ascii="仿宋_GB2312" w:hAnsi="仿宋" w:eastAsia="仿宋_GB2312"/>
          <w:sz w:val="32"/>
          <w:szCs w:val="32"/>
          <w:highlight w:val="none"/>
        </w:rPr>
      </w:pPr>
    </w:p>
    <w:p>
      <w:pPr>
        <w:snapToGrid w:val="0"/>
        <w:spacing w:before="156" w:beforeLines="50" w:after="156" w:afterLines="50" w:line="520" w:lineRule="exact"/>
        <w:jc w:val="center"/>
        <w:rPr>
          <w:rFonts w:hint="eastAsia" w:ascii="仿宋_GB2312" w:hAnsi="仿宋" w:eastAsia="仿宋_GB2312"/>
          <w:sz w:val="32"/>
          <w:szCs w:val="32"/>
          <w:highlight w:val="none"/>
        </w:rPr>
      </w:pPr>
    </w:p>
    <w:p>
      <w:pPr>
        <w:snapToGrid w:val="0"/>
        <w:spacing w:before="156" w:beforeLines="50" w:after="156" w:afterLines="50" w:line="520" w:lineRule="exact"/>
        <w:jc w:val="center"/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支出占比情况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表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5"/>
        <w:gridCol w:w="2209"/>
        <w:gridCol w:w="2152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435" w:type="dxa"/>
            <w:vMerge w:val="restar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  <w:t>项目</w:t>
            </w:r>
          </w:p>
        </w:tc>
        <w:tc>
          <w:tcPr>
            <w:tcW w:w="436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  <w:t>支出</w:t>
            </w:r>
          </w:p>
        </w:tc>
        <w:tc>
          <w:tcPr>
            <w:tcW w:w="172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43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  <w:t>决算数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  <w:t>占总支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  <w:t>出比重</w:t>
            </w:r>
          </w:p>
        </w:tc>
        <w:tc>
          <w:tcPr>
            <w:tcW w:w="1723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4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  <w:t>一、基本支出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6358.1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36.12%</w:t>
            </w:r>
          </w:p>
        </w:tc>
        <w:tc>
          <w:tcPr>
            <w:tcW w:w="172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4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both"/>
              <w:rPr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  <w:t>工资福利支出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5610.11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31.87%</w:t>
            </w:r>
          </w:p>
        </w:tc>
        <w:tc>
          <w:tcPr>
            <w:tcW w:w="1723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both"/>
              <w:rPr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  <w:u w:val="none"/>
              </w:rPr>
              <w:t>商品和服务支出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428.56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2.43%</w:t>
            </w:r>
          </w:p>
        </w:tc>
        <w:tc>
          <w:tcPr>
            <w:tcW w:w="1723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4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both"/>
              <w:rPr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  <w:t>对个人和家庭补助支出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313.75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1.78%</w:t>
            </w:r>
          </w:p>
        </w:tc>
        <w:tc>
          <w:tcPr>
            <w:tcW w:w="1723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4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  <w:t>二、项目支出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11246.53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63.88%</w:t>
            </w:r>
          </w:p>
        </w:tc>
        <w:tc>
          <w:tcPr>
            <w:tcW w:w="1723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4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  <w:t>工资福利支出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1890.88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10.74%</w:t>
            </w:r>
          </w:p>
        </w:tc>
        <w:tc>
          <w:tcPr>
            <w:tcW w:w="1723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4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  <w:u w:val="none"/>
              </w:rPr>
              <w:t>商品和服务支出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2260.62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39.77%</w:t>
            </w:r>
          </w:p>
        </w:tc>
        <w:tc>
          <w:tcPr>
            <w:tcW w:w="1723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4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  <w:t>对个人和家庭补助支出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2260.62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12.84%</w:t>
            </w:r>
          </w:p>
        </w:tc>
        <w:tc>
          <w:tcPr>
            <w:tcW w:w="1723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4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both"/>
              <w:rPr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  <w:u w:val="none"/>
              </w:rPr>
              <w:t>债务利息及费用支出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0%</w:t>
            </w:r>
          </w:p>
        </w:tc>
        <w:tc>
          <w:tcPr>
            <w:tcW w:w="1723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4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both"/>
              <w:rPr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  <w:u w:val="none"/>
              </w:rPr>
              <w:t>资本性支出（基本建设）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0%</w:t>
            </w:r>
          </w:p>
        </w:tc>
        <w:tc>
          <w:tcPr>
            <w:tcW w:w="1723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4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both"/>
              <w:rPr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  <w:u w:val="none"/>
              </w:rPr>
              <w:t>资本性支出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99.8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0.57%</w:t>
            </w:r>
          </w:p>
        </w:tc>
        <w:tc>
          <w:tcPr>
            <w:tcW w:w="1723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4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both"/>
              <w:rPr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  <w:u w:val="none"/>
              </w:rPr>
              <w:t>对企业补助（基本建设）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0%</w:t>
            </w:r>
          </w:p>
        </w:tc>
        <w:tc>
          <w:tcPr>
            <w:tcW w:w="1723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4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both"/>
              <w:rPr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  <w:u w:val="none"/>
              </w:rPr>
              <w:t>对企业补助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0%</w:t>
            </w:r>
          </w:p>
        </w:tc>
        <w:tc>
          <w:tcPr>
            <w:tcW w:w="1723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4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both"/>
              <w:rPr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  <w:u w:val="none"/>
              </w:rPr>
              <w:t>对社会保障基金补助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0%</w:t>
            </w:r>
          </w:p>
        </w:tc>
        <w:tc>
          <w:tcPr>
            <w:tcW w:w="1723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4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ascii="宋体" w:hAnsi="宋体" w:eastAsia="宋体" w:cs="宋体"/>
                <w:sz w:val="24"/>
                <w:szCs w:val="24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  <w:u w:val="none"/>
              </w:rPr>
              <w:t>其他支出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0%</w:t>
            </w:r>
          </w:p>
        </w:tc>
        <w:tc>
          <w:tcPr>
            <w:tcW w:w="1723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highlight w:val="none"/>
                <w:u w:val="none"/>
              </w:rPr>
            </w:pPr>
          </w:p>
        </w:tc>
      </w:tr>
    </w:tbl>
    <w:p>
      <w:pPr>
        <w:snapToGrid w:val="0"/>
        <w:spacing w:before="156" w:beforeLines="50" w:after="156" w:afterLines="50" w:line="520" w:lineRule="exact"/>
        <w:jc w:val="center"/>
        <w:rPr>
          <w:rFonts w:hint="eastAsia" w:ascii="仿宋_GB2312" w:hAnsi="仿宋" w:eastAsia="仿宋_GB2312"/>
          <w:sz w:val="32"/>
          <w:szCs w:val="32"/>
          <w:highlight w:val="none"/>
        </w:rPr>
      </w:pPr>
    </w:p>
    <w:p>
      <w:pPr>
        <w:snapToGrid w:val="0"/>
        <w:spacing w:before="156" w:beforeLines="50" w:after="156" w:afterLines="50" w:line="520" w:lineRule="exact"/>
        <w:jc w:val="center"/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支出对比情况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表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1928"/>
        <w:gridCol w:w="1710"/>
        <w:gridCol w:w="1653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521" w:type="dxa"/>
            <w:vMerge w:val="restar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  <w:t>功能分类</w:t>
            </w:r>
          </w:p>
        </w:tc>
        <w:tc>
          <w:tcPr>
            <w:tcW w:w="529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  <w:t>支出</w:t>
            </w:r>
          </w:p>
        </w:tc>
        <w:tc>
          <w:tcPr>
            <w:tcW w:w="707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52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  <w:t>本年决算数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  <w:t>上年决算数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  <w:t>差异额</w:t>
            </w:r>
          </w:p>
        </w:tc>
        <w:tc>
          <w:tcPr>
            <w:tcW w:w="707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  <w:t>一般公共服务支出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6057.93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6111.91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-53.98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5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  <w:u w:val="none"/>
              </w:rPr>
              <w:t>外交支出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  <w:u w:val="none"/>
              </w:rPr>
              <w:t>国防支出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7.8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4.95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2.84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  <w:u w:val="none"/>
              </w:rPr>
              <w:t>公共安全支出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57.42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62.34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-4.92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  <w:u w:val="none"/>
              </w:rPr>
              <w:t>教育支出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  <w:u w:val="none"/>
              </w:rPr>
              <w:t>科学技术支出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  <w:u w:val="none"/>
              </w:rPr>
              <w:t>文化旅游体育与传媒支出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271.12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219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52.12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  <w:u w:val="none"/>
              </w:rPr>
              <w:t>社会保障和就业支出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5863.96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6316.12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-452.16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  <w:u w:val="none"/>
              </w:rPr>
              <w:t>卫生健康支出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859.09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695.61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163.48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  <w:u w:val="none"/>
              </w:rPr>
              <w:t>节能环保支出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94.32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94.32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  <w:u w:val="none"/>
              </w:rPr>
              <w:t>城乡社区支出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3552.42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3972.12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-419.69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  <w:u w:val="none"/>
              </w:rPr>
              <w:t>农林水支出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  <w:u w:val="none"/>
              </w:rPr>
              <w:t>交通运输支出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  <w:u w:val="none"/>
              </w:rPr>
              <w:t>资源勘探工业信息等支出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  <w:u w:val="none"/>
              </w:rPr>
              <w:t>商业服务业等支出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  <w:u w:val="none"/>
              </w:rPr>
              <w:t>金融支出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  <w:u w:val="none"/>
              </w:rPr>
              <w:t>援助其他地区支出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  <w:u w:val="none"/>
              </w:rPr>
              <w:t>自然资源海洋气象等支出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  <w:u w:val="none"/>
              </w:rPr>
              <w:t>住房保障支出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829.73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933.94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-104.2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  <w:u w:val="none"/>
              </w:rPr>
              <w:t>粮油物资储备支出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  <w:u w:val="none"/>
              </w:rPr>
              <w:t>国有资本经营预算支出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9.68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9.68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  <w:u w:val="none"/>
              </w:rPr>
              <w:t>灾害防治及应急管理支出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  <w:u w:val="none"/>
              </w:rPr>
              <w:t>其他支出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1.15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0.39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0.76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  <w:u w:val="none"/>
              </w:rPr>
              <w:t>债务还本支出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  <w:u w:val="none"/>
              </w:rPr>
              <w:t>债务付息支出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2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  <w:u w:val="none"/>
              </w:rPr>
              <w:t>抗疫特别国债安排的支出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</w:tr>
    </w:tbl>
    <w:p>
      <w:pPr>
        <w:snapToGrid w:val="0"/>
        <w:spacing w:before="156" w:beforeLines="50" w:line="520" w:lineRule="exact"/>
        <w:ind w:firstLine="643" w:firstLineChars="200"/>
        <w:rPr>
          <w:rFonts w:hint="eastAsia" w:ascii="仿宋_GB2312" w:hAnsi="仿宋" w:eastAsia="仿宋_GB2312"/>
          <w:b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3．支出按经济分类科目分析。</w:t>
      </w:r>
    </w:p>
    <w:p>
      <w:pPr>
        <w:tabs>
          <w:tab w:val="left" w:pos="5533"/>
        </w:tabs>
        <w:snapToGrid w:val="0"/>
        <w:spacing w:line="520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（1）“三公”经费支出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10664.98元，</w:t>
      </w:r>
    </w:p>
    <w:p>
      <w:pPr>
        <w:numPr>
          <w:ilvl w:val="0"/>
          <w:numId w:val="2"/>
        </w:numPr>
        <w:snapToGrid w:val="0"/>
        <w:spacing w:line="520" w:lineRule="exact"/>
        <w:ind w:left="0" w:leftChars="0"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会议费支出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0.00元</w:t>
      </w:r>
    </w:p>
    <w:p>
      <w:pPr>
        <w:numPr>
          <w:ilvl w:val="0"/>
          <w:numId w:val="2"/>
        </w:numPr>
        <w:snapToGrid w:val="0"/>
        <w:spacing w:line="520" w:lineRule="exact"/>
        <w:ind w:left="0" w:leftChars="0"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培训费支出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为186077.77元</w:t>
      </w:r>
    </w:p>
    <w:p>
      <w:pPr>
        <w:pStyle w:val="4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/>
          <w:sz w:val="32"/>
          <w:szCs w:val="32"/>
          <w:lang w:val="en-US" w:eastAsia="zh-CN"/>
        </w:rPr>
        <w:t>（4）公务用车运行维修费为10664.98元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（4）其他对单位影响较大的支出情况。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无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（5）重点经济分类支出中存在的问题及改进措施。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无</w:t>
      </w:r>
    </w:p>
    <w:p>
      <w:pPr>
        <w:snapToGrid w:val="0"/>
        <w:spacing w:line="520" w:lineRule="exact"/>
        <w:ind w:firstLine="643" w:firstLineChars="200"/>
        <w:rPr>
          <w:rFonts w:hint="eastAsia" w:ascii="仿宋_GB2312" w:hAnsi="仿宋" w:eastAsia="仿宋_GB2312"/>
          <w:b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4.财政拨款收入、支出分析。</w:t>
      </w:r>
    </w:p>
    <w:p>
      <w:pPr>
        <w:snapToGrid w:val="0"/>
        <w:spacing w:line="520" w:lineRule="exact"/>
        <w:ind w:firstLine="640" w:firstLineChars="200"/>
        <w:rPr>
          <w:rFonts w:hint="default" w:eastAsia="宋体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2023年度街道财政拨款收入为176046226.68万元，其中一般公共预算财政拨款收入175937886.68元，政府性基金预算财政拨款收入11500.00元，国有资本经营预算财政拨款收入96840.00元；本年支出数为176046226.68元，其中基本支出63580971.16元；项目支出为112465255.52元.本年年初结转和结余0.00元，年末结转和结余0.00元。</w:t>
      </w:r>
    </w:p>
    <w:p>
      <w:pPr>
        <w:snapToGrid w:val="0"/>
        <w:spacing w:line="520" w:lineRule="exact"/>
        <w:ind w:firstLine="643" w:firstLineChars="200"/>
        <w:rPr>
          <w:rFonts w:hint="eastAsia" w:ascii="楷体_GB2312" w:hAnsi="仿宋" w:eastAsia="楷体_GB2312"/>
          <w:b/>
          <w:sz w:val="32"/>
          <w:szCs w:val="32"/>
          <w:highlight w:val="none"/>
        </w:rPr>
      </w:pPr>
      <w:r>
        <w:rPr>
          <w:rFonts w:hint="eastAsia" w:ascii="楷体_GB2312" w:hAnsi="仿宋" w:eastAsia="楷体_GB2312"/>
          <w:b/>
          <w:sz w:val="32"/>
          <w:szCs w:val="32"/>
          <w:highlight w:val="none"/>
        </w:rPr>
        <w:t>（三）年末结转和结余情况。</w:t>
      </w:r>
    </w:p>
    <w:p>
      <w:pPr>
        <w:snapToGrid w:val="0"/>
        <w:spacing w:line="520" w:lineRule="exact"/>
        <w:ind w:firstLine="640" w:firstLineChars="200"/>
        <w:rPr>
          <w:rFonts w:hint="default"/>
          <w:lang w:val="en-US"/>
        </w:rPr>
      </w:pPr>
      <w:r>
        <w:rPr>
          <w:rFonts w:hint="eastAsia" w:ascii="仿宋_GB2312" w:hAnsi="仿宋" w:eastAsia="仿宋_GB2312"/>
          <w:sz w:val="32"/>
          <w:szCs w:val="32"/>
        </w:rPr>
        <w:t>1．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年末结转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0.00元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color w:val="C00000"/>
          <w:sz w:val="32"/>
          <w:szCs w:val="32"/>
          <w:highlight w:val="none"/>
        </w:rPr>
      </w:pPr>
    </w:p>
    <w:p>
      <w:pPr>
        <w:snapToGrid w:val="0"/>
        <w:spacing w:line="520" w:lineRule="exact"/>
        <w:ind w:firstLine="643" w:firstLineChars="200"/>
        <w:rPr>
          <w:rFonts w:hint="eastAsia" w:ascii="楷体_GB2312" w:hAnsi="仿宋" w:eastAsia="楷体_GB2312"/>
          <w:b/>
          <w:sz w:val="32"/>
          <w:szCs w:val="32"/>
          <w:highlight w:val="none"/>
        </w:rPr>
      </w:pPr>
      <w:bookmarkStart w:id="2" w:name="YS060103"/>
      <w:r>
        <w:rPr>
          <w:rFonts w:hint="eastAsia" w:ascii="楷体_GB2312" w:hAnsi="仿宋" w:eastAsia="楷体_GB2312"/>
          <w:b/>
          <w:sz w:val="32"/>
          <w:szCs w:val="32"/>
          <w:highlight w:val="none"/>
        </w:rPr>
        <w:t>（四）与预算支出相关的其他指标分析。</w:t>
      </w:r>
    </w:p>
    <w:p>
      <w:pPr>
        <w:jc w:val="center"/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资产构成结构分析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表</w:t>
      </w:r>
    </w:p>
    <w:tbl>
      <w:tblPr>
        <w:tblStyle w:val="6"/>
        <w:tblW w:w="86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662"/>
        <w:gridCol w:w="1530"/>
        <w:gridCol w:w="1560"/>
        <w:gridCol w:w="127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  <w:t>项目</w:t>
            </w:r>
          </w:p>
        </w:tc>
        <w:tc>
          <w:tcPr>
            <w:tcW w:w="4752" w:type="dxa"/>
            <w:gridSpan w:val="3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  <w:t>与上年总资产对比情况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  <w:t>资产占比情况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  <w:t>本年数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  <w:t>上年数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  <w:t>差异额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  <w:t>本年数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" w:eastAsia="仿宋_GB2312" w:cs="Times New Roman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 w:cs="Times New Roman"/>
                <w:sz w:val="24"/>
                <w:highlight w:val="none"/>
                <w:u w:val="none"/>
              </w:rPr>
              <w:t>总资产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 w:cs="Times New Roman"/>
                <w:sz w:val="24"/>
                <w:highlight w:val="none"/>
                <w:u w:val="none"/>
              </w:rPr>
              <w:t>占比率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  <w:t>货币资金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  <w:r>
              <w:rPr>
                <w:rFonts w:hint="eastAsia" w:ascii="仿宋_GB2312" w:hAnsi="仿宋" w:eastAsia="仿宋_GB2312" w:cs="Times New Roman"/>
                <w:sz w:val="21"/>
                <w:szCs w:val="21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  <w:t>财政应返回额度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hint="eastAsia" w:ascii="仿宋_GB2312" w:hAnsi="仿宋" w:eastAsia="仿宋_GB2312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  <w:r>
              <w:rPr>
                <w:rFonts w:hint="eastAsia" w:ascii="仿宋_GB2312" w:hAnsi="仿宋" w:eastAsia="仿宋_GB2312" w:cs="Times New Roman"/>
                <w:sz w:val="21"/>
                <w:szCs w:val="21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  <w:t>固定资产原值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9257.18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9166.99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90.19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9257.18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100</w:t>
            </w:r>
            <w:r>
              <w:rPr>
                <w:rFonts w:hint="eastAsia" w:ascii="仿宋_GB2312" w:hAnsi="仿宋" w:eastAsia="仿宋_GB2312" w:cs="Times New Roman"/>
                <w:sz w:val="21"/>
                <w:szCs w:val="21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  <w:t>在建工程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  <w:r>
              <w:rPr>
                <w:rFonts w:hint="eastAsia" w:ascii="仿宋_GB2312" w:hAnsi="仿宋" w:eastAsia="仿宋_GB2312" w:cs="Times New Roman"/>
                <w:sz w:val="21"/>
                <w:szCs w:val="21"/>
                <w:highlight w:val="none"/>
                <w:u w:val="none"/>
              </w:rPr>
              <w:t>%</w:t>
            </w:r>
          </w:p>
        </w:tc>
      </w:tr>
    </w:tbl>
    <w:p>
      <w:pPr>
        <w:snapToGrid w:val="0"/>
        <w:spacing w:before="156" w:beforeLines="50" w:after="156" w:afterLines="50" w:line="520" w:lineRule="exact"/>
        <w:jc w:val="center"/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负债构成结构分析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表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632"/>
        <w:gridCol w:w="1530"/>
        <w:gridCol w:w="1530"/>
        <w:gridCol w:w="1305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  <w:t>项目</w:t>
            </w:r>
          </w:p>
        </w:tc>
        <w:tc>
          <w:tcPr>
            <w:tcW w:w="4692" w:type="dxa"/>
            <w:gridSpan w:val="3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  <w:t>与上年总负债对比情况</w:t>
            </w:r>
          </w:p>
        </w:tc>
        <w:tc>
          <w:tcPr>
            <w:tcW w:w="2438" w:type="dxa"/>
            <w:gridSpan w:val="2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  <w:t>负债占比情况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  <w:t>本年数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  <w:t>上年数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  <w:t>差异额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  <w:t>本年数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highlight w:val="none"/>
                <w:u w:val="none"/>
              </w:rPr>
            </w:pPr>
            <w:r>
              <w:rPr>
                <w:rFonts w:hint="eastAsia"/>
                <w:highlight w:val="none"/>
                <w:u w:val="none"/>
              </w:rPr>
              <w:t>总负债</w:t>
            </w:r>
          </w:p>
          <w:p>
            <w:pPr>
              <w:ind w:firstLine="210" w:firstLineChars="100"/>
              <w:jc w:val="center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/>
                <w:highlight w:val="none"/>
                <w:u w:val="none"/>
              </w:rPr>
              <w:t>占比率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  <w:t>借款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  <w:r>
              <w:rPr>
                <w:rFonts w:hint="eastAsia" w:ascii="仿宋_GB2312" w:hAnsi="仿宋" w:eastAsia="仿宋_GB2312" w:cs="Times New Roman"/>
                <w:sz w:val="21"/>
                <w:szCs w:val="21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  <w:t>应缴财政款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  <w:r>
              <w:rPr>
                <w:rFonts w:hint="eastAsia" w:ascii="仿宋_GB2312" w:hAnsi="仿宋" w:eastAsia="仿宋_GB2312" w:cs="Times New Roman"/>
                <w:sz w:val="21"/>
                <w:szCs w:val="21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  <w:t>应付职工薪酬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hint="eastAsia" w:ascii="仿宋_GB2312" w:hAnsi="仿宋" w:eastAsia="仿宋_GB2312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hint="eastAsia" w:ascii="仿宋_GB2312" w:hAnsi="仿宋" w:eastAsia="仿宋_GB2312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highlight w:val="none"/>
                <w:u w:val="none"/>
              </w:rPr>
              <w:t>0</w:t>
            </w:r>
            <w:r>
              <w:rPr>
                <w:rFonts w:hint="eastAsia" w:ascii="仿宋_GB2312" w:hAnsi="仿宋" w:eastAsia="仿宋_GB2312" w:cs="Times New Roman"/>
                <w:sz w:val="21"/>
                <w:szCs w:val="21"/>
                <w:highlight w:val="none"/>
                <w:u w:val="none"/>
              </w:rPr>
              <w:t>%</w:t>
            </w:r>
          </w:p>
        </w:tc>
      </w:tr>
      <w:bookmarkEnd w:id="2"/>
    </w:tbl>
    <w:p>
      <w:pPr>
        <w:snapToGrid w:val="0"/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  <w:highlight w:val="none"/>
        </w:rPr>
      </w:pPr>
      <w:bookmarkStart w:id="3" w:name="YS060104"/>
    </w:p>
    <w:p>
      <w:pPr>
        <w:snapToGrid w:val="0"/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三、本年度部门决算等财务工作开展情况</w:t>
      </w:r>
    </w:p>
    <w:bookmarkEnd w:id="3"/>
    <w:p>
      <w:pPr>
        <w:snapToGrid w:val="0"/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（一）本单位财务管理、绩效管理、决算组织、编报、审核情况。</w:t>
      </w:r>
    </w:p>
    <w:p>
      <w:pPr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28"/>
        </w:rPr>
        <w:t>（1）做好决算前的准备工作，提前完成相关工作。（2）完成现金、银行、拨款额度的各项数据的核对工作，完成账目调整工作，为决算数据编报奠定基础。（3）开展报表填报工作。认真核对期初数据额，核对预算收入、基金收入，核对支出数字，开展填报工作。对决算中发现的问题及时更正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（二）本单位决算公开工作、主管部门对所属单位按规定批复决算工作开展情况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按照相关规定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在西城区政府平台预算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-决算平台中，</w:t>
      </w:r>
      <w:r>
        <w:rPr>
          <w:rFonts w:hint="eastAsia" w:ascii="仿宋_GB2312" w:hAnsi="仿宋" w:eastAsia="仿宋_GB2312"/>
          <w:sz w:val="32"/>
          <w:szCs w:val="32"/>
        </w:rPr>
        <w:t>对单位决算进行公开。</w:t>
      </w:r>
    </w:p>
    <w:p>
      <w:pPr>
        <w:numPr>
          <w:ilvl w:val="0"/>
          <w:numId w:val="3"/>
        </w:numPr>
        <w:snapToGrid w:val="0"/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对单位决算管理及报表设计的意见建议。</w:t>
      </w:r>
    </w:p>
    <w:p>
      <w:pPr>
        <w:numPr>
          <w:ilvl w:val="0"/>
          <w:numId w:val="0"/>
        </w:numPr>
        <w:snapToGrid w:val="0"/>
        <w:spacing w:line="360" w:lineRule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建议有自动与新中大帐相联系的决算系统，减少反复录制各项经费的程序。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（四）对加强部门决算数据分析利用工作的建议。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无。</w:t>
      </w:r>
    </w:p>
    <w:p>
      <w:pPr>
        <w:snapToGrid w:val="0"/>
        <w:rPr>
          <w:rFonts w:ascii="仿宋_GB2312" w:hAnsi="仿宋" w:eastAsia="仿宋_GB2312"/>
          <w:sz w:val="32"/>
          <w:szCs w:val="32"/>
        </w:rPr>
      </w:pPr>
    </w:p>
    <w:p>
      <w:pPr>
        <w:snapToGrid w:val="0"/>
        <w:rPr>
          <w:rFonts w:ascii="仿宋_GB2312" w:hAnsi="仿宋" w:eastAsia="仿宋_GB2312"/>
          <w:sz w:val="32"/>
          <w:szCs w:val="32"/>
        </w:rPr>
      </w:pPr>
      <w:bookmarkStart w:id="4" w:name="_GoBack"/>
      <w:bookmarkEnd w:id="4"/>
    </w:p>
    <w:p>
      <w:pPr>
        <w:snapToGrid w:val="0"/>
        <w:rPr>
          <w:rFonts w:ascii="仿宋_GB2312" w:hAnsi="仿宋" w:eastAsia="仿宋_GB2312"/>
          <w:sz w:val="32"/>
          <w:szCs w:val="32"/>
        </w:rPr>
      </w:pPr>
    </w:p>
    <w:p>
      <w:pPr>
        <w:snapToGrid w:val="0"/>
        <w:rPr>
          <w:rFonts w:ascii="仿宋_GB2312" w:hAnsi="仿宋" w:eastAsia="仿宋_GB2312"/>
          <w:sz w:val="32"/>
          <w:szCs w:val="32"/>
        </w:rPr>
      </w:pPr>
    </w:p>
    <w:p>
      <w:pPr>
        <w:snapToGrid w:val="0"/>
        <w:ind w:firstLine="5760" w:firstLineChars="18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2024年1月23日</w:t>
      </w:r>
    </w:p>
    <w:p>
      <w:pPr>
        <w:snapToGrid w:val="0"/>
        <w:spacing w:line="520" w:lineRule="exact"/>
        <w:ind w:firstLine="5760" w:firstLineChars="1800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椿树街道办事处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66AD1B"/>
    <w:multiLevelType w:val="singleLevel"/>
    <w:tmpl w:val="8266AD1B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4E5FEBA"/>
    <w:multiLevelType w:val="singleLevel"/>
    <w:tmpl w:val="B4E5FEBA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DA90FB84"/>
    <w:multiLevelType w:val="singleLevel"/>
    <w:tmpl w:val="DA90FB84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723A3"/>
    <w:rsid w:val="00290CF6"/>
    <w:rsid w:val="00320111"/>
    <w:rsid w:val="00DA3159"/>
    <w:rsid w:val="0109520B"/>
    <w:rsid w:val="01272AAD"/>
    <w:rsid w:val="024E005D"/>
    <w:rsid w:val="029307E3"/>
    <w:rsid w:val="0429137D"/>
    <w:rsid w:val="043432D1"/>
    <w:rsid w:val="04EB2D4C"/>
    <w:rsid w:val="04F92458"/>
    <w:rsid w:val="053E4F9C"/>
    <w:rsid w:val="066E7638"/>
    <w:rsid w:val="0682323A"/>
    <w:rsid w:val="069158C4"/>
    <w:rsid w:val="06EC57AD"/>
    <w:rsid w:val="072C6E3C"/>
    <w:rsid w:val="07556FBE"/>
    <w:rsid w:val="076A6E24"/>
    <w:rsid w:val="07BB6A6D"/>
    <w:rsid w:val="07BD6BB5"/>
    <w:rsid w:val="08201720"/>
    <w:rsid w:val="082852B3"/>
    <w:rsid w:val="08B938E7"/>
    <w:rsid w:val="08D55078"/>
    <w:rsid w:val="08DC297F"/>
    <w:rsid w:val="08F96DC2"/>
    <w:rsid w:val="09462CEB"/>
    <w:rsid w:val="09630074"/>
    <w:rsid w:val="0A452A02"/>
    <w:rsid w:val="0ABC6877"/>
    <w:rsid w:val="0ACE2D24"/>
    <w:rsid w:val="0B2B6777"/>
    <w:rsid w:val="0B5F6205"/>
    <w:rsid w:val="0B6655B9"/>
    <w:rsid w:val="0B8563E2"/>
    <w:rsid w:val="0BC301AF"/>
    <w:rsid w:val="0BD85435"/>
    <w:rsid w:val="0BDB2320"/>
    <w:rsid w:val="0C5970D4"/>
    <w:rsid w:val="0C832BDB"/>
    <w:rsid w:val="0D0D0DD0"/>
    <w:rsid w:val="0D47388A"/>
    <w:rsid w:val="0D4D542B"/>
    <w:rsid w:val="0D584004"/>
    <w:rsid w:val="0DCB6ACF"/>
    <w:rsid w:val="0DDD0D25"/>
    <w:rsid w:val="0E040710"/>
    <w:rsid w:val="0E1A2D89"/>
    <w:rsid w:val="0E3E139E"/>
    <w:rsid w:val="0E531482"/>
    <w:rsid w:val="0EFD218E"/>
    <w:rsid w:val="0FBC2278"/>
    <w:rsid w:val="104671EE"/>
    <w:rsid w:val="10D95762"/>
    <w:rsid w:val="1107368A"/>
    <w:rsid w:val="1161335F"/>
    <w:rsid w:val="119747DE"/>
    <w:rsid w:val="11F32A09"/>
    <w:rsid w:val="120C204F"/>
    <w:rsid w:val="12116F09"/>
    <w:rsid w:val="12767CD9"/>
    <w:rsid w:val="12775C58"/>
    <w:rsid w:val="127B2E6E"/>
    <w:rsid w:val="12DE59EF"/>
    <w:rsid w:val="13303900"/>
    <w:rsid w:val="13B151E7"/>
    <w:rsid w:val="13D71282"/>
    <w:rsid w:val="140A5428"/>
    <w:rsid w:val="142D59DB"/>
    <w:rsid w:val="148766E9"/>
    <w:rsid w:val="1507270B"/>
    <w:rsid w:val="159D0D35"/>
    <w:rsid w:val="15AC361F"/>
    <w:rsid w:val="15AF497F"/>
    <w:rsid w:val="17016135"/>
    <w:rsid w:val="175476FC"/>
    <w:rsid w:val="175A6F87"/>
    <w:rsid w:val="17B36D7B"/>
    <w:rsid w:val="17BC3796"/>
    <w:rsid w:val="17E778E1"/>
    <w:rsid w:val="18446146"/>
    <w:rsid w:val="18480285"/>
    <w:rsid w:val="187513B8"/>
    <w:rsid w:val="18E25A91"/>
    <w:rsid w:val="18F31E1B"/>
    <w:rsid w:val="19432F79"/>
    <w:rsid w:val="194B107D"/>
    <w:rsid w:val="19FA76B9"/>
    <w:rsid w:val="1A050B22"/>
    <w:rsid w:val="1A2D5727"/>
    <w:rsid w:val="1AC641E3"/>
    <w:rsid w:val="1B200F9C"/>
    <w:rsid w:val="1B4A07AB"/>
    <w:rsid w:val="1BAA495D"/>
    <w:rsid w:val="1BFE3373"/>
    <w:rsid w:val="1C290F73"/>
    <w:rsid w:val="1D296E87"/>
    <w:rsid w:val="1DA95EBC"/>
    <w:rsid w:val="1DD23CDC"/>
    <w:rsid w:val="1DDB0ACE"/>
    <w:rsid w:val="1DF41EFE"/>
    <w:rsid w:val="1E2F30B4"/>
    <w:rsid w:val="1E86307B"/>
    <w:rsid w:val="1EA719C9"/>
    <w:rsid w:val="1F320C9B"/>
    <w:rsid w:val="1F5A5E83"/>
    <w:rsid w:val="1F7C665A"/>
    <w:rsid w:val="202542ED"/>
    <w:rsid w:val="204F731A"/>
    <w:rsid w:val="207525E3"/>
    <w:rsid w:val="20814D4C"/>
    <w:rsid w:val="208C2759"/>
    <w:rsid w:val="20AB50EB"/>
    <w:rsid w:val="20C53FFC"/>
    <w:rsid w:val="2141697E"/>
    <w:rsid w:val="217316C0"/>
    <w:rsid w:val="21C26DAF"/>
    <w:rsid w:val="21EF3EDD"/>
    <w:rsid w:val="22112FD4"/>
    <w:rsid w:val="2226095C"/>
    <w:rsid w:val="223B179E"/>
    <w:rsid w:val="226B1496"/>
    <w:rsid w:val="22750CE3"/>
    <w:rsid w:val="22924D2E"/>
    <w:rsid w:val="22AA5478"/>
    <w:rsid w:val="2338013D"/>
    <w:rsid w:val="23601527"/>
    <w:rsid w:val="23CC5431"/>
    <w:rsid w:val="241206D6"/>
    <w:rsid w:val="247D6F2E"/>
    <w:rsid w:val="24CD7E5B"/>
    <w:rsid w:val="24D062F8"/>
    <w:rsid w:val="25272955"/>
    <w:rsid w:val="260B08C7"/>
    <w:rsid w:val="2658133C"/>
    <w:rsid w:val="267B1F0D"/>
    <w:rsid w:val="26E10B69"/>
    <w:rsid w:val="273C00A2"/>
    <w:rsid w:val="276B1FBB"/>
    <w:rsid w:val="278A31C3"/>
    <w:rsid w:val="27E1262C"/>
    <w:rsid w:val="287D63A0"/>
    <w:rsid w:val="289F57DF"/>
    <w:rsid w:val="28A146F8"/>
    <w:rsid w:val="28C946E5"/>
    <w:rsid w:val="28DD28E0"/>
    <w:rsid w:val="28ED1A2F"/>
    <w:rsid w:val="2A051B18"/>
    <w:rsid w:val="2A1F51C1"/>
    <w:rsid w:val="2A3F26E9"/>
    <w:rsid w:val="2AA831A1"/>
    <w:rsid w:val="2AC86DA3"/>
    <w:rsid w:val="2B0772EC"/>
    <w:rsid w:val="2B202CC6"/>
    <w:rsid w:val="2B30464E"/>
    <w:rsid w:val="2B78789B"/>
    <w:rsid w:val="2C042668"/>
    <w:rsid w:val="2C483601"/>
    <w:rsid w:val="2CAB5CF8"/>
    <w:rsid w:val="2CD422DD"/>
    <w:rsid w:val="2CD6746D"/>
    <w:rsid w:val="2D1B293B"/>
    <w:rsid w:val="2D2C153F"/>
    <w:rsid w:val="2D6C7EAE"/>
    <w:rsid w:val="2DAD3810"/>
    <w:rsid w:val="2DB30BE1"/>
    <w:rsid w:val="2DC723A3"/>
    <w:rsid w:val="2DD43A43"/>
    <w:rsid w:val="2E2652CD"/>
    <w:rsid w:val="2E740E4B"/>
    <w:rsid w:val="2EE46C07"/>
    <w:rsid w:val="2F0C446E"/>
    <w:rsid w:val="2F2C60FF"/>
    <w:rsid w:val="2F2E308C"/>
    <w:rsid w:val="2F9843A7"/>
    <w:rsid w:val="2FCA3E1B"/>
    <w:rsid w:val="2FFF565B"/>
    <w:rsid w:val="301B2A78"/>
    <w:rsid w:val="304C5126"/>
    <w:rsid w:val="30772C8C"/>
    <w:rsid w:val="31084B62"/>
    <w:rsid w:val="31E62B3C"/>
    <w:rsid w:val="32226B2B"/>
    <w:rsid w:val="32800457"/>
    <w:rsid w:val="33250D8C"/>
    <w:rsid w:val="33287331"/>
    <w:rsid w:val="333F1DE9"/>
    <w:rsid w:val="33897C52"/>
    <w:rsid w:val="33945429"/>
    <w:rsid w:val="339940D8"/>
    <w:rsid w:val="33FB600F"/>
    <w:rsid w:val="34176E59"/>
    <w:rsid w:val="34715ACD"/>
    <w:rsid w:val="34920097"/>
    <w:rsid w:val="34DA2330"/>
    <w:rsid w:val="350744B7"/>
    <w:rsid w:val="3512392B"/>
    <w:rsid w:val="35215323"/>
    <w:rsid w:val="35766439"/>
    <w:rsid w:val="35ED7DCC"/>
    <w:rsid w:val="368B62E2"/>
    <w:rsid w:val="370451AC"/>
    <w:rsid w:val="371F619A"/>
    <w:rsid w:val="379A7CE9"/>
    <w:rsid w:val="37AA5F14"/>
    <w:rsid w:val="38041D6E"/>
    <w:rsid w:val="3867698F"/>
    <w:rsid w:val="38E671D9"/>
    <w:rsid w:val="392B247C"/>
    <w:rsid w:val="395A269B"/>
    <w:rsid w:val="39622D43"/>
    <w:rsid w:val="39723C74"/>
    <w:rsid w:val="397B025A"/>
    <w:rsid w:val="39EF4DD5"/>
    <w:rsid w:val="3B614D28"/>
    <w:rsid w:val="3B750168"/>
    <w:rsid w:val="3C0F06BD"/>
    <w:rsid w:val="3C1F63D2"/>
    <w:rsid w:val="3C5E44EE"/>
    <w:rsid w:val="3CAA3910"/>
    <w:rsid w:val="3CDB6437"/>
    <w:rsid w:val="3D746356"/>
    <w:rsid w:val="3DB26003"/>
    <w:rsid w:val="3DD80C9A"/>
    <w:rsid w:val="3DF00ED9"/>
    <w:rsid w:val="3E021FB6"/>
    <w:rsid w:val="3E6C457F"/>
    <w:rsid w:val="3EA32AEA"/>
    <w:rsid w:val="3ECC6516"/>
    <w:rsid w:val="3F157624"/>
    <w:rsid w:val="3F2876DA"/>
    <w:rsid w:val="3F664012"/>
    <w:rsid w:val="3FE52E3A"/>
    <w:rsid w:val="40070F82"/>
    <w:rsid w:val="40E35C02"/>
    <w:rsid w:val="410B092C"/>
    <w:rsid w:val="413F62CC"/>
    <w:rsid w:val="41441858"/>
    <w:rsid w:val="41CE4791"/>
    <w:rsid w:val="41E110AA"/>
    <w:rsid w:val="4201160D"/>
    <w:rsid w:val="42072402"/>
    <w:rsid w:val="4226503F"/>
    <w:rsid w:val="42BA2A55"/>
    <w:rsid w:val="42D17902"/>
    <w:rsid w:val="42E704ED"/>
    <w:rsid w:val="437A3AD4"/>
    <w:rsid w:val="440D5849"/>
    <w:rsid w:val="441E777E"/>
    <w:rsid w:val="45042CDB"/>
    <w:rsid w:val="4512536F"/>
    <w:rsid w:val="454A21A5"/>
    <w:rsid w:val="45872977"/>
    <w:rsid w:val="45B371F4"/>
    <w:rsid w:val="45BE0A54"/>
    <w:rsid w:val="45CB613E"/>
    <w:rsid w:val="468E1A0F"/>
    <w:rsid w:val="472C16D1"/>
    <w:rsid w:val="474E73FD"/>
    <w:rsid w:val="47A208A1"/>
    <w:rsid w:val="47E742EA"/>
    <w:rsid w:val="47F37F15"/>
    <w:rsid w:val="48535CC2"/>
    <w:rsid w:val="48A812AB"/>
    <w:rsid w:val="48CB665F"/>
    <w:rsid w:val="48D5643D"/>
    <w:rsid w:val="49102920"/>
    <w:rsid w:val="4938563A"/>
    <w:rsid w:val="498D5173"/>
    <w:rsid w:val="49C10E7E"/>
    <w:rsid w:val="4A6972DD"/>
    <w:rsid w:val="4AA6449C"/>
    <w:rsid w:val="4B256615"/>
    <w:rsid w:val="4BD45A32"/>
    <w:rsid w:val="4C207A27"/>
    <w:rsid w:val="4C2B6F15"/>
    <w:rsid w:val="4D093EBF"/>
    <w:rsid w:val="4D3F6AFC"/>
    <w:rsid w:val="4D6A2769"/>
    <w:rsid w:val="4DAC1E9C"/>
    <w:rsid w:val="4ED448E3"/>
    <w:rsid w:val="4F7B3872"/>
    <w:rsid w:val="4F8C1FE7"/>
    <w:rsid w:val="50392AEE"/>
    <w:rsid w:val="50965DCE"/>
    <w:rsid w:val="510D33EF"/>
    <w:rsid w:val="512623E5"/>
    <w:rsid w:val="519A3D98"/>
    <w:rsid w:val="51CD328A"/>
    <w:rsid w:val="531F52C0"/>
    <w:rsid w:val="53AA4C06"/>
    <w:rsid w:val="53CA6F05"/>
    <w:rsid w:val="54646D5E"/>
    <w:rsid w:val="569630C0"/>
    <w:rsid w:val="56AB6F94"/>
    <w:rsid w:val="57C55196"/>
    <w:rsid w:val="57FF0D8D"/>
    <w:rsid w:val="584E2317"/>
    <w:rsid w:val="58AD47BF"/>
    <w:rsid w:val="591B7EA8"/>
    <w:rsid w:val="59383FFB"/>
    <w:rsid w:val="595358E4"/>
    <w:rsid w:val="595B41AB"/>
    <w:rsid w:val="59C46E52"/>
    <w:rsid w:val="59E76688"/>
    <w:rsid w:val="5A193F1B"/>
    <w:rsid w:val="5A6E0D05"/>
    <w:rsid w:val="5AB3756D"/>
    <w:rsid w:val="5B211EDF"/>
    <w:rsid w:val="5B3F4177"/>
    <w:rsid w:val="5B846AF1"/>
    <w:rsid w:val="5B87339A"/>
    <w:rsid w:val="5C816259"/>
    <w:rsid w:val="5CF33ADD"/>
    <w:rsid w:val="5DB827C2"/>
    <w:rsid w:val="5DBA3726"/>
    <w:rsid w:val="5DBD1772"/>
    <w:rsid w:val="5DC71B7A"/>
    <w:rsid w:val="5EA04434"/>
    <w:rsid w:val="5EA45D7F"/>
    <w:rsid w:val="5EF32650"/>
    <w:rsid w:val="5EF83396"/>
    <w:rsid w:val="5F0D4900"/>
    <w:rsid w:val="5F9E3F26"/>
    <w:rsid w:val="600675C3"/>
    <w:rsid w:val="605E45F2"/>
    <w:rsid w:val="60886BE8"/>
    <w:rsid w:val="608B3124"/>
    <w:rsid w:val="60AE064A"/>
    <w:rsid w:val="60BF6486"/>
    <w:rsid w:val="60E91015"/>
    <w:rsid w:val="60EC4EC7"/>
    <w:rsid w:val="612A3F3C"/>
    <w:rsid w:val="61556A1C"/>
    <w:rsid w:val="618F2153"/>
    <w:rsid w:val="61AD53AE"/>
    <w:rsid w:val="61C63ACA"/>
    <w:rsid w:val="626E3977"/>
    <w:rsid w:val="62A5431C"/>
    <w:rsid w:val="638A24D2"/>
    <w:rsid w:val="63EB18F1"/>
    <w:rsid w:val="63F549BF"/>
    <w:rsid w:val="644850E8"/>
    <w:rsid w:val="64544104"/>
    <w:rsid w:val="64982D80"/>
    <w:rsid w:val="64A502AD"/>
    <w:rsid w:val="64D14697"/>
    <w:rsid w:val="64DA1772"/>
    <w:rsid w:val="6565136A"/>
    <w:rsid w:val="65AA4DF9"/>
    <w:rsid w:val="66350AE9"/>
    <w:rsid w:val="6637551F"/>
    <w:rsid w:val="66B75426"/>
    <w:rsid w:val="66EF76E6"/>
    <w:rsid w:val="67157792"/>
    <w:rsid w:val="672C3F92"/>
    <w:rsid w:val="6758560C"/>
    <w:rsid w:val="677F5970"/>
    <w:rsid w:val="694D60F0"/>
    <w:rsid w:val="69BB299C"/>
    <w:rsid w:val="6AE14985"/>
    <w:rsid w:val="6B1A449E"/>
    <w:rsid w:val="6B216148"/>
    <w:rsid w:val="6B6272A9"/>
    <w:rsid w:val="6BEA3959"/>
    <w:rsid w:val="6BF91642"/>
    <w:rsid w:val="6C1E1A18"/>
    <w:rsid w:val="6D6A760E"/>
    <w:rsid w:val="6D7B13C5"/>
    <w:rsid w:val="6DBC271F"/>
    <w:rsid w:val="6E86252A"/>
    <w:rsid w:val="6EC43945"/>
    <w:rsid w:val="6FA47898"/>
    <w:rsid w:val="6FC138A2"/>
    <w:rsid w:val="70C130A9"/>
    <w:rsid w:val="70D76A40"/>
    <w:rsid w:val="70F022DB"/>
    <w:rsid w:val="712D1B35"/>
    <w:rsid w:val="717D0359"/>
    <w:rsid w:val="718F693F"/>
    <w:rsid w:val="723B41E2"/>
    <w:rsid w:val="72F75115"/>
    <w:rsid w:val="73102561"/>
    <w:rsid w:val="734E32C8"/>
    <w:rsid w:val="734F5E65"/>
    <w:rsid w:val="74091715"/>
    <w:rsid w:val="740C7705"/>
    <w:rsid w:val="74167272"/>
    <w:rsid w:val="741B16A9"/>
    <w:rsid w:val="74AE62AE"/>
    <w:rsid w:val="7514312E"/>
    <w:rsid w:val="7581270C"/>
    <w:rsid w:val="75993E5E"/>
    <w:rsid w:val="75E20F75"/>
    <w:rsid w:val="75FE7D88"/>
    <w:rsid w:val="76093DC6"/>
    <w:rsid w:val="76465316"/>
    <w:rsid w:val="764F1C0F"/>
    <w:rsid w:val="767A3A29"/>
    <w:rsid w:val="768B7744"/>
    <w:rsid w:val="76BB2CD8"/>
    <w:rsid w:val="76F339DF"/>
    <w:rsid w:val="771D0BA9"/>
    <w:rsid w:val="771D20FA"/>
    <w:rsid w:val="77AF46C1"/>
    <w:rsid w:val="77CB2FE2"/>
    <w:rsid w:val="77D1362D"/>
    <w:rsid w:val="78AC389B"/>
    <w:rsid w:val="79804215"/>
    <w:rsid w:val="798B4799"/>
    <w:rsid w:val="79BA4448"/>
    <w:rsid w:val="7A1850F6"/>
    <w:rsid w:val="7A1973AA"/>
    <w:rsid w:val="7A394207"/>
    <w:rsid w:val="7A763B78"/>
    <w:rsid w:val="7ADD24C4"/>
    <w:rsid w:val="7B243FCD"/>
    <w:rsid w:val="7B260110"/>
    <w:rsid w:val="7B5256B8"/>
    <w:rsid w:val="7B5426E5"/>
    <w:rsid w:val="7B8A574F"/>
    <w:rsid w:val="7BC02464"/>
    <w:rsid w:val="7BE415E6"/>
    <w:rsid w:val="7C9B6A0D"/>
    <w:rsid w:val="7C9D3F84"/>
    <w:rsid w:val="7CA14FFD"/>
    <w:rsid w:val="7CAB0C18"/>
    <w:rsid w:val="7CAD4286"/>
    <w:rsid w:val="7CE24AA4"/>
    <w:rsid w:val="7CEA3F15"/>
    <w:rsid w:val="7CF87331"/>
    <w:rsid w:val="7CFD6E27"/>
    <w:rsid w:val="7D002B68"/>
    <w:rsid w:val="7D537BC8"/>
    <w:rsid w:val="7D6D080F"/>
    <w:rsid w:val="7D805B48"/>
    <w:rsid w:val="7E3761D8"/>
    <w:rsid w:val="7E4F7F0C"/>
    <w:rsid w:val="7F063A39"/>
    <w:rsid w:val="7F93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spacing w:line="460" w:lineRule="exact"/>
      <w:ind w:left="-171" w:leftChars="-171" w:right="-159" w:rightChars="-159" w:firstLine="450"/>
    </w:pPr>
    <w:rPr>
      <w:rFonts w:ascii="仿宋_GB2312" w:hAnsi="仿宋_GB2312" w:cs="仿宋_GB2312"/>
      <w:sz w:val="30"/>
      <w:szCs w:val="30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仿宋_GB2312" w:eastAsia="仿宋_GB2312"/>
      <w:sz w:val="28"/>
      <w:szCs w:val="32"/>
    </w:rPr>
  </w:style>
  <w:style w:type="paragraph" w:styleId="4">
    <w:name w:val="Plain Text"/>
    <w:basedOn w:val="1"/>
    <w:next w:val="1"/>
    <w:qFormat/>
    <w:uiPriority w:val="0"/>
    <w:pPr>
      <w:overflowPunct w:val="0"/>
      <w:spacing w:line="560" w:lineRule="exact"/>
      <w:ind w:firstLine="880" w:firstLineChars="200"/>
    </w:pPr>
    <w:rPr>
      <w:rFonts w:ascii="宋体" w:hAnsi="宋体" w:eastAsia="仿宋_GB2312"/>
      <w:sz w:val="32"/>
      <w:szCs w:val="20"/>
      <w:lang w:val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PlainText"/>
    <w:basedOn w:val="1"/>
    <w:qFormat/>
    <w:uiPriority w:val="0"/>
    <w:pPr>
      <w:spacing w:line="240" w:lineRule="auto"/>
      <w:jc w:val="both"/>
      <w:textAlignment w:val="baseline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customStyle="1" w:styleId="9">
    <w:name w:val="BodyText"/>
    <w:basedOn w:val="1"/>
    <w:qFormat/>
    <w:uiPriority w:val="0"/>
    <w:pPr>
      <w:widowControl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2024-01-22T07:55:00Z</dcterms:created>
  <dc:creator>Administrator</dc:creator>
  <cp:lastModifiedBy>何昕阳</cp:lastModifiedBy>
  <dcterms:modified xsi:type="dcterms:W3CDTF">2024-01-25T08:34:12Z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