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hint="eastAsia" w:ascii="方正小标宋简体" w:eastAsia="方正小标宋简体"/>
          <w:spacing w:val="-20"/>
          <w:sz w:val="44"/>
          <w:szCs w:val="44"/>
        </w:rPr>
      </w:pPr>
      <w:bookmarkStart w:id="14" w:name="_GoBack"/>
      <w:bookmarkEnd w:id="14"/>
      <w:r>
        <w:rPr>
          <w:rFonts w:hint="eastAsia" w:ascii="方正小标宋简体" w:hAnsi="宋体" w:eastAsia="方正小标宋简体" w:cs="Times New Roman"/>
          <w:kern w:val="1"/>
          <w:sz w:val="44"/>
          <w:szCs w:val="44"/>
          <w:lang w:eastAsia="zh-CN"/>
        </w:rPr>
        <w:t>中共北京市西城区委统一战线工作部</w:t>
      </w:r>
      <w:r>
        <w:rPr>
          <w:rFonts w:hint="eastAsia" w:ascii="方正小标宋简体" w:hAnsi="宋体" w:eastAsia="方正小标宋简体" w:cs="Times New Roman"/>
          <w:kern w:val="1"/>
          <w:sz w:val="44"/>
          <w:szCs w:val="44"/>
          <w:lang w:eastAsia="zh-CN"/>
        </w:rPr>
        <w:br w:type="textWrapping"/>
      </w:r>
      <w:r>
        <w:rPr>
          <w:rFonts w:hint="eastAsia" w:ascii="方正小标宋简体" w:eastAsia="方正小标宋简体"/>
          <w:spacing w:val="-20"/>
          <w:sz w:val="44"/>
          <w:szCs w:val="44"/>
        </w:rPr>
        <w:t>202</w:t>
      </w:r>
      <w:r>
        <w:rPr>
          <w:rFonts w:hint="eastAsia" w:ascii="方正小标宋简体" w:eastAsia="方正小标宋简体"/>
          <w:spacing w:val="-20"/>
          <w:sz w:val="44"/>
          <w:szCs w:val="44"/>
          <w:lang w:val="en-US" w:eastAsia="zh-CN"/>
        </w:rPr>
        <w:t>3</w:t>
      </w:r>
      <w:r>
        <w:rPr>
          <w:rFonts w:hint="eastAsia" w:ascii="方正小标宋简体" w:eastAsia="方正小标宋简体"/>
          <w:spacing w:val="-20"/>
          <w:sz w:val="44"/>
          <w:szCs w:val="44"/>
        </w:rPr>
        <w:t>年部门决算及“三公”经费决算信息公开</w:t>
      </w:r>
    </w:p>
    <w:p>
      <w:pPr>
        <w:snapToGrid w:val="0"/>
        <w:spacing w:line="64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bidi w:val="0"/>
        <w:snapToGrid w:val="0"/>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目　　录</w:t>
      </w:r>
    </w:p>
    <w:p>
      <w:pPr>
        <w:keepNext w:val="0"/>
        <w:keepLines w:val="0"/>
        <w:pageBreakBefore w:val="0"/>
        <w:widowControl w:val="0"/>
        <w:kinsoku/>
        <w:wordWrap/>
        <w:overflowPunct/>
        <w:topLinePunct w:val="0"/>
        <w:bidi w:val="0"/>
        <w:snapToGrid w:val="0"/>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第一部分 2023年度部门决算说明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第二部分 2023年度其他重要事项的情况说明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第三部分 2023年度部门绩效评价情况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第四部分 2023年度部门决算报表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一、收入支出决算总表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二、收入决算表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三、支出决算表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四、财政拨款收入支出决算总表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五、一般公共预算财政拨款收入支出决算表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六、一般公共预算财政拨款支出决算表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七、一般公共预算财政拨款基本支出决算表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八、政府性基金预算财政拨款收入支出决算表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九、政府性基金预算财政拨款基本支出决算表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十、国有资本经营预算财政拨款支出决算表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十一、财政拨款“三公”经费支出决算表</w:t>
      </w:r>
    </w:p>
    <w:p>
      <w:pPr>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eastAsia="仿宋_GB2312"/>
          <w:color w:val="000000"/>
          <w:sz w:val="32"/>
          <w:szCs w:val="32"/>
        </w:rPr>
      </w:pPr>
      <w:r>
        <w:rPr>
          <w:rFonts w:hint="eastAsia" w:ascii="仿宋_GB2312" w:eastAsia="仿宋_GB2312"/>
          <w:color w:val="000000"/>
          <w:sz w:val="32"/>
          <w:szCs w:val="32"/>
        </w:rPr>
        <w:t>十二、政府采购情况表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280" w:firstLineChars="4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十三、政府购买服务决算公开情况表</w:t>
      </w:r>
    </w:p>
    <w:p>
      <w:pPr>
        <w:pStyle w:val="2"/>
        <w:rPr>
          <w:rFonts w:hint="eastAsia"/>
        </w:rPr>
      </w:pPr>
    </w:p>
    <w:p>
      <w:pPr>
        <w:snapToGrid w:val="0"/>
        <w:spacing w:line="560" w:lineRule="atLeast"/>
        <w:jc w:val="center"/>
        <w:rPr>
          <w:rFonts w:hint="eastAsia" w:ascii="方正小标宋简体" w:hAnsi="楷体" w:eastAsia="方正小标宋简体"/>
          <w:sz w:val="32"/>
          <w:szCs w:val="32"/>
        </w:rPr>
      </w:pPr>
      <w:r>
        <w:rPr>
          <w:rFonts w:hint="eastAsia" w:ascii="方正小标宋简体" w:hAnsi="方正小标宋简体" w:eastAsia="方正小标宋简体" w:cs="方正小标宋简体"/>
          <w:sz w:val="40"/>
          <w:szCs w:val="40"/>
        </w:rPr>
        <w:t xml:space="preserve">第一部分 </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2023年度部门决算说明</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部门主要职责及机构设置情况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楷体_GB2312" w:eastAsia="楷体_GB2312"/>
          <w:sz w:val="32"/>
          <w:szCs w:val="32"/>
        </w:rPr>
      </w:pPr>
      <w:r>
        <w:rPr>
          <w:rFonts w:hint="eastAsia" w:ascii="楷体_GB2312" w:eastAsia="楷体_GB2312"/>
          <w:sz w:val="32"/>
          <w:szCs w:val="32"/>
          <w:lang w:eastAsia="zh-CN"/>
        </w:rPr>
        <w:t>（一）</w:t>
      </w:r>
      <w:r>
        <w:rPr>
          <w:rFonts w:hint="eastAsia" w:ascii="楷体_GB2312" w:eastAsia="楷体_GB2312"/>
          <w:sz w:val="32"/>
          <w:szCs w:val="32"/>
        </w:rPr>
        <w:t>部门机构设置、职责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Times New Roman" w:eastAsia="仿宋_GB2312" w:cs="Times New Roman"/>
          <w:kern w:val="1"/>
          <w:sz w:val="32"/>
          <w:szCs w:val="32"/>
          <w:lang w:eastAsia="zh-CN"/>
        </w:rPr>
      </w:pPr>
      <w:r>
        <w:rPr>
          <w:rFonts w:hint="eastAsia" w:ascii="仿宋_GB2312" w:hAnsi="Times New Roman" w:eastAsia="仿宋_GB2312" w:cs="Times New Roman"/>
          <w:kern w:val="1"/>
          <w:sz w:val="32"/>
          <w:szCs w:val="32"/>
          <w:lang w:eastAsia="zh-CN"/>
        </w:rPr>
        <w:t>中共北京市西城区委统一战线工作部是区委主管统一战线工作的职能部门，内设</w:t>
      </w:r>
      <w:r>
        <w:rPr>
          <w:rFonts w:hint="eastAsia" w:ascii="仿宋_GB2312" w:hAnsi="Times New Roman" w:eastAsia="仿宋_GB2312" w:cs="Times New Roman"/>
          <w:kern w:val="1"/>
          <w:sz w:val="32"/>
          <w:szCs w:val="32"/>
          <w:lang w:val="en-US" w:eastAsia="zh-CN"/>
        </w:rPr>
        <w:t>6个科室。</w:t>
      </w:r>
      <w:r>
        <w:rPr>
          <w:rFonts w:hint="eastAsia" w:ascii="仿宋_GB2312" w:hAnsi="Times New Roman" w:eastAsia="仿宋_GB2312" w:cs="Times New Roman"/>
          <w:kern w:val="1"/>
          <w:sz w:val="32"/>
          <w:szCs w:val="32"/>
          <w:lang w:val="en-US" w:eastAsia="zh-CN"/>
        </w:rPr>
        <w:br w:type="textWrapping"/>
      </w:r>
      <w:r>
        <w:rPr>
          <w:rFonts w:hint="eastAsia" w:ascii="仿宋_GB2312" w:hAnsi="Times New Roman" w:eastAsia="仿宋_GB2312" w:cs="Times New Roman"/>
          <w:kern w:val="1"/>
          <w:sz w:val="32"/>
          <w:szCs w:val="32"/>
          <w:highlight w:val="none"/>
          <w:lang w:val="en-US" w:eastAsia="zh-CN"/>
        </w:rPr>
        <w:t xml:space="preserve">    区委统战部为独立核算的一级预算单位，其中包含</w:t>
      </w:r>
      <w:r>
        <w:rPr>
          <w:rFonts w:hint="eastAsia" w:ascii="仿宋_GB2312" w:hAnsi="Times New Roman" w:eastAsia="仿宋_GB2312" w:cs="Times New Roman"/>
          <w:kern w:val="1"/>
          <w:sz w:val="32"/>
          <w:szCs w:val="32"/>
          <w:highlight w:val="none"/>
          <w:lang w:eastAsia="zh-CN"/>
        </w:rPr>
        <w:t>区委统战部、民革西城区委、民盟西城区委、民建西城区委、民进西城区委、农工党西城区委、致公党西城区委、九三学社西城区委、台盟西城区委及</w:t>
      </w:r>
      <w:r>
        <w:rPr>
          <w:rFonts w:hint="eastAsia" w:ascii="仿宋_GB2312" w:hAnsi="Times New Roman" w:eastAsia="仿宋_GB2312" w:cs="Times New Roman"/>
          <w:kern w:val="1"/>
          <w:sz w:val="32"/>
          <w:szCs w:val="32"/>
          <w:highlight w:val="none"/>
          <w:lang w:val="en-US" w:eastAsia="zh-CN"/>
        </w:rPr>
        <w:t>区社会主义学院</w:t>
      </w:r>
      <w:r>
        <w:rPr>
          <w:rFonts w:hint="eastAsia" w:ascii="仿宋_GB2312" w:hAnsi="Times New Roman" w:eastAsia="仿宋_GB2312" w:cs="Times New Roman"/>
          <w:kern w:val="1"/>
          <w:sz w:val="32"/>
          <w:szCs w:val="32"/>
          <w:highlight w:val="none"/>
          <w:lang w:eastAsia="zh-CN"/>
        </w:rPr>
        <w:t>共</w:t>
      </w:r>
      <w:r>
        <w:rPr>
          <w:rFonts w:hint="eastAsia" w:ascii="仿宋_GB2312" w:hAnsi="Times New Roman" w:eastAsia="仿宋_GB2312" w:cs="Times New Roman"/>
          <w:kern w:val="1"/>
          <w:sz w:val="32"/>
          <w:szCs w:val="32"/>
          <w:highlight w:val="none"/>
          <w:lang w:val="en-US" w:eastAsia="zh-CN"/>
        </w:rPr>
        <w:t>10个单位的经费。</w:t>
      </w:r>
      <w:r>
        <w:rPr>
          <w:rFonts w:hint="eastAsia" w:ascii="仿宋_GB2312" w:hAnsi="Times New Roman" w:eastAsia="仿宋_GB2312" w:cs="Times New Roman"/>
          <w:kern w:val="1"/>
          <w:sz w:val="32"/>
          <w:szCs w:val="32"/>
          <w:highlight w:val="lightGray"/>
        </w:rPr>
        <w:br w:type="textWrapping"/>
      </w:r>
      <w:r>
        <w:rPr>
          <w:rFonts w:hint="eastAsia" w:ascii="仿宋_GB2312" w:hAnsi="Times New Roman" w:eastAsia="仿宋_GB2312" w:cs="Times New Roman"/>
          <w:kern w:val="1"/>
          <w:sz w:val="32"/>
          <w:szCs w:val="32"/>
          <w:lang w:val="en-US" w:eastAsia="zh-CN"/>
        </w:rPr>
        <w:t xml:space="preserve">    </w:t>
      </w:r>
      <w:r>
        <w:rPr>
          <w:rFonts w:hint="eastAsia" w:ascii="仿宋_GB2312" w:hAnsi="Times New Roman" w:eastAsia="仿宋_GB2312" w:cs="Times New Roman"/>
          <w:kern w:val="1"/>
          <w:sz w:val="32"/>
          <w:szCs w:val="32"/>
        </w:rPr>
        <w:t>主要职责</w:t>
      </w:r>
      <w:r>
        <w:rPr>
          <w:rFonts w:hint="eastAsia" w:ascii="仿宋_GB2312" w:hAnsi="Times New Roman" w:eastAsia="仿宋_GB2312" w:cs="Times New Roman"/>
          <w:kern w:val="1"/>
          <w:sz w:val="32"/>
          <w:szCs w:val="32"/>
          <w:lang w:eastAsia="zh-CN"/>
        </w:rPr>
        <w:t>：区委统战部</w:t>
      </w:r>
      <w:r>
        <w:rPr>
          <w:rFonts w:hint="eastAsia" w:ascii="仿宋_GB2312" w:hAnsi="Times New Roman" w:eastAsia="仿宋_GB2312" w:cs="Times New Roman"/>
          <w:kern w:val="1"/>
          <w:sz w:val="32"/>
          <w:szCs w:val="32"/>
        </w:rPr>
        <w:t>贯彻落实加强党对统一战线工作集中统一领导的要求</w:t>
      </w:r>
      <w:r>
        <w:rPr>
          <w:rFonts w:hint="eastAsia" w:ascii="仿宋_GB2312" w:hAnsi="Times New Roman" w:eastAsia="仿宋_GB2312" w:cs="Times New Roman"/>
          <w:kern w:val="1"/>
          <w:sz w:val="32"/>
          <w:szCs w:val="32"/>
          <w:lang w:eastAsia="zh-CN"/>
        </w:rPr>
        <w:t>，承担了解情况、掌握政策、协调关系、安排人事、增进共识、加强团结等职责。</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楷体_GB2312" w:eastAsia="楷体_GB2312"/>
          <w:sz w:val="32"/>
          <w:szCs w:val="32"/>
          <w:lang w:eastAsia="zh-CN"/>
        </w:rPr>
      </w:pPr>
      <w:r>
        <w:rPr>
          <w:rFonts w:hint="eastAsia" w:ascii="楷体_GB2312" w:eastAsia="楷体_GB2312"/>
          <w:sz w:val="32"/>
          <w:szCs w:val="32"/>
          <w:lang w:eastAsia="zh-CN"/>
        </w:rPr>
        <w:t>（二）人员构成情况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区委</w:t>
      </w:r>
      <w:r>
        <w:rPr>
          <w:rFonts w:hint="eastAsia" w:ascii="仿宋_GB2312" w:eastAsia="仿宋_GB2312"/>
          <w:sz w:val="32"/>
          <w:szCs w:val="32"/>
          <w:highlight w:val="none"/>
          <w:lang w:eastAsia="zh-CN"/>
        </w:rPr>
        <w:t>统战部</w:t>
      </w:r>
      <w:r>
        <w:rPr>
          <w:rFonts w:hint="eastAsia" w:ascii="仿宋_GB2312" w:eastAsia="仿宋_GB2312"/>
          <w:sz w:val="32"/>
          <w:szCs w:val="32"/>
          <w:highlight w:val="none"/>
        </w:rPr>
        <w:t>行政编制</w:t>
      </w:r>
      <w:r>
        <w:rPr>
          <w:rFonts w:hint="eastAsia" w:ascii="仿宋_GB2312" w:eastAsia="仿宋_GB2312"/>
          <w:sz w:val="32"/>
          <w:szCs w:val="32"/>
          <w:highlight w:val="none"/>
          <w:lang w:val="en-US" w:eastAsia="zh-CN"/>
        </w:rPr>
        <w:t>52人，</w:t>
      </w:r>
      <w:r>
        <w:rPr>
          <w:rFonts w:hint="eastAsia" w:ascii="仿宋_GB2312" w:eastAsia="仿宋_GB2312"/>
          <w:sz w:val="32"/>
          <w:szCs w:val="32"/>
          <w:highlight w:val="none"/>
        </w:rPr>
        <w:t>实际</w:t>
      </w:r>
      <w:r>
        <w:rPr>
          <w:rFonts w:hint="eastAsia" w:ascii="仿宋_GB2312" w:eastAsia="仿宋_GB2312"/>
          <w:sz w:val="32"/>
          <w:szCs w:val="32"/>
          <w:highlight w:val="none"/>
          <w:lang w:val="en-US" w:eastAsia="zh-CN"/>
        </w:rPr>
        <w:t>45</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参公事业编制</w:t>
      </w:r>
      <w:r>
        <w:rPr>
          <w:rFonts w:hint="eastAsia" w:ascii="仿宋_GB2312" w:eastAsia="仿宋_GB2312"/>
          <w:sz w:val="32"/>
          <w:szCs w:val="32"/>
          <w:highlight w:val="none"/>
          <w:lang w:val="en-US" w:eastAsia="zh-CN"/>
        </w:rPr>
        <w:t>6人，</w:t>
      </w:r>
      <w:r>
        <w:rPr>
          <w:rFonts w:hint="eastAsia" w:ascii="仿宋_GB2312" w:eastAsia="仿宋_GB2312"/>
          <w:sz w:val="32"/>
          <w:szCs w:val="32"/>
          <w:highlight w:val="none"/>
        </w:rPr>
        <w:t>实际</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工勤编制</w:t>
      </w:r>
      <w:r>
        <w:rPr>
          <w:rFonts w:hint="eastAsia" w:ascii="仿宋_GB2312" w:eastAsia="仿宋_GB2312"/>
          <w:sz w:val="32"/>
          <w:szCs w:val="32"/>
          <w:highlight w:val="none"/>
          <w:lang w:val="en-US" w:eastAsia="zh-CN"/>
        </w:rPr>
        <w:t xml:space="preserve"> 1人，实际1人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离退休人员</w:t>
      </w:r>
      <w:r>
        <w:rPr>
          <w:rFonts w:hint="eastAsia" w:ascii="仿宋_GB2312" w:eastAsia="仿宋_GB2312"/>
          <w:sz w:val="32"/>
          <w:szCs w:val="32"/>
          <w:highlight w:val="none"/>
          <w:lang w:val="en-US" w:eastAsia="zh-CN"/>
        </w:rPr>
        <w:t>37</w:t>
      </w:r>
      <w:r>
        <w:rPr>
          <w:rFonts w:hint="eastAsia" w:ascii="仿宋_GB2312" w:eastAsia="仿宋_GB2312"/>
          <w:sz w:val="32"/>
          <w:szCs w:val="32"/>
          <w:highlight w:val="none"/>
        </w:rPr>
        <w:t>人，其中：离休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w:t>
      </w:r>
      <w:r>
        <w:rPr>
          <w:rFonts w:hint="eastAsia" w:ascii="仿宋_GB2312" w:eastAsia="仿宋_GB2312"/>
          <w:sz w:val="32"/>
          <w:szCs w:val="32"/>
          <w:highlight w:val="none"/>
          <w:lang w:val="en-US" w:eastAsia="zh-CN"/>
        </w:rPr>
        <w:t>37</w:t>
      </w:r>
      <w:r>
        <w:rPr>
          <w:rFonts w:hint="eastAsia" w:ascii="仿宋_GB2312" w:eastAsia="仿宋_GB2312"/>
          <w:sz w:val="32"/>
          <w:szCs w:val="32"/>
          <w:highlight w:val="none"/>
        </w:rPr>
        <w:t>人。</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0" w:firstLineChars="200"/>
        <w:textAlignment w:val="auto"/>
        <w:rPr>
          <w:rFonts w:hint="eastAsia" w:ascii="黑体" w:eastAsia="黑体"/>
          <w:sz w:val="32"/>
          <w:szCs w:val="32"/>
          <w:highlight w:val="none"/>
        </w:rPr>
      </w:pPr>
      <w:r>
        <w:rPr>
          <w:rFonts w:hint="eastAsia" w:ascii="黑体" w:eastAsia="黑体"/>
          <w:sz w:val="32"/>
          <w:szCs w:val="32"/>
          <w:highlight w:val="none"/>
        </w:rPr>
        <w:t>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楷体_GB2312" w:eastAsia="楷体_GB2312"/>
          <w:sz w:val="32"/>
          <w:szCs w:val="32"/>
          <w:lang w:eastAsia="zh-CN"/>
        </w:rPr>
      </w:pPr>
      <w:r>
        <w:rPr>
          <w:rFonts w:hint="eastAsia" w:ascii="楷体_GB2312" w:eastAsia="楷体_GB2312"/>
          <w:sz w:val="32"/>
          <w:szCs w:val="32"/>
          <w:lang w:eastAsia="zh-CN"/>
        </w:rPr>
        <w:t>（一）收入决算说明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2023年度本年收入合计26,602,679.12元，其中：财政拨款收入26,602,679.12元，占收入合计的100%。</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楷体_GB2312" w:eastAsia="楷体_GB2312"/>
          <w:sz w:val="32"/>
          <w:szCs w:val="32"/>
          <w:lang w:eastAsia="zh-CN"/>
        </w:rPr>
      </w:pPr>
      <w:r>
        <w:rPr>
          <w:rFonts w:hint="eastAsia" w:ascii="楷体_GB2312" w:eastAsia="楷体_GB2312"/>
          <w:sz w:val="32"/>
          <w:szCs w:val="32"/>
          <w:lang w:eastAsia="zh-CN"/>
        </w:rPr>
        <w:t>（二）支出决算说明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2023年度本年支出合计26,602,679.12元，其中：基本支出19,646,513.92元，占支出合计的73.85%；项目支出6,956,165.20元，占支出合计的26.15%。</w:t>
      </w:r>
    </w:p>
    <w:p>
      <w:pPr>
        <w:pStyle w:val="3"/>
        <w:ind w:firstLine="2586" w:firstLineChars="805"/>
        <w:jc w:val="both"/>
        <w:rPr>
          <w:rFonts w:hint="eastAsia" w:ascii="仿宋_GB2312" w:eastAsia="仿宋_GB2312"/>
          <w:color w:val="FF0000"/>
          <w:sz w:val="32"/>
          <w:lang w:eastAsia="zh-CN"/>
        </w:rPr>
      </w:pPr>
      <w:bookmarkStart w:id="0" w:name="_Toc22045"/>
      <w:r>
        <w:rPr>
          <w:rFonts w:hint="eastAsia" w:ascii="仿宋_GB2312" w:eastAsia="仿宋_GB2312"/>
          <w:color w:val="000000"/>
          <w:sz w:val="32"/>
        </w:rPr>
        <w:t>基本支出和项目支出情况</w:t>
      </w:r>
      <w:bookmarkEnd w:id="0"/>
    </w:p>
    <w:p>
      <w:pPr>
        <w:pStyle w:val="4"/>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drawing>
          <wp:inline distT="0" distB="0" distL="114300" distR="114300">
            <wp:extent cx="4584065" cy="2755265"/>
            <wp:effectExtent l="0" t="0" r="3175" b="317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4584065" cy="27552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200"/>
        <w:textAlignment w:val="auto"/>
        <w:rPr>
          <w:rFonts w:hint="eastAsia" w:ascii="黑体" w:eastAsia="黑体"/>
          <w:sz w:val="32"/>
          <w:szCs w:val="32"/>
        </w:rPr>
      </w:pPr>
      <w:bookmarkStart w:id="1" w:name="_Toc19454"/>
      <w:r>
        <w:rPr>
          <w:rFonts w:hint="eastAsia" w:ascii="黑体" w:eastAsia="黑体"/>
          <w:sz w:val="32"/>
          <w:szCs w:val="32"/>
        </w:rPr>
        <w:t>三、财政拨款收入支出决算总体情况说明</w:t>
      </w:r>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lang w:val="en-US" w:eastAsia="zh-CN"/>
        </w:rPr>
      </w:pPr>
      <w:r>
        <w:rPr>
          <w:rFonts w:hint="eastAsia" w:ascii="仿宋_GB2312" w:hAnsi="Times New Roman" w:eastAsia="仿宋_GB2312" w:cs="Times New Roman"/>
          <w:kern w:val="1"/>
          <w:sz w:val="32"/>
          <w:szCs w:val="32"/>
          <w:lang w:val="en-US" w:eastAsia="zh-CN"/>
        </w:rPr>
        <w:t>2023年度财政拨款收、支总计26,602,679.12元。2023年区委统战部第一年独立核算，无法对比去年数据。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200"/>
        <w:textAlignment w:val="auto"/>
        <w:rPr>
          <w:rFonts w:hint="eastAsia" w:ascii="黑体" w:eastAsia="黑体"/>
          <w:sz w:val="32"/>
          <w:szCs w:val="32"/>
        </w:rPr>
      </w:pPr>
      <w:bookmarkStart w:id="2" w:name="_Toc18816"/>
      <w:r>
        <w:rPr>
          <w:rFonts w:hint="eastAsia" w:ascii="黑体" w:eastAsia="黑体"/>
          <w:sz w:val="32"/>
          <w:szCs w:val="32"/>
        </w:rPr>
        <w:t>四、一般公共预算财政拨款支出决算情况说明</w:t>
      </w:r>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0"/>
        <w:rPr>
          <w:rFonts w:hint="eastAsia" w:ascii="楷体_GB2312" w:eastAsia="楷体_GB2312"/>
          <w:sz w:val="32"/>
          <w:szCs w:val="32"/>
          <w:lang w:eastAsia="zh-CN"/>
        </w:rPr>
      </w:pPr>
      <w:r>
        <w:rPr>
          <w:rFonts w:hint="eastAsia" w:ascii="楷体_GB2312" w:eastAsia="楷体_GB2312"/>
          <w:sz w:val="32"/>
          <w:szCs w:val="32"/>
          <w:lang w:eastAsia="zh-CN"/>
        </w:rPr>
        <w:t>（一）一般公共预算财政拨款支出决算总体情况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2023年度一般公共预算财政拨款支出26,602,679.12元，主要用于以下方面（按大类）：一般公共服务支出19,923,094.08元，占本年财政拨款支出74.89%；社会保障和就业支出2,305,989.52元，占本年财政拨款支出8.67%；卫生健康支出1,450,421.76元，占本年财政拨款支出5.45%；城乡社区支出3,000.00元，占本年财政拨款支出0.01%；住房保障支出2,920,173.76元，占本年财政拨款支出10.98%。</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outlineLvl w:val="0"/>
        <w:rPr>
          <w:rFonts w:hint="default" w:ascii="楷体_GB2312" w:eastAsia="楷体_GB2312"/>
          <w:sz w:val="32"/>
          <w:szCs w:val="32"/>
          <w:lang w:val="en-US" w:eastAsia="zh-CN"/>
        </w:rPr>
      </w:pPr>
      <w:r>
        <w:rPr>
          <w:rFonts w:hint="default" w:ascii="楷体_GB2312" w:eastAsia="楷体_GB2312"/>
          <w:sz w:val="32"/>
          <w:szCs w:val="32"/>
          <w:lang w:val="en-US" w:eastAsia="zh-CN"/>
        </w:rPr>
        <w:t>（二）一般公共预算财政拨款支出决算具体情况</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Times New Roman" w:eastAsia="仿宋_GB2312" w:cs="Times New Roman"/>
          <w:kern w:val="1"/>
          <w:sz w:val="32"/>
          <w:szCs w:val="32"/>
          <w:lang w:val="en-US" w:eastAsia="zh-CN" w:bidi="ar-SA"/>
        </w:rPr>
      </w:pPr>
      <w:r>
        <w:rPr>
          <w:rFonts w:hint="default" w:ascii="仿宋_GB2312" w:hAnsi="Times New Roman" w:eastAsia="仿宋_GB2312" w:cs="Times New Roman"/>
          <w:kern w:val="1"/>
          <w:sz w:val="32"/>
          <w:szCs w:val="32"/>
          <w:lang w:val="en-US" w:eastAsia="zh-CN" w:bidi="ar-SA"/>
        </w:rPr>
        <w:t>1、民主党派及工商联事务</w:t>
      </w:r>
      <w:r>
        <w:rPr>
          <w:rFonts w:hint="eastAsia" w:ascii="仿宋_GB2312" w:hAnsi="Times New Roman" w:eastAsia="仿宋_GB2312" w:cs="Times New Roman"/>
          <w:kern w:val="1"/>
          <w:sz w:val="32"/>
          <w:szCs w:val="32"/>
          <w:lang w:val="en-US" w:eastAsia="zh-CN" w:bidi="ar-SA"/>
        </w:rPr>
        <w:t>支出</w:t>
      </w:r>
      <w:r>
        <w:rPr>
          <w:rFonts w:hint="default" w:ascii="仿宋_GB2312" w:hAnsi="Times New Roman" w:eastAsia="仿宋_GB2312" w:cs="Times New Roman"/>
          <w:kern w:val="1"/>
          <w:sz w:val="32"/>
          <w:szCs w:val="32"/>
          <w:lang w:val="en-US" w:eastAsia="zh-CN" w:bidi="ar-SA"/>
        </w:rPr>
        <w:t>3,083,324.82元</w:t>
      </w:r>
      <w:r>
        <w:rPr>
          <w:rFonts w:hint="eastAsia" w:ascii="仿宋_GB2312" w:hAnsi="Times New Roman" w:eastAsia="仿宋_GB2312" w:cs="Times New Roman"/>
          <w:kern w:val="1"/>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kern w:val="1"/>
          <w:sz w:val="32"/>
          <w:szCs w:val="32"/>
          <w:lang w:val="en-US" w:eastAsia="zh-CN" w:bidi="ar-SA"/>
        </w:rPr>
      </w:pPr>
      <w:r>
        <w:rPr>
          <w:rFonts w:hint="default" w:ascii="仿宋_GB2312" w:hAnsi="Times New Roman" w:eastAsia="仿宋_GB2312" w:cs="Times New Roman"/>
          <w:kern w:val="1"/>
          <w:sz w:val="32"/>
          <w:szCs w:val="32"/>
          <w:lang w:val="en-US" w:eastAsia="zh-CN" w:bidi="ar-SA"/>
        </w:rPr>
        <w:t>2、</w:t>
      </w:r>
      <w:r>
        <w:rPr>
          <w:rFonts w:hint="eastAsia" w:ascii="仿宋_GB2312" w:hAnsi="Times New Roman" w:eastAsia="仿宋_GB2312" w:cs="Times New Roman"/>
          <w:kern w:val="1"/>
          <w:sz w:val="32"/>
          <w:szCs w:val="32"/>
          <w:lang w:val="en-US" w:eastAsia="zh-CN"/>
        </w:rPr>
        <w:t>统战事务支出16,839,769.26元；</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kern w:val="1"/>
          <w:sz w:val="32"/>
          <w:szCs w:val="32"/>
          <w:lang w:val="en-US" w:eastAsia="zh-CN" w:bidi="ar-SA"/>
        </w:rPr>
      </w:pPr>
      <w:r>
        <w:rPr>
          <w:rFonts w:hint="eastAsia" w:ascii="仿宋_GB2312" w:hAnsi="Times New Roman" w:eastAsia="仿宋_GB2312" w:cs="Times New Roman"/>
          <w:kern w:val="1"/>
          <w:sz w:val="32"/>
          <w:szCs w:val="32"/>
          <w:lang w:val="en-US" w:eastAsia="zh-CN"/>
        </w:rPr>
        <w:t>行政事业单位养老支出2,305,989.52元；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行政事业单位医疗支出1,450,421.76元；</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仿宋_GB2312" w:hAnsi="Times New Roman" w:eastAsia="仿宋_GB2312" w:cs="Times New Roman"/>
          <w:kern w:val="1"/>
          <w:sz w:val="32"/>
          <w:szCs w:val="32"/>
          <w:lang w:val="en-US" w:eastAsia="zh-CN"/>
        </w:rPr>
        <w:t xml:space="preserve">    5、城乡社区管理事务3,000.00元；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lang w:val="en-US" w:eastAsia="zh-CN"/>
        </w:rPr>
      </w:pPr>
      <w:r>
        <w:rPr>
          <w:rFonts w:hint="eastAsia" w:ascii="仿宋_GB2312" w:hAnsi="Times New Roman" w:eastAsia="仿宋_GB2312" w:cs="Times New Roman"/>
          <w:kern w:val="1"/>
          <w:sz w:val="32"/>
          <w:szCs w:val="32"/>
          <w:lang w:val="en-US" w:eastAsia="zh-CN" w:bidi="ar-SA"/>
        </w:rPr>
        <w:t xml:space="preserve"> 6、</w:t>
      </w:r>
      <w:r>
        <w:rPr>
          <w:rFonts w:hint="eastAsia" w:ascii="仿宋_GB2312" w:hAnsi="Times New Roman" w:eastAsia="仿宋_GB2312" w:cs="Times New Roman"/>
          <w:kern w:val="1"/>
          <w:sz w:val="32"/>
          <w:szCs w:val="32"/>
          <w:lang w:val="en-US" w:eastAsia="zh-CN"/>
        </w:rPr>
        <w:t>住房改革支出2,920,173.76元。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黑体" w:eastAsia="黑体"/>
          <w:sz w:val="32"/>
          <w:szCs w:val="32"/>
        </w:rPr>
      </w:pPr>
      <w:r>
        <w:rPr>
          <w:rFonts w:hint="eastAsia" w:ascii="黑体" w:eastAsia="黑体"/>
          <w:sz w:val="32"/>
          <w:szCs w:val="32"/>
        </w:rPr>
        <w:t>五、政府性基金预算财政拨款支出决算情况说明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政府性基金预算财政拨款支出决算0元。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黑体" w:eastAsia="黑体"/>
          <w:sz w:val="32"/>
          <w:szCs w:val="32"/>
        </w:rPr>
      </w:pPr>
      <w:bookmarkStart w:id="3" w:name="_Toc27211"/>
      <w:r>
        <w:rPr>
          <w:rFonts w:hint="eastAsia" w:ascii="黑体" w:eastAsia="黑体"/>
          <w:sz w:val="32"/>
          <w:szCs w:val="32"/>
        </w:rPr>
        <w:t>六、国有资本经营预算财政拨款收支情况</w:t>
      </w:r>
      <w:bookmarkEnd w:id="3"/>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2023年度国有资本经营预算财政拨款收入总计0元，国有资本经营预算财政拨款支出总计0元。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黑体" w:eastAsia="黑体"/>
          <w:sz w:val="32"/>
          <w:szCs w:val="32"/>
        </w:rPr>
      </w:pPr>
      <w:bookmarkStart w:id="4" w:name="_Toc533"/>
      <w:r>
        <w:rPr>
          <w:rFonts w:hint="eastAsia" w:ascii="黑体" w:eastAsia="黑体"/>
          <w:sz w:val="32"/>
          <w:szCs w:val="32"/>
        </w:rPr>
        <w:t>七、财政拨款基本支出决算情况说明</w:t>
      </w:r>
      <w:bookmarkEnd w:id="4"/>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2023年度使用一般公共预算财政拨款安排基本支出19,646,513.92元，使用政府性基金财政拨款安排基本支出0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 xml:space="preserve">   </w:t>
      </w: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pStyle w:val="2"/>
        <w:rPr>
          <w:rFonts w:hint="eastAsia" w:ascii="仿宋_GB2312" w:hAnsi="Times New Roman" w:eastAsia="仿宋_GB2312" w:cs="Times New Roman"/>
          <w:kern w:val="1"/>
          <w:sz w:val="32"/>
          <w:szCs w:val="32"/>
          <w:lang w:val="en-US" w:eastAsia="zh-CN"/>
        </w:rPr>
      </w:pPr>
    </w:p>
    <w:p>
      <w:pPr>
        <w:snapToGrid w:val="0"/>
        <w:spacing w:line="560" w:lineRule="atLeast"/>
        <w:jc w:val="both"/>
        <w:rPr>
          <w:rFonts w:hint="eastAsia" w:ascii="方正小标宋简体" w:hAnsi="方正小标宋简体" w:eastAsia="方正小标宋简体" w:cs="方正小标宋简体"/>
          <w:sz w:val="40"/>
          <w:szCs w:val="40"/>
        </w:rPr>
      </w:pPr>
      <w:bookmarkStart w:id="5" w:name="_Toc30362"/>
    </w:p>
    <w:p>
      <w:pPr>
        <w:snapToGrid w:val="0"/>
        <w:spacing w:line="560" w:lineRule="atLeas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第二部分2023年度其他重要事项的情况说明</w:t>
      </w:r>
      <w:bookmarkEnd w:id="5"/>
    </w:p>
    <w:p>
      <w:pPr>
        <w:pStyle w:val="4"/>
        <w:jc w:val="both"/>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eastAsia="黑体"/>
          <w:sz w:val="32"/>
          <w:szCs w:val="32"/>
        </w:rPr>
      </w:pPr>
      <w:bookmarkStart w:id="6" w:name="_Toc3281"/>
      <w:r>
        <w:rPr>
          <w:rFonts w:hint="eastAsia" w:ascii="黑体" w:eastAsia="黑体"/>
          <w:sz w:val="32"/>
          <w:szCs w:val="32"/>
        </w:rPr>
        <w:t>一、“三公”经费财政拨款决算情况</w:t>
      </w:r>
      <w:bookmarkEnd w:id="6"/>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中共北京市西城区委统一战线工作部部门预算中因公出国（境）费、公务接待费、公务用车购置及运行维护费的支出单位包括10个所属单位，其中机关行政单位9家（区委统战部、民革西城区委、民盟西城区委、民建西城区委、民进西城区委、农工党西城区委、致公党西城区委、九三学社西城区委、台盟西城区委）和参公事业单位1家（西城区社会主义学院）。2023年度“三公”经费财政拨款决算数0元。2023年区委统战部第一年独立核算。其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（一）因公出国（境）费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年财政拨款因公出国（境）费支出</w:t>
      </w:r>
      <w:r>
        <w:rPr>
          <w:rFonts w:hint="eastAsia" w:ascii="仿宋_GB2312" w:eastAsia="仿宋_GB2312"/>
          <w:sz w:val="32"/>
          <w:szCs w:val="32"/>
          <w:lang w:val="en-US" w:eastAsia="zh-CN"/>
        </w:rPr>
        <w:t>0</w:t>
      </w:r>
      <w:r>
        <w:rPr>
          <w:rFonts w:hint="eastAsia" w:ascii="仿宋_GB2312" w:eastAsia="仿宋_GB2312"/>
          <w:sz w:val="32"/>
          <w:szCs w:val="32"/>
        </w:rPr>
        <w:t>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（二）公务接待费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年预算安排资金7357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43元，</w:t>
      </w:r>
      <w:r>
        <w:rPr>
          <w:rFonts w:hint="eastAsia" w:ascii="仿宋_GB2312" w:eastAsia="仿宋_GB2312"/>
          <w:sz w:val="32"/>
          <w:szCs w:val="32"/>
        </w:rPr>
        <w:t>决算支出</w:t>
      </w:r>
      <w:r>
        <w:rPr>
          <w:rFonts w:hint="eastAsia" w:ascii="仿宋_GB2312" w:eastAsia="仿宋_GB2312"/>
          <w:sz w:val="32"/>
          <w:szCs w:val="32"/>
          <w:lang w:val="en-US" w:eastAsia="zh-CN"/>
        </w:rPr>
        <w:t>0元。</w:t>
      </w:r>
      <w:r>
        <w:rPr>
          <w:rFonts w:hint="eastAsia" w:ascii="仿宋_GB2312" w:eastAsia="仿宋_GB2312"/>
          <w:sz w:val="32"/>
          <w:szCs w:val="32"/>
        </w:rPr>
        <w:t>本年度本单位使用公共预算财政拨款支出的国内公务接待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人次，0元；外事接待0批次，0人次，0元。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（三）公务用车购置及运行维护费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年预算安排资金0元，决算支出0元,202</w:t>
      </w:r>
      <w:r>
        <w:rPr>
          <w:rFonts w:hint="eastAsia" w:ascii="仿宋_GB2312" w:eastAsia="仿宋_GB2312"/>
          <w:sz w:val="32"/>
          <w:szCs w:val="32"/>
          <w:lang w:val="en-US" w:eastAsia="zh-CN"/>
        </w:rPr>
        <w:t>3</w:t>
      </w:r>
      <w:r>
        <w:rPr>
          <w:rFonts w:hint="eastAsia" w:ascii="仿宋_GB2312" w:eastAsia="仿宋_GB2312"/>
          <w:sz w:val="32"/>
          <w:szCs w:val="32"/>
        </w:rPr>
        <w:t>年财政拨款公务用车购置及运行维护费支出0元</w:t>
      </w:r>
      <w:r>
        <w:rPr>
          <w:rFonts w:hint="eastAsia" w:ascii="仿宋_GB2312" w:eastAsia="仿宋_GB2312"/>
          <w:sz w:val="32"/>
          <w:szCs w:val="32"/>
          <w:lang w:eastAsia="zh-CN"/>
        </w:rPr>
        <w:t>。</w:t>
      </w:r>
      <w:r>
        <w:rPr>
          <w:rFonts w:hint="eastAsia" w:ascii="仿宋_GB2312" w:eastAsia="仿宋_GB2312"/>
          <w:sz w:val="32"/>
          <w:szCs w:val="32"/>
        </w:rPr>
        <w:t>主要原因是自2018年3月开始，区机关事务服务中心统一管理全区公务车辆，区委已无公务用车运行相关费用支出，年末公共预算财政拨款开支运行维护费的公务用车保有量0辆。</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本部门本年度未安排政府性基金财政拨款“三公”经费相关支出。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rPr>
          <w:rFonts w:hint="eastAsia" w:ascii="黑体" w:eastAsia="黑体"/>
          <w:sz w:val="32"/>
          <w:szCs w:val="32"/>
        </w:rPr>
      </w:pPr>
      <w:bookmarkStart w:id="7" w:name="_Toc14471"/>
      <w:r>
        <w:rPr>
          <w:rFonts w:hint="eastAsia" w:ascii="黑体" w:eastAsia="黑体"/>
          <w:sz w:val="32"/>
          <w:szCs w:val="32"/>
        </w:rPr>
        <w:t>二、机关运行经费支出情况</w:t>
      </w:r>
      <w:bookmarkEnd w:id="7"/>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2023年度使用财政拨款安排的基本支出中的日常公用经费支出，合计</w:t>
      </w:r>
      <w:r>
        <w:rPr>
          <w:rFonts w:hint="eastAsia" w:ascii="仿宋_GB2312" w:eastAsia="仿宋_GB2312"/>
          <w:sz w:val="32"/>
          <w:szCs w:val="32"/>
          <w:lang w:val="en-US" w:eastAsia="zh-CN"/>
        </w:rPr>
        <w:t>591,802.40</w:t>
      </w:r>
      <w:r>
        <w:rPr>
          <w:rFonts w:hint="eastAsia" w:ascii="仿宋_GB2312" w:eastAsia="仿宋_GB2312"/>
          <w:sz w:val="32"/>
          <w:szCs w:val="32"/>
        </w:rPr>
        <w:t>元</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rPr>
          <w:rFonts w:hint="eastAsia" w:ascii="黑体" w:eastAsia="黑体"/>
          <w:sz w:val="32"/>
          <w:szCs w:val="32"/>
        </w:rPr>
      </w:pPr>
      <w:bookmarkStart w:id="8" w:name="_Toc19779"/>
      <w:r>
        <w:rPr>
          <w:rFonts w:hint="eastAsia" w:ascii="黑体" w:eastAsia="黑体"/>
          <w:sz w:val="32"/>
          <w:szCs w:val="32"/>
        </w:rPr>
        <w:t>三、政府采购支出情况</w:t>
      </w:r>
      <w:bookmarkEnd w:id="8"/>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2023年度政府采购支出总额501,646.80元，其中：政府采购货物支出14,900.00元，政府采购工程支出0元，政府采购服务支出486,746.80元。授予中小企业合同金额501,646.80元，占政府采购支出总额的100%，其中：授予小微企业合同金额443,976.80元，占政府采购支出总额的88.5%。</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rPr>
          <w:rFonts w:hint="eastAsia" w:ascii="黑体" w:eastAsia="黑体"/>
          <w:sz w:val="32"/>
          <w:szCs w:val="32"/>
        </w:rPr>
      </w:pPr>
      <w:bookmarkStart w:id="9" w:name="_Toc24234"/>
      <w:r>
        <w:rPr>
          <w:rFonts w:hint="eastAsia" w:ascii="黑体" w:eastAsia="黑体"/>
          <w:sz w:val="32"/>
          <w:szCs w:val="32"/>
        </w:rPr>
        <w:t>四、国有资产占用情况</w:t>
      </w:r>
      <w:bookmarkEnd w:id="9"/>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highlight w:val="none"/>
        </w:rPr>
        <w:t>截止2023年12月31日，本部门固定资产总额</w:t>
      </w:r>
      <w:r>
        <w:rPr>
          <w:rFonts w:hint="eastAsia" w:ascii="仿宋_GB2312" w:eastAsia="仿宋_GB2312"/>
          <w:sz w:val="32"/>
          <w:szCs w:val="32"/>
          <w:highlight w:val="none"/>
          <w:lang w:val="en-US" w:eastAsia="zh-CN"/>
        </w:rPr>
        <w:t>33,988.00</w:t>
      </w:r>
      <w:r>
        <w:rPr>
          <w:rFonts w:hint="eastAsia" w:ascii="仿宋_GB2312" w:eastAsia="仿宋_GB2312"/>
          <w:sz w:val="32"/>
          <w:szCs w:val="32"/>
          <w:highlight w:val="none"/>
        </w:rPr>
        <w:t>元，其中：汽</w:t>
      </w:r>
      <w:r>
        <w:rPr>
          <w:rFonts w:hint="eastAsia" w:ascii="仿宋_GB2312" w:eastAsia="仿宋_GB2312"/>
          <w:sz w:val="32"/>
          <w:szCs w:val="32"/>
        </w:rPr>
        <w:t>车（使用各类资金安排的机动车辆，包括机要通信用车、应急保障用车、执法执勤用车、特种专业技术用车以及其他按照规定配备的公务用车）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0</w:t>
      </w:r>
      <w:r>
        <w:rPr>
          <w:rFonts w:hint="eastAsia" w:ascii="仿宋_GB2312" w:eastAsia="仿宋_GB2312"/>
          <w:sz w:val="32"/>
          <w:szCs w:val="32"/>
        </w:rPr>
        <w:t>元；单价100万元以上的设备</w:t>
      </w:r>
      <w:r>
        <w:rPr>
          <w:rFonts w:hint="eastAsia" w:ascii="仿宋_GB2312" w:eastAsia="仿宋_GB2312"/>
          <w:sz w:val="32"/>
          <w:szCs w:val="32"/>
          <w:lang w:val="en-US" w:eastAsia="zh-CN"/>
        </w:rPr>
        <w:t>0</w:t>
      </w:r>
      <w:r>
        <w:rPr>
          <w:rFonts w:hint="eastAsia" w:ascii="仿宋_GB2312" w:eastAsia="仿宋_GB2312"/>
          <w:sz w:val="32"/>
          <w:szCs w:val="32"/>
        </w:rPr>
        <w:t>台（套），</w:t>
      </w:r>
      <w:r>
        <w:rPr>
          <w:rFonts w:hint="eastAsia" w:ascii="仿宋_GB2312" w:eastAsia="仿宋_GB2312"/>
          <w:sz w:val="32"/>
          <w:szCs w:val="32"/>
          <w:lang w:val="en-US" w:eastAsia="zh-CN"/>
        </w:rPr>
        <w:t>0</w:t>
      </w:r>
      <w:r>
        <w:rPr>
          <w:rFonts w:hint="eastAsia" w:ascii="仿宋_GB2312" w:eastAsia="仿宋_GB2312"/>
          <w:sz w:val="32"/>
          <w:szCs w:val="32"/>
        </w:rPr>
        <w:t>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rPr>
          <w:rFonts w:hint="eastAsia" w:ascii="黑体" w:eastAsia="黑体"/>
          <w:sz w:val="32"/>
          <w:szCs w:val="32"/>
        </w:rPr>
      </w:pPr>
      <w:bookmarkStart w:id="10" w:name="_Toc13840"/>
      <w:r>
        <w:rPr>
          <w:rFonts w:hint="eastAsia" w:ascii="黑体" w:eastAsia="黑体"/>
          <w:sz w:val="32"/>
          <w:szCs w:val="32"/>
        </w:rPr>
        <w:t>五、政府购买服务支出说明</w:t>
      </w:r>
      <w:bookmarkEnd w:id="1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2023年度政府购买服务决算</w:t>
      </w:r>
      <w:r>
        <w:rPr>
          <w:rFonts w:hint="eastAsia" w:ascii="仿宋_GB2312" w:eastAsia="仿宋_GB2312"/>
          <w:sz w:val="32"/>
          <w:szCs w:val="32"/>
          <w:lang w:val="en-US" w:eastAsia="zh-CN"/>
        </w:rPr>
        <w:t>75,000.00</w:t>
      </w:r>
      <w:r>
        <w:rPr>
          <w:rFonts w:hint="eastAsia" w:ascii="仿宋_GB2312" w:eastAsia="仿宋_GB2312"/>
          <w:sz w:val="32"/>
          <w:szCs w:val="32"/>
        </w:rPr>
        <w:t>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rPr>
          <w:rFonts w:hint="eastAsia" w:ascii="黑体" w:eastAsia="黑体"/>
          <w:sz w:val="32"/>
          <w:szCs w:val="32"/>
        </w:rPr>
      </w:pPr>
      <w:bookmarkStart w:id="11" w:name="_Toc23993"/>
      <w:r>
        <w:rPr>
          <w:rFonts w:hint="eastAsia" w:ascii="黑体" w:eastAsia="黑体"/>
          <w:sz w:val="32"/>
          <w:szCs w:val="32"/>
        </w:rPr>
        <w:t>六、专业名词解释</w:t>
      </w:r>
      <w:bookmarkEnd w:id="1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4.其他收入：指单位取得的除上述收入以外的各项收入。主要是按规定动用的售房收入、存款利息收入等。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5.年初结转和结余：指单位以前年度尚未完成、结转到本年按有关规定继续使用的资金。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6.基本支出：指为保障机构正常运转、完成日常工作任务而发生的人员支出和公用支出。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7.项目支出：指在基本支出之外为完成特定行政任务或事业发展目标所发生的支出。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8.“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9.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10.政府采购：指各级国家机关、事业单位和团体组织，使用财政性资金采购依法制定的集中目录以内的或者采购限额标准以上的货物、工程和服务的行为，是规范财政支出管理和强化预算约束的有效措施。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11.政府购买服务：是指各级国家机关将属于自身职责范围且适合通过市场化方式提供的服务事项，按照政府采购方式和程序，交由符合条件的服务供应商承担，并根据服务数量和质量等因素向其支付费用的行为。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黑体" w:eastAsia="黑体"/>
          <w:sz w:val="32"/>
          <w:szCs w:val="32"/>
        </w:rPr>
      </w:pPr>
    </w:p>
    <w:p>
      <w:pPr>
        <w:ind w:firstLine="883" w:firstLineChars="200"/>
        <w:jc w:val="center"/>
        <w:outlineLvl w:val="0"/>
        <w:rPr>
          <w:rFonts w:hint="eastAsia" w:ascii="宋体" w:hAnsi="宋体" w:cs="宋体"/>
          <w:b/>
          <w:bCs/>
          <w:sz w:val="44"/>
          <w:szCs w:val="44"/>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第三部分  2023年度部门绩效评价情况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eastAsia="黑体"/>
          <w:sz w:val="32"/>
          <w:szCs w:val="32"/>
        </w:rPr>
      </w:pPr>
      <w:bookmarkStart w:id="12" w:name="_Toc19457"/>
      <w:r>
        <w:rPr>
          <w:rFonts w:hint="eastAsia" w:ascii="黑体" w:eastAsia="黑体"/>
          <w:sz w:val="32"/>
          <w:szCs w:val="32"/>
        </w:rPr>
        <w:t>一、 预算绩效工作开展情况</w:t>
      </w:r>
      <w:bookmarkEnd w:id="12"/>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24"/>
          <w:lang w:val="en-US" w:eastAsia="zh-CN"/>
        </w:rPr>
      </w:pPr>
      <w:r>
        <w:rPr>
          <w:rFonts w:hint="eastAsia" w:ascii="仿宋_GB2312" w:eastAsia="仿宋_GB2312"/>
          <w:sz w:val="32"/>
          <w:szCs w:val="32"/>
        </w:rPr>
        <w:t>2023年，</w:t>
      </w:r>
      <w:r>
        <w:rPr>
          <w:rFonts w:hint="eastAsia" w:ascii="仿宋_GB2312" w:eastAsia="仿宋_GB2312"/>
          <w:sz w:val="32"/>
          <w:szCs w:val="32"/>
          <w:lang w:eastAsia="zh-CN"/>
        </w:rPr>
        <w:t>中共北京市西城区委统一战线工作部</w:t>
      </w:r>
      <w:r>
        <w:rPr>
          <w:rFonts w:hint="eastAsia" w:ascii="仿宋_GB2312" w:eastAsia="仿宋_GB2312"/>
          <w:sz w:val="32"/>
          <w:szCs w:val="32"/>
        </w:rPr>
        <w:t>对2023年度部门项目支出实施绩效评价，评价项目</w:t>
      </w:r>
      <w:r>
        <w:rPr>
          <w:rFonts w:hint="eastAsia" w:ascii="仿宋_GB2312" w:eastAsia="仿宋_GB2312"/>
          <w:sz w:val="32"/>
          <w:szCs w:val="32"/>
          <w:lang w:val="en-US" w:eastAsia="zh-CN"/>
        </w:rPr>
        <w:t>4</w:t>
      </w:r>
      <w:r>
        <w:rPr>
          <w:rFonts w:hint="eastAsia" w:ascii="仿宋_GB2312" w:eastAsia="仿宋_GB2312"/>
          <w:sz w:val="32"/>
          <w:szCs w:val="32"/>
        </w:rPr>
        <w:t>个，占部门项目总数的100%，涉及金额</w:t>
      </w:r>
      <w:r>
        <w:rPr>
          <w:rFonts w:hint="eastAsia" w:ascii="仿宋_GB2312" w:hAnsi="Times New Roman" w:eastAsia="仿宋_GB2312" w:cs="Times New Roman"/>
          <w:kern w:val="1"/>
          <w:sz w:val="32"/>
          <w:szCs w:val="32"/>
          <w:lang w:val="en-US" w:eastAsia="zh-CN"/>
        </w:rPr>
        <w:t>6,956,165.20</w:t>
      </w:r>
      <w:r>
        <w:rPr>
          <w:rFonts w:hint="eastAsia" w:ascii="仿宋_GB2312" w:eastAsia="仿宋_GB2312"/>
          <w:sz w:val="32"/>
          <w:szCs w:val="32"/>
        </w:rPr>
        <w:t>元。</w:t>
      </w:r>
      <w:r>
        <w:rPr>
          <w:rFonts w:hint="eastAsia" w:ascii="仿宋_GB2312" w:hAnsi="Times New Roman" w:eastAsia="仿宋_GB2312" w:cs="Times New Roman"/>
          <w:sz w:val="32"/>
          <w:szCs w:val="24"/>
          <w:lang w:val="en-US" w:eastAsia="zh-CN"/>
        </w:rPr>
        <w:t>经评价，2023年度项目绩效评价自评级别均为“优”。</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黑体" w:eastAsia="黑体"/>
          <w:sz w:val="32"/>
          <w:szCs w:val="32"/>
          <w:lang w:val="en-US" w:eastAsia="zh-CN"/>
        </w:rPr>
      </w:pPr>
      <w:r>
        <w:rPr>
          <w:rFonts w:hint="eastAsia" w:ascii="黑体" w:eastAsia="黑体"/>
          <w:sz w:val="32"/>
          <w:szCs w:val="32"/>
        </w:rPr>
        <w:t>二、</w:t>
      </w:r>
      <w:r>
        <w:rPr>
          <w:rFonts w:hint="eastAsia" w:ascii="黑体" w:eastAsia="黑体"/>
          <w:sz w:val="32"/>
          <w:szCs w:val="32"/>
          <w:lang w:val="en-US" w:eastAsia="zh-CN"/>
        </w:rPr>
        <w:t>部门整体绩效报告</w:t>
      </w:r>
    </w:p>
    <w:p>
      <w:pPr>
        <w:pStyle w:val="4"/>
        <w:keepNext w:val="0"/>
        <w:keepLines w:val="0"/>
        <w:pageBreakBefore w:val="0"/>
        <w:widowControl w:val="0"/>
        <w:kinsoku/>
        <w:wordWrap/>
        <w:overflowPunct/>
        <w:topLinePunct w:val="0"/>
        <w:autoSpaceDE/>
        <w:autoSpaceDN/>
        <w:bidi w:val="0"/>
        <w:adjustRightInd/>
        <w:spacing w:line="600" w:lineRule="exact"/>
        <w:ind w:firstLine="560"/>
        <w:textAlignment w:val="auto"/>
        <w:rPr>
          <w:rFonts w:hint="eastAsia" w:ascii="楷体_GB2312" w:eastAsia="楷体_GB2312" w:hAnsiTheme="minorHAnsi" w:cstheme="minorBidi"/>
          <w:b w:val="0"/>
          <w:bCs w:val="0"/>
          <w:kern w:val="2"/>
          <w:sz w:val="32"/>
          <w:szCs w:val="32"/>
          <w:lang w:val="en-US" w:eastAsia="zh-CN" w:bidi="ar-SA"/>
        </w:rPr>
      </w:pPr>
      <w:r>
        <w:rPr>
          <w:rFonts w:hint="eastAsia" w:ascii="楷体_GB2312" w:eastAsia="楷体_GB2312" w:hAnsiTheme="minorHAnsi" w:cstheme="minorBidi"/>
          <w:b w:val="0"/>
          <w:bCs w:val="0"/>
          <w:kern w:val="2"/>
          <w:sz w:val="32"/>
          <w:szCs w:val="32"/>
          <w:lang w:val="en-US" w:eastAsia="zh-CN" w:bidi="ar-SA"/>
        </w:rPr>
        <w:t>（一）部门概况</w:t>
      </w:r>
    </w:p>
    <w:p>
      <w:pPr>
        <w:pStyle w:val="4"/>
        <w:keepNext w:val="0"/>
        <w:keepLines w:val="0"/>
        <w:pageBreakBefore w:val="0"/>
        <w:widowControl w:val="0"/>
        <w:kinsoku/>
        <w:wordWrap/>
        <w:overflowPunct/>
        <w:topLinePunct w:val="0"/>
        <w:autoSpaceDE/>
        <w:autoSpaceDN/>
        <w:bidi w:val="0"/>
        <w:adjustRightInd/>
        <w:spacing w:line="600" w:lineRule="exact"/>
        <w:ind w:firstLine="560"/>
        <w:textAlignment w:val="auto"/>
        <w:rPr>
          <w:rFonts w:hint="eastAsia" w:ascii="仿宋_GB2312" w:hAnsi="Times New Roman" w:eastAsia="仿宋_GB2312" w:cs="Times New Roman"/>
          <w:kern w:val="1"/>
          <w:sz w:val="32"/>
          <w:szCs w:val="32"/>
          <w:lang w:val="en-US" w:eastAsia="zh-CN" w:bidi="ar-SA"/>
        </w:rPr>
      </w:pPr>
      <w:r>
        <w:rPr>
          <w:rFonts w:hint="eastAsia" w:ascii="仿宋_GB2312" w:hAnsi="Times New Roman" w:eastAsia="仿宋_GB2312" w:cs="Times New Roman"/>
          <w:kern w:val="1"/>
          <w:sz w:val="32"/>
          <w:szCs w:val="32"/>
          <w:lang w:val="en-US" w:eastAsia="zh-CN" w:bidi="ar-SA"/>
        </w:rPr>
        <w:t xml:space="preserve"> 1.机构设置及职责工作任务情况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rPr>
      </w:pPr>
      <w:r>
        <w:rPr>
          <w:rFonts w:hint="eastAsia" w:ascii="仿宋_GB2312" w:hAnsi="Times New Roman" w:eastAsia="仿宋_GB2312" w:cs="Times New Roman"/>
          <w:kern w:val="1"/>
          <w:sz w:val="32"/>
          <w:szCs w:val="32"/>
          <w:lang w:eastAsia="zh-CN"/>
        </w:rPr>
        <w:t>中共北京市西城区委统一战线工作部是区委主管统一战线工作的职能部门，内设</w:t>
      </w:r>
      <w:r>
        <w:rPr>
          <w:rFonts w:hint="eastAsia" w:ascii="仿宋_GB2312" w:hAnsi="Times New Roman" w:eastAsia="仿宋_GB2312" w:cs="Times New Roman"/>
          <w:kern w:val="1"/>
          <w:sz w:val="32"/>
          <w:szCs w:val="32"/>
          <w:lang w:val="en-US" w:eastAsia="zh-CN"/>
        </w:rPr>
        <w:t>6个科室。</w:t>
      </w:r>
      <w:r>
        <w:rPr>
          <w:rFonts w:hint="eastAsia" w:ascii="仿宋_GB2312" w:hAnsi="Times New Roman" w:eastAsia="仿宋_GB2312" w:cs="Times New Roman"/>
          <w:kern w:val="1"/>
          <w:sz w:val="32"/>
          <w:szCs w:val="32"/>
          <w:lang w:val="en-US" w:eastAsia="zh-CN"/>
        </w:rPr>
        <w:br w:type="textWrapping"/>
      </w:r>
      <w:r>
        <w:rPr>
          <w:rFonts w:hint="eastAsia" w:ascii="仿宋_GB2312" w:hAnsi="Times New Roman" w:eastAsia="仿宋_GB2312" w:cs="Times New Roman"/>
          <w:kern w:val="1"/>
          <w:sz w:val="32"/>
          <w:szCs w:val="32"/>
          <w:highlight w:val="none"/>
          <w:lang w:val="en-US" w:eastAsia="zh-CN"/>
        </w:rPr>
        <w:t xml:space="preserve">     2023年区委统战部分户独立核算，其中包含</w:t>
      </w:r>
      <w:r>
        <w:rPr>
          <w:rFonts w:hint="eastAsia" w:ascii="仿宋_GB2312" w:hAnsi="Times New Roman" w:eastAsia="仿宋_GB2312" w:cs="Times New Roman"/>
          <w:kern w:val="1"/>
          <w:sz w:val="32"/>
          <w:szCs w:val="32"/>
          <w:highlight w:val="none"/>
          <w:lang w:eastAsia="zh-CN"/>
        </w:rPr>
        <w:t>区委统战部、民革西城区委、民盟西城区委、民建西城区委、民进西城区委、农工党西城区委、致公党西城区委、九三学社西城区委、台盟西城区委及</w:t>
      </w:r>
      <w:r>
        <w:rPr>
          <w:rFonts w:hint="eastAsia" w:ascii="仿宋_GB2312" w:hAnsi="Times New Roman" w:eastAsia="仿宋_GB2312" w:cs="Times New Roman"/>
          <w:kern w:val="1"/>
          <w:sz w:val="32"/>
          <w:szCs w:val="32"/>
          <w:highlight w:val="none"/>
          <w:lang w:val="en-US" w:eastAsia="zh-CN"/>
        </w:rPr>
        <w:t>区社会主义学院</w:t>
      </w:r>
      <w:r>
        <w:rPr>
          <w:rFonts w:hint="eastAsia" w:ascii="仿宋_GB2312" w:hAnsi="Times New Roman" w:eastAsia="仿宋_GB2312" w:cs="Times New Roman"/>
          <w:kern w:val="1"/>
          <w:sz w:val="32"/>
          <w:szCs w:val="32"/>
          <w:highlight w:val="none"/>
          <w:lang w:eastAsia="zh-CN"/>
        </w:rPr>
        <w:t>共</w:t>
      </w:r>
      <w:r>
        <w:rPr>
          <w:rFonts w:hint="eastAsia" w:ascii="仿宋_GB2312" w:hAnsi="Times New Roman" w:eastAsia="仿宋_GB2312" w:cs="Times New Roman"/>
          <w:kern w:val="1"/>
          <w:sz w:val="32"/>
          <w:szCs w:val="32"/>
          <w:highlight w:val="none"/>
          <w:lang w:val="en-US" w:eastAsia="zh-CN"/>
        </w:rPr>
        <w:t>10个单位的经费。</w:t>
      </w:r>
      <w:r>
        <w:rPr>
          <w:rFonts w:hint="eastAsia" w:ascii="仿宋_GB2312" w:hAnsi="Times New Roman" w:eastAsia="仿宋_GB2312" w:cs="Times New Roman"/>
          <w:kern w:val="1"/>
          <w:sz w:val="32"/>
          <w:szCs w:val="32"/>
          <w:highlight w:val="lightGray"/>
        </w:rPr>
        <w:br w:type="textWrapping"/>
      </w:r>
      <w:r>
        <w:rPr>
          <w:rFonts w:hint="eastAsia" w:ascii="仿宋_GB2312" w:hAnsi="Times New Roman" w:eastAsia="仿宋_GB2312" w:cs="Times New Roman"/>
          <w:kern w:val="1"/>
          <w:sz w:val="32"/>
          <w:szCs w:val="32"/>
          <w:lang w:val="en-US" w:eastAsia="zh-CN"/>
        </w:rPr>
        <w:t xml:space="preserve">    </w:t>
      </w:r>
      <w:r>
        <w:rPr>
          <w:rFonts w:hint="eastAsia" w:ascii="仿宋_GB2312" w:hAnsi="Times New Roman" w:eastAsia="仿宋_GB2312" w:cs="Times New Roman"/>
          <w:kern w:val="1"/>
          <w:sz w:val="32"/>
          <w:szCs w:val="32"/>
        </w:rPr>
        <w:t>主要职责</w:t>
      </w:r>
      <w:r>
        <w:rPr>
          <w:rFonts w:hint="eastAsia" w:ascii="仿宋_GB2312" w:hAnsi="Times New Roman" w:eastAsia="仿宋_GB2312" w:cs="Times New Roman"/>
          <w:kern w:val="1"/>
          <w:sz w:val="32"/>
          <w:szCs w:val="32"/>
          <w:lang w:eastAsia="zh-CN"/>
        </w:rPr>
        <w:t>：区委统战部</w:t>
      </w:r>
      <w:r>
        <w:rPr>
          <w:rFonts w:hint="eastAsia" w:ascii="仿宋_GB2312" w:hAnsi="Times New Roman" w:eastAsia="仿宋_GB2312" w:cs="Times New Roman"/>
          <w:kern w:val="1"/>
          <w:sz w:val="32"/>
          <w:szCs w:val="32"/>
        </w:rPr>
        <w:t>贯彻落实加强党对统一战线工作集中统一领导的要求</w:t>
      </w:r>
      <w:r>
        <w:rPr>
          <w:rFonts w:hint="eastAsia" w:ascii="仿宋_GB2312" w:hAnsi="Times New Roman" w:eastAsia="仿宋_GB2312" w:cs="Times New Roman"/>
          <w:kern w:val="1"/>
          <w:sz w:val="32"/>
          <w:szCs w:val="32"/>
          <w:lang w:eastAsia="zh-CN"/>
        </w:rPr>
        <w:t>，承担了解情况、掌握政策、协调关系、安排人事、增进共识、加强团结等职责。</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Times New Roman" w:eastAsia="仿宋_GB2312" w:cs="Times New Roman"/>
          <w:kern w:val="1"/>
          <w:sz w:val="32"/>
          <w:szCs w:val="32"/>
          <w:lang w:val="en-US" w:eastAsia="zh-CN" w:bidi="ar-SA"/>
        </w:rPr>
      </w:pPr>
      <w:r>
        <w:rPr>
          <w:rFonts w:hint="eastAsia" w:ascii="仿宋_GB2312" w:hAnsi="Times New Roman" w:eastAsia="仿宋_GB2312" w:cs="Times New Roman"/>
          <w:kern w:val="1"/>
          <w:sz w:val="32"/>
          <w:szCs w:val="32"/>
          <w:lang w:val="en-US" w:eastAsia="zh-CN" w:bidi="ar-SA"/>
        </w:rPr>
        <w:t>2.部门整体绩效目标设立情况（包括绩效目标设立依据、目标与职责任务匹配情况、目标合理性等）。</w:t>
      </w:r>
    </w:p>
    <w:p>
      <w:pPr>
        <w:pStyle w:val="4"/>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仿宋_GB2312" w:hAnsi="Times New Roman" w:eastAsia="仿宋_GB2312" w:cs="Times New Roman"/>
          <w:kern w:val="1"/>
          <w:sz w:val="32"/>
          <w:szCs w:val="32"/>
          <w:highlight w:val="none"/>
          <w:lang w:val="en-US" w:eastAsia="zh-CN" w:bidi="ar-SA"/>
        </w:rPr>
      </w:pPr>
      <w:r>
        <w:rPr>
          <w:rFonts w:hint="eastAsia"/>
          <w:lang w:val="en-US" w:eastAsia="zh-CN"/>
        </w:rPr>
        <w:t xml:space="preserve">      </w:t>
      </w:r>
      <w:r>
        <w:rPr>
          <w:rFonts w:hint="eastAsia" w:ascii="仿宋_GB2312" w:hAnsi="Times New Roman" w:eastAsia="仿宋_GB2312" w:cs="Times New Roman"/>
          <w:kern w:val="1"/>
          <w:sz w:val="32"/>
          <w:szCs w:val="32"/>
          <w:highlight w:val="none"/>
          <w:lang w:val="en-US" w:eastAsia="zh-CN" w:bidi="ar-SA"/>
        </w:rPr>
        <w:t>履行好西城区委统战部、民主党派区委“三定”方案规定的主要工作职责，承担全区的统战工作任务和民主党派区委工作任务，履行了解情况，掌握政策，协调关系，安排人事，增进共识，加强团结等职责。</w:t>
      </w:r>
    </w:p>
    <w:p>
      <w:pPr>
        <w:pStyle w:val="4"/>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_GB2312" w:eastAsia="楷体_GB2312" w:hAnsiTheme="minorHAnsi" w:cstheme="minorBidi"/>
          <w:b w:val="0"/>
          <w:bCs w:val="0"/>
          <w:kern w:val="2"/>
          <w:sz w:val="32"/>
          <w:szCs w:val="32"/>
          <w:lang w:val="en-US" w:eastAsia="zh-CN" w:bidi="ar-SA"/>
        </w:rPr>
      </w:pPr>
      <w:r>
        <w:rPr>
          <w:rFonts w:hint="eastAsia" w:ascii="楷体_GB2312" w:eastAsia="楷体_GB2312" w:cstheme="minorBidi"/>
          <w:b w:val="0"/>
          <w:bCs w:val="0"/>
          <w:kern w:val="2"/>
          <w:sz w:val="32"/>
          <w:szCs w:val="32"/>
          <w:lang w:val="en-US" w:eastAsia="zh-CN" w:bidi="ar-SA"/>
        </w:rPr>
        <w:t>（</w:t>
      </w:r>
      <w:r>
        <w:rPr>
          <w:rFonts w:hint="eastAsia" w:ascii="楷体_GB2312" w:eastAsia="楷体_GB2312" w:hAnsiTheme="minorHAnsi" w:cstheme="minorBidi"/>
          <w:b w:val="0"/>
          <w:bCs w:val="0"/>
          <w:kern w:val="2"/>
          <w:sz w:val="32"/>
          <w:szCs w:val="32"/>
          <w:lang w:val="en-US" w:eastAsia="zh-CN" w:bidi="ar-SA"/>
        </w:rPr>
        <w:t>二</w:t>
      </w:r>
      <w:r>
        <w:rPr>
          <w:rFonts w:hint="eastAsia" w:ascii="楷体_GB2312" w:eastAsia="楷体_GB2312" w:cstheme="minorBidi"/>
          <w:b w:val="0"/>
          <w:bCs w:val="0"/>
          <w:kern w:val="2"/>
          <w:sz w:val="32"/>
          <w:szCs w:val="32"/>
          <w:lang w:val="en-US" w:eastAsia="zh-CN" w:bidi="ar-SA"/>
        </w:rPr>
        <w:t>）</w:t>
      </w:r>
      <w:r>
        <w:rPr>
          <w:rFonts w:hint="eastAsia" w:ascii="楷体_GB2312" w:eastAsia="楷体_GB2312" w:hAnsiTheme="minorHAnsi" w:cstheme="minorBidi"/>
          <w:b w:val="0"/>
          <w:bCs w:val="0"/>
          <w:kern w:val="2"/>
          <w:sz w:val="32"/>
          <w:szCs w:val="32"/>
          <w:lang w:val="en-US" w:eastAsia="zh-CN" w:bidi="ar-SA"/>
        </w:rPr>
        <w:t>当年预算执行情况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lang w:val="en-US" w:eastAsia="zh-CN"/>
        </w:rPr>
      </w:pPr>
      <w:r>
        <w:rPr>
          <w:rFonts w:hint="eastAsia" w:ascii="仿宋_GB2312" w:hAnsi="宋体" w:eastAsia="仿宋_GB2312" w:cs="宋体"/>
          <w:b w:val="0"/>
          <w:bCs w:val="0"/>
          <w:color w:val="000000"/>
          <w:kern w:val="0"/>
          <w:sz w:val="32"/>
          <w:szCs w:val="32"/>
          <w:highlight w:val="none"/>
        </w:rPr>
        <w:t>202</w:t>
      </w:r>
      <w:r>
        <w:rPr>
          <w:rFonts w:hint="eastAsia" w:ascii="仿宋_GB2312" w:hAnsi="宋体" w:eastAsia="仿宋_GB2312" w:cs="宋体"/>
          <w:b w:val="0"/>
          <w:bCs w:val="0"/>
          <w:color w:val="000000"/>
          <w:kern w:val="0"/>
          <w:sz w:val="32"/>
          <w:szCs w:val="32"/>
          <w:highlight w:val="none"/>
          <w:lang w:val="en-US" w:eastAsia="zh-CN"/>
        </w:rPr>
        <w:t>3</w:t>
      </w:r>
      <w:r>
        <w:rPr>
          <w:rFonts w:hint="eastAsia" w:ascii="仿宋_GB2312" w:hAnsi="宋体" w:eastAsia="仿宋_GB2312" w:cs="宋体"/>
          <w:b w:val="0"/>
          <w:bCs w:val="0"/>
          <w:color w:val="000000"/>
          <w:kern w:val="0"/>
          <w:sz w:val="32"/>
          <w:szCs w:val="32"/>
          <w:highlight w:val="none"/>
        </w:rPr>
        <w:t>年</w:t>
      </w:r>
      <w:r>
        <w:rPr>
          <w:rFonts w:ascii="仿宋_GB2312" w:hAnsi="宋体" w:eastAsia="仿宋_GB2312" w:cs="宋体"/>
          <w:b w:val="0"/>
          <w:bCs w:val="0"/>
          <w:color w:val="000000"/>
          <w:kern w:val="0"/>
          <w:sz w:val="32"/>
          <w:szCs w:val="32"/>
          <w:highlight w:val="none"/>
        </w:rPr>
        <w:t>全年</w:t>
      </w:r>
      <w:r>
        <w:rPr>
          <w:rFonts w:hint="eastAsia" w:ascii="仿宋_GB2312" w:hAnsi="宋体" w:eastAsia="仿宋_GB2312" w:cs="宋体"/>
          <w:b w:val="0"/>
          <w:bCs w:val="0"/>
          <w:color w:val="000000"/>
          <w:kern w:val="0"/>
          <w:sz w:val="32"/>
          <w:szCs w:val="32"/>
          <w:highlight w:val="none"/>
        </w:rPr>
        <w:t>预算数</w:t>
      </w:r>
      <w:r>
        <w:rPr>
          <w:rFonts w:hint="eastAsia" w:ascii="仿宋_GB2312" w:hAnsi="宋体" w:eastAsia="仿宋_GB2312" w:cs="宋体"/>
          <w:b w:val="0"/>
          <w:bCs w:val="0"/>
          <w:color w:val="000000"/>
          <w:kern w:val="0"/>
          <w:sz w:val="32"/>
          <w:szCs w:val="32"/>
          <w:highlight w:val="none"/>
          <w:lang w:val="en-US" w:eastAsia="zh-CN"/>
        </w:rPr>
        <w:t>27,305,145.74</w:t>
      </w:r>
      <w:r>
        <w:rPr>
          <w:rFonts w:hint="eastAsia" w:ascii="仿宋_GB2312" w:hAnsi="宋体" w:eastAsia="仿宋_GB2312" w:cs="宋体"/>
          <w:b w:val="0"/>
          <w:bCs w:val="0"/>
          <w:color w:val="000000"/>
          <w:kern w:val="0"/>
          <w:sz w:val="32"/>
          <w:szCs w:val="32"/>
          <w:highlight w:val="none"/>
        </w:rPr>
        <w:t>元</w:t>
      </w:r>
      <w:r>
        <w:rPr>
          <w:rFonts w:ascii="仿宋_GB2312" w:hAnsi="宋体" w:eastAsia="仿宋_GB2312" w:cs="宋体"/>
          <w:b w:val="0"/>
          <w:bCs w:val="0"/>
          <w:color w:val="000000"/>
          <w:kern w:val="0"/>
          <w:sz w:val="32"/>
          <w:szCs w:val="32"/>
          <w:highlight w:val="none"/>
        </w:rPr>
        <w:t>，</w:t>
      </w:r>
      <w:r>
        <w:rPr>
          <w:rFonts w:hint="eastAsia" w:ascii="仿宋_GB2312" w:hAnsi="宋体" w:eastAsia="仿宋_GB2312" w:cs="宋体"/>
          <w:b w:val="0"/>
          <w:bCs w:val="0"/>
          <w:color w:val="000000"/>
          <w:kern w:val="0"/>
          <w:sz w:val="32"/>
          <w:szCs w:val="32"/>
          <w:highlight w:val="none"/>
        </w:rPr>
        <w:t>其中</w:t>
      </w:r>
      <w:r>
        <w:rPr>
          <w:rFonts w:ascii="仿宋_GB2312" w:hAnsi="宋体" w:eastAsia="仿宋_GB2312" w:cs="宋体"/>
          <w:b w:val="0"/>
          <w:bCs w:val="0"/>
          <w:color w:val="000000"/>
          <w:kern w:val="0"/>
          <w:sz w:val="32"/>
          <w:szCs w:val="32"/>
          <w:highlight w:val="none"/>
        </w:rPr>
        <w:t>，基本</w:t>
      </w:r>
      <w:r>
        <w:rPr>
          <w:rFonts w:hint="eastAsia" w:ascii="仿宋_GB2312" w:hAnsi="宋体" w:eastAsia="仿宋_GB2312" w:cs="宋体"/>
          <w:b w:val="0"/>
          <w:bCs w:val="0"/>
          <w:color w:val="000000"/>
          <w:kern w:val="0"/>
          <w:sz w:val="32"/>
          <w:szCs w:val="32"/>
          <w:highlight w:val="none"/>
        </w:rPr>
        <w:t>支出</w:t>
      </w:r>
      <w:r>
        <w:rPr>
          <w:rFonts w:ascii="仿宋_GB2312" w:hAnsi="宋体" w:eastAsia="仿宋_GB2312" w:cs="宋体"/>
          <w:b w:val="0"/>
          <w:bCs w:val="0"/>
          <w:color w:val="000000"/>
          <w:kern w:val="0"/>
          <w:sz w:val="32"/>
          <w:szCs w:val="32"/>
          <w:highlight w:val="none"/>
        </w:rPr>
        <w:t>预算数</w:t>
      </w:r>
      <w:r>
        <w:rPr>
          <w:rFonts w:hint="eastAsia" w:ascii="仿宋_GB2312" w:hAnsi="宋体" w:eastAsia="仿宋_GB2312" w:cs="宋体"/>
          <w:b w:val="0"/>
          <w:bCs w:val="0"/>
          <w:color w:val="000000"/>
          <w:kern w:val="0"/>
          <w:sz w:val="32"/>
          <w:szCs w:val="32"/>
          <w:highlight w:val="none"/>
          <w:lang w:val="en-US" w:eastAsia="zh-CN"/>
        </w:rPr>
        <w:t xml:space="preserve">18,905,430.36 </w:t>
      </w:r>
      <w:r>
        <w:rPr>
          <w:rFonts w:ascii="仿宋_GB2312" w:hAnsi="宋体" w:eastAsia="仿宋_GB2312" w:cs="宋体"/>
          <w:b w:val="0"/>
          <w:bCs w:val="0"/>
          <w:color w:val="000000"/>
          <w:kern w:val="0"/>
          <w:sz w:val="32"/>
          <w:szCs w:val="32"/>
          <w:highlight w:val="none"/>
        </w:rPr>
        <w:t>元，</w:t>
      </w:r>
      <w:r>
        <w:rPr>
          <w:rFonts w:hint="eastAsia" w:ascii="仿宋_GB2312" w:hAnsi="宋体" w:eastAsia="仿宋_GB2312" w:cs="宋体"/>
          <w:b w:val="0"/>
          <w:bCs w:val="0"/>
          <w:color w:val="000000"/>
          <w:kern w:val="0"/>
          <w:sz w:val="32"/>
          <w:szCs w:val="32"/>
          <w:highlight w:val="none"/>
        </w:rPr>
        <w:t>项目支出预算数</w:t>
      </w:r>
      <w:r>
        <w:rPr>
          <w:rFonts w:hint="eastAsia" w:ascii="仿宋_GB2312" w:hAnsi="宋体" w:eastAsia="仿宋_GB2312" w:cs="宋体"/>
          <w:b w:val="0"/>
          <w:bCs w:val="0"/>
          <w:color w:val="000000"/>
          <w:kern w:val="0"/>
          <w:sz w:val="32"/>
          <w:szCs w:val="32"/>
          <w:highlight w:val="none"/>
          <w:lang w:val="en-US" w:eastAsia="zh-CN"/>
        </w:rPr>
        <w:t xml:space="preserve"> 8,399,715.38</w:t>
      </w:r>
      <w:r>
        <w:rPr>
          <w:rFonts w:ascii="仿宋_GB2312" w:hAnsi="宋体" w:eastAsia="仿宋_GB2312" w:cs="宋体"/>
          <w:b w:val="0"/>
          <w:bCs w:val="0"/>
          <w:color w:val="000000"/>
          <w:kern w:val="0"/>
          <w:sz w:val="32"/>
          <w:szCs w:val="32"/>
          <w:highlight w:val="none"/>
        </w:rPr>
        <w:t>元，其他支出</w:t>
      </w:r>
      <w:r>
        <w:rPr>
          <w:rFonts w:hint="eastAsia" w:ascii="仿宋_GB2312" w:hAnsi="宋体" w:eastAsia="仿宋_GB2312" w:cs="宋体"/>
          <w:b w:val="0"/>
          <w:bCs w:val="0"/>
          <w:color w:val="000000"/>
          <w:kern w:val="0"/>
          <w:sz w:val="32"/>
          <w:szCs w:val="32"/>
          <w:highlight w:val="none"/>
        </w:rPr>
        <w:t>预算数</w:t>
      </w:r>
      <w:r>
        <w:rPr>
          <w:rFonts w:hint="eastAsia" w:ascii="仿宋_GB2312" w:hAnsi="宋体" w:eastAsia="仿宋_GB2312" w:cs="宋体"/>
          <w:b w:val="0"/>
          <w:bCs w:val="0"/>
          <w:color w:val="000000"/>
          <w:kern w:val="0"/>
          <w:sz w:val="32"/>
          <w:szCs w:val="32"/>
          <w:highlight w:val="none"/>
          <w:lang w:val="en-US" w:eastAsia="zh-CN"/>
        </w:rPr>
        <w:t>0</w:t>
      </w:r>
      <w:r>
        <w:rPr>
          <w:rFonts w:ascii="仿宋_GB2312" w:hAnsi="宋体" w:eastAsia="仿宋_GB2312" w:cs="宋体"/>
          <w:b w:val="0"/>
          <w:bCs w:val="0"/>
          <w:color w:val="000000"/>
          <w:kern w:val="0"/>
          <w:sz w:val="32"/>
          <w:szCs w:val="32"/>
          <w:highlight w:val="none"/>
        </w:rPr>
        <w:t>元</w:t>
      </w:r>
      <w:r>
        <w:rPr>
          <w:rFonts w:hint="eastAsia" w:ascii="仿宋_GB2312" w:hAnsi="宋体" w:eastAsia="仿宋_GB2312" w:cs="宋体"/>
          <w:b w:val="0"/>
          <w:bCs w:val="0"/>
          <w:color w:val="000000"/>
          <w:kern w:val="0"/>
          <w:sz w:val="32"/>
          <w:szCs w:val="32"/>
          <w:highlight w:val="none"/>
        </w:rPr>
        <w:t>。</w:t>
      </w:r>
      <w:r>
        <w:rPr>
          <w:rFonts w:ascii="仿宋_GB2312" w:hAnsi="宋体" w:eastAsia="仿宋_GB2312" w:cs="宋体"/>
          <w:b w:val="0"/>
          <w:bCs w:val="0"/>
          <w:color w:val="000000"/>
          <w:kern w:val="0"/>
          <w:sz w:val="32"/>
          <w:szCs w:val="32"/>
          <w:highlight w:val="none"/>
        </w:rPr>
        <w:t>资金总体</w:t>
      </w:r>
      <w:r>
        <w:rPr>
          <w:rFonts w:hint="eastAsia" w:ascii="仿宋_GB2312" w:hAnsi="宋体" w:eastAsia="仿宋_GB2312" w:cs="宋体"/>
          <w:b w:val="0"/>
          <w:bCs w:val="0"/>
          <w:color w:val="000000"/>
          <w:kern w:val="0"/>
          <w:sz w:val="32"/>
          <w:szCs w:val="32"/>
          <w:highlight w:val="none"/>
        </w:rPr>
        <w:t>支出</w:t>
      </w:r>
      <w:r>
        <w:rPr>
          <w:rFonts w:hint="eastAsia" w:ascii="仿宋_GB2312" w:hAnsi="宋体" w:eastAsia="仿宋_GB2312" w:cs="宋体"/>
          <w:b w:val="0"/>
          <w:bCs w:val="0"/>
          <w:color w:val="000000"/>
          <w:kern w:val="0"/>
          <w:sz w:val="32"/>
          <w:szCs w:val="32"/>
          <w:highlight w:val="none"/>
          <w:lang w:val="en-US" w:eastAsia="zh-CN"/>
        </w:rPr>
        <w:t>26,602,679.12</w:t>
      </w:r>
      <w:r>
        <w:rPr>
          <w:rFonts w:ascii="仿宋_GB2312" w:hAnsi="宋体" w:eastAsia="仿宋_GB2312" w:cs="宋体"/>
          <w:b w:val="0"/>
          <w:bCs w:val="0"/>
          <w:color w:val="000000"/>
          <w:kern w:val="0"/>
          <w:sz w:val="32"/>
          <w:szCs w:val="32"/>
          <w:highlight w:val="none"/>
        </w:rPr>
        <w:t>元，其中，基本支出</w:t>
      </w:r>
      <w:r>
        <w:rPr>
          <w:rFonts w:hint="eastAsia" w:ascii="仿宋_GB2312" w:hAnsi="宋体" w:eastAsia="仿宋_GB2312" w:cs="宋体"/>
          <w:b w:val="0"/>
          <w:bCs w:val="0"/>
          <w:color w:val="000000"/>
          <w:kern w:val="0"/>
          <w:sz w:val="32"/>
          <w:szCs w:val="32"/>
          <w:highlight w:val="none"/>
          <w:lang w:val="en-US" w:eastAsia="zh-CN"/>
        </w:rPr>
        <w:t>19,646,513.92</w:t>
      </w:r>
      <w:r>
        <w:rPr>
          <w:rFonts w:ascii="仿宋_GB2312" w:hAnsi="宋体" w:eastAsia="仿宋_GB2312" w:cs="宋体"/>
          <w:b w:val="0"/>
          <w:bCs w:val="0"/>
          <w:color w:val="000000"/>
          <w:kern w:val="0"/>
          <w:sz w:val="32"/>
          <w:szCs w:val="32"/>
          <w:highlight w:val="none"/>
        </w:rPr>
        <w:t>元，项目</w:t>
      </w:r>
      <w:r>
        <w:rPr>
          <w:rFonts w:hint="eastAsia" w:ascii="仿宋_GB2312" w:hAnsi="宋体" w:eastAsia="仿宋_GB2312" w:cs="宋体"/>
          <w:b w:val="0"/>
          <w:bCs w:val="0"/>
          <w:color w:val="000000"/>
          <w:kern w:val="0"/>
          <w:sz w:val="32"/>
          <w:szCs w:val="32"/>
          <w:highlight w:val="none"/>
        </w:rPr>
        <w:t>支出</w:t>
      </w:r>
      <w:r>
        <w:rPr>
          <w:rFonts w:hint="eastAsia" w:ascii="仿宋_GB2312" w:hAnsi="宋体" w:eastAsia="仿宋_GB2312" w:cs="宋体"/>
          <w:b w:val="0"/>
          <w:bCs w:val="0"/>
          <w:color w:val="000000"/>
          <w:kern w:val="0"/>
          <w:sz w:val="32"/>
          <w:szCs w:val="32"/>
          <w:highlight w:val="none"/>
          <w:lang w:val="en-US" w:eastAsia="zh-CN"/>
        </w:rPr>
        <w:t>6,956,165.20</w:t>
      </w:r>
      <w:r>
        <w:rPr>
          <w:rFonts w:ascii="仿宋_GB2312" w:hAnsi="宋体" w:eastAsia="仿宋_GB2312" w:cs="宋体"/>
          <w:b w:val="0"/>
          <w:bCs w:val="0"/>
          <w:color w:val="000000"/>
          <w:kern w:val="0"/>
          <w:sz w:val="32"/>
          <w:szCs w:val="32"/>
          <w:highlight w:val="none"/>
        </w:rPr>
        <w:t>元，其他支出</w:t>
      </w:r>
      <w:r>
        <w:rPr>
          <w:rFonts w:hint="eastAsia" w:ascii="仿宋_GB2312" w:hAnsi="宋体" w:eastAsia="仿宋_GB2312" w:cs="宋体"/>
          <w:b w:val="0"/>
          <w:bCs w:val="0"/>
          <w:color w:val="000000"/>
          <w:kern w:val="0"/>
          <w:sz w:val="32"/>
          <w:szCs w:val="32"/>
          <w:highlight w:val="none"/>
          <w:lang w:val="en-US" w:eastAsia="zh-CN"/>
        </w:rPr>
        <w:t>0</w:t>
      </w:r>
      <w:r>
        <w:rPr>
          <w:rFonts w:ascii="仿宋_GB2312" w:hAnsi="宋体" w:eastAsia="仿宋_GB2312" w:cs="宋体"/>
          <w:b w:val="0"/>
          <w:bCs w:val="0"/>
          <w:color w:val="000000"/>
          <w:kern w:val="0"/>
          <w:sz w:val="32"/>
          <w:szCs w:val="32"/>
          <w:highlight w:val="none"/>
        </w:rPr>
        <w:t>元。</w:t>
      </w:r>
    </w:p>
    <w:p>
      <w:pPr>
        <w:pStyle w:val="4"/>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楷体_GB2312" w:eastAsia="楷体_GB2312" w:cstheme="minorBidi"/>
          <w:b w:val="0"/>
          <w:bCs w:val="0"/>
          <w:kern w:val="2"/>
          <w:sz w:val="32"/>
          <w:szCs w:val="32"/>
          <w:lang w:val="en-US" w:eastAsia="zh-CN" w:bidi="ar-SA"/>
        </w:rPr>
      </w:pPr>
      <w:r>
        <w:rPr>
          <w:rFonts w:hint="eastAsia" w:ascii="楷体_GB2312" w:eastAsia="楷体_GB2312" w:cstheme="minorBidi"/>
          <w:b w:val="0"/>
          <w:bCs w:val="0"/>
          <w:kern w:val="2"/>
          <w:sz w:val="32"/>
          <w:szCs w:val="32"/>
          <w:lang w:val="en-US" w:eastAsia="zh-CN" w:bidi="ar-SA"/>
        </w:rPr>
        <w:t>（三）整体绩效目标实现情况</w:t>
      </w:r>
    </w:p>
    <w:p>
      <w:pPr>
        <w:spacing w:line="600" w:lineRule="exact"/>
        <w:ind w:firstLine="640" w:firstLineChars="200"/>
        <w:jc w:val="both"/>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1.</w:t>
      </w:r>
      <w:r>
        <w:rPr>
          <w:rFonts w:hint="eastAsia" w:ascii="仿宋_GB2312" w:hAnsi="宋体" w:eastAsia="仿宋_GB2312" w:cs="宋体"/>
          <w:b w:val="0"/>
          <w:bCs w:val="0"/>
          <w:color w:val="000000"/>
          <w:kern w:val="0"/>
          <w:sz w:val="32"/>
          <w:szCs w:val="32"/>
        </w:rPr>
        <w:t>产出完成情况分析</w:t>
      </w:r>
    </w:p>
    <w:p>
      <w:pPr>
        <w:spacing w:line="600" w:lineRule="exact"/>
        <w:ind w:firstLine="640" w:firstLineChars="200"/>
        <w:jc w:val="both"/>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eastAsia="zh-CN"/>
        </w:rPr>
        <w:t>（</w:t>
      </w:r>
      <w:r>
        <w:rPr>
          <w:rFonts w:hint="eastAsia" w:ascii="仿宋_GB2312" w:hAnsi="宋体" w:eastAsia="仿宋_GB2312" w:cs="宋体"/>
          <w:b w:val="0"/>
          <w:bCs w:val="0"/>
          <w:color w:val="000000"/>
          <w:kern w:val="0"/>
          <w:sz w:val="32"/>
          <w:szCs w:val="32"/>
          <w:lang w:val="en-US" w:eastAsia="zh-CN"/>
        </w:rPr>
        <w:t>1</w:t>
      </w:r>
      <w:r>
        <w:rPr>
          <w:rFonts w:hint="eastAsia" w:ascii="仿宋_GB2312" w:hAnsi="宋体" w:eastAsia="仿宋_GB2312" w:cs="宋体"/>
          <w:b w:val="0"/>
          <w:bCs w:val="0"/>
          <w:color w:val="000000"/>
          <w:kern w:val="0"/>
          <w:sz w:val="32"/>
          <w:szCs w:val="32"/>
          <w:lang w:eastAsia="zh-CN"/>
        </w:rPr>
        <w:t>）</w:t>
      </w:r>
      <w:r>
        <w:rPr>
          <w:rFonts w:hint="eastAsia" w:ascii="仿宋_GB2312" w:hAnsi="宋体" w:eastAsia="仿宋_GB2312" w:cs="宋体"/>
          <w:b w:val="0"/>
          <w:bCs w:val="0"/>
          <w:color w:val="000000"/>
          <w:kern w:val="0"/>
          <w:sz w:val="32"/>
          <w:szCs w:val="32"/>
        </w:rPr>
        <w:t>产出数量</w:t>
      </w:r>
    </w:p>
    <w:p>
      <w:pPr>
        <w:pStyle w:val="2"/>
        <w:rPr>
          <w:rFonts w:hint="eastAsia" w:eastAsia="仿宋_GB2312"/>
          <w:lang w:val="en-US" w:eastAsia="zh-CN"/>
        </w:rPr>
      </w:pP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区委统战部组织党外人士各类会议、活动、培训等数量指标均达到年初设定的目标。</w:t>
      </w:r>
    </w:p>
    <w:p>
      <w:pPr>
        <w:numPr>
          <w:ilvl w:val="0"/>
          <w:numId w:val="0"/>
        </w:numPr>
        <w:spacing w:line="600" w:lineRule="exact"/>
        <w:ind w:firstLine="640" w:firstLineChars="200"/>
        <w:jc w:val="both"/>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（2）</w:t>
      </w:r>
      <w:r>
        <w:rPr>
          <w:rFonts w:hint="eastAsia" w:ascii="仿宋_GB2312" w:hAnsi="宋体" w:eastAsia="仿宋_GB2312" w:cs="宋体"/>
          <w:b w:val="0"/>
          <w:bCs w:val="0"/>
          <w:color w:val="000000"/>
          <w:kern w:val="0"/>
          <w:sz w:val="32"/>
          <w:szCs w:val="32"/>
        </w:rPr>
        <w:t>产出</w:t>
      </w:r>
      <w:r>
        <w:rPr>
          <w:rFonts w:ascii="仿宋_GB2312" w:hAnsi="宋体" w:eastAsia="仿宋_GB2312" w:cs="宋体"/>
          <w:b w:val="0"/>
          <w:bCs w:val="0"/>
          <w:color w:val="000000"/>
          <w:kern w:val="0"/>
          <w:sz w:val="32"/>
          <w:szCs w:val="32"/>
        </w:rPr>
        <w:t>质量</w:t>
      </w:r>
    </w:p>
    <w:p>
      <w:pPr>
        <w:pStyle w:val="2"/>
        <w:ind w:firstLine="640" w:firstLineChars="200"/>
        <w:jc w:val="both"/>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委统战部组织党外人士各类会议、活动合规性、完成率为优。社会主义学院组织各类培训完成合规性、完成率为优。各民主党派组织各类会议、培训及活动完成合规性、完成率为优。微信公众号运营服务完成合规性、完成率为优。</w:t>
      </w:r>
    </w:p>
    <w:p>
      <w:pPr>
        <w:spacing w:line="600" w:lineRule="exact"/>
        <w:ind w:firstLine="640" w:firstLineChars="200"/>
        <w:jc w:val="left"/>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eastAsia="zh-CN"/>
        </w:rPr>
        <w:t>（</w:t>
      </w:r>
      <w:r>
        <w:rPr>
          <w:rFonts w:hint="eastAsia" w:ascii="仿宋_GB2312" w:hAnsi="宋体" w:eastAsia="仿宋_GB2312" w:cs="宋体"/>
          <w:b w:val="0"/>
          <w:bCs w:val="0"/>
          <w:color w:val="000000"/>
          <w:kern w:val="0"/>
          <w:sz w:val="32"/>
          <w:szCs w:val="32"/>
        </w:rPr>
        <w:t>3</w:t>
      </w:r>
      <w:r>
        <w:rPr>
          <w:rFonts w:hint="eastAsia" w:ascii="仿宋_GB2312" w:hAnsi="宋体" w:eastAsia="仿宋_GB2312" w:cs="宋体"/>
          <w:b w:val="0"/>
          <w:bCs w:val="0"/>
          <w:color w:val="000000"/>
          <w:kern w:val="0"/>
          <w:sz w:val="32"/>
          <w:szCs w:val="32"/>
          <w:lang w:eastAsia="zh-CN"/>
        </w:rPr>
        <w:t>）</w:t>
      </w:r>
      <w:r>
        <w:rPr>
          <w:rFonts w:hint="eastAsia" w:ascii="仿宋_GB2312" w:hAnsi="宋体" w:eastAsia="仿宋_GB2312" w:cs="宋体"/>
          <w:b w:val="0"/>
          <w:bCs w:val="0"/>
          <w:color w:val="000000"/>
          <w:kern w:val="0"/>
          <w:sz w:val="32"/>
          <w:szCs w:val="32"/>
        </w:rPr>
        <w:t>产出</w:t>
      </w:r>
      <w:r>
        <w:rPr>
          <w:rFonts w:ascii="仿宋_GB2312" w:hAnsi="宋体" w:eastAsia="仿宋_GB2312" w:cs="宋体"/>
          <w:b w:val="0"/>
          <w:bCs w:val="0"/>
          <w:color w:val="000000"/>
          <w:kern w:val="0"/>
          <w:sz w:val="32"/>
          <w:szCs w:val="32"/>
        </w:rPr>
        <w:t>进度</w:t>
      </w:r>
    </w:p>
    <w:p>
      <w:pPr>
        <w:pStyle w:val="4"/>
        <w:jc w:val="left"/>
        <w:rPr>
          <w:rFonts w:hint="eastAsia" w:ascii="仿宋_GB2312" w:hAnsi="宋体" w:eastAsia="仿宋_GB2312" w:cs="宋体"/>
          <w:b w:val="0"/>
          <w:bCs w:val="0"/>
          <w:color w:val="000000"/>
          <w:kern w:val="0"/>
          <w:sz w:val="32"/>
          <w:szCs w:val="32"/>
          <w:lang w:val="en-US" w:eastAsia="zh-CN"/>
        </w:rPr>
      </w:pPr>
      <w:r>
        <w:rPr>
          <w:rFonts w:hint="eastAsia" w:ascii="仿宋_GB2312" w:hAnsi="宋体" w:eastAsia="仿宋_GB2312" w:cs="宋体"/>
          <w:b w:val="0"/>
          <w:bCs w:val="0"/>
          <w:color w:val="000000"/>
          <w:kern w:val="0"/>
          <w:sz w:val="32"/>
          <w:szCs w:val="32"/>
        </w:rPr>
        <w:t>所有任务均按年度计划实施完成</w:t>
      </w:r>
      <w:r>
        <w:rPr>
          <w:rFonts w:hint="eastAsia" w:ascii="仿宋_GB2312" w:hAnsi="宋体" w:eastAsia="仿宋_GB2312" w:cs="宋体"/>
          <w:b w:val="0"/>
          <w:bCs w:val="0"/>
          <w:color w:val="000000"/>
          <w:kern w:val="0"/>
          <w:sz w:val="32"/>
          <w:szCs w:val="32"/>
          <w:lang w:eastAsia="zh-CN"/>
        </w:rPr>
        <w:t>。</w:t>
      </w:r>
    </w:p>
    <w:p>
      <w:pPr>
        <w:pStyle w:val="4"/>
        <w:jc w:val="left"/>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（4）</w:t>
      </w:r>
      <w:r>
        <w:rPr>
          <w:rFonts w:hint="eastAsia" w:ascii="仿宋_GB2312" w:hAnsi="宋体" w:eastAsia="仿宋_GB2312" w:cs="宋体"/>
          <w:b w:val="0"/>
          <w:bCs w:val="0"/>
          <w:color w:val="000000"/>
          <w:kern w:val="0"/>
          <w:sz w:val="32"/>
          <w:szCs w:val="32"/>
        </w:rPr>
        <w:t xml:space="preserve">产出成本   </w:t>
      </w:r>
    </w:p>
    <w:p>
      <w:pPr>
        <w:numPr>
          <w:ilvl w:val="0"/>
          <w:numId w:val="0"/>
        </w:numPr>
        <w:spacing w:line="600" w:lineRule="exact"/>
        <w:ind w:firstLine="640" w:firstLineChars="200"/>
        <w:jc w:val="both"/>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rPr>
        <w:t xml:space="preserve">所有任务均按照相关制度要求进行经费支出，有效实现了成本控制。                                  </w:t>
      </w:r>
    </w:p>
    <w:p>
      <w:pPr>
        <w:numPr>
          <w:ilvl w:val="0"/>
          <w:numId w:val="0"/>
        </w:numPr>
        <w:spacing w:line="600" w:lineRule="exact"/>
        <w:ind w:firstLine="640" w:firstLineChars="200"/>
        <w:jc w:val="both"/>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2.</w:t>
      </w:r>
      <w:r>
        <w:rPr>
          <w:rFonts w:hint="eastAsia" w:ascii="仿宋_GB2312" w:hAnsi="宋体" w:eastAsia="仿宋_GB2312" w:cs="宋体"/>
          <w:b w:val="0"/>
          <w:bCs w:val="0"/>
          <w:color w:val="000000"/>
          <w:kern w:val="0"/>
          <w:sz w:val="32"/>
          <w:szCs w:val="32"/>
        </w:rPr>
        <w:t>效果实现情况分析</w:t>
      </w:r>
    </w:p>
    <w:p>
      <w:pPr>
        <w:numPr>
          <w:ilvl w:val="0"/>
          <w:numId w:val="0"/>
        </w:numPr>
        <w:spacing w:line="600" w:lineRule="exact"/>
        <w:ind w:firstLine="640" w:firstLineChars="200"/>
        <w:jc w:val="both"/>
        <w:rPr>
          <w:rFonts w:hint="eastAsia"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（1）</w:t>
      </w:r>
      <w:r>
        <w:rPr>
          <w:rFonts w:hint="eastAsia" w:ascii="仿宋_GB2312" w:hAnsi="宋体" w:eastAsia="仿宋_GB2312" w:cs="宋体"/>
          <w:b w:val="0"/>
          <w:bCs w:val="0"/>
          <w:color w:val="000000"/>
          <w:kern w:val="0"/>
          <w:sz w:val="32"/>
          <w:szCs w:val="32"/>
        </w:rPr>
        <w:t>社会效益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b w:val="0"/>
          <w:bCs w:val="0"/>
          <w:color w:val="000000"/>
          <w:kern w:val="0"/>
          <w:sz w:val="32"/>
          <w:szCs w:val="32"/>
          <w:highlight w:val="none"/>
          <w:lang w:val="en-US" w:eastAsia="zh-CN" w:bidi="ar-SA"/>
        </w:rPr>
      </w:pPr>
      <w:r>
        <w:rPr>
          <w:rFonts w:hint="eastAsia" w:ascii="仿宋_GB2312" w:hAnsi="宋体" w:eastAsia="仿宋_GB2312" w:cs="宋体"/>
          <w:b w:val="0"/>
          <w:bCs w:val="0"/>
          <w:color w:val="000000"/>
          <w:kern w:val="0"/>
          <w:sz w:val="32"/>
          <w:szCs w:val="32"/>
          <w:lang w:val="en-US" w:eastAsia="zh-CN" w:bidi="ar-SA"/>
        </w:rPr>
        <w:t xml:space="preserve"> 西城区统一战线坚持以习近平新时代中国特色社会主义思想为指导，紧紧围绕“团结奋斗”主题，全面落实中央、市委统战工作会议精神和区委工作要求，着力建设“联合、结合、整合、融合——统战四合院”工作体系，从加强党对统一战线工作的全面领导、政治引领、凝聚共识、创新统战工作品牌等方面更好推动首都功能核心区统战工作高质量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hAnsi="仿宋_GB2312" w:eastAsia="仿宋_GB2312" w:cs="仿宋_GB2312"/>
          <w:sz w:val="32"/>
          <w:szCs w:val="32"/>
          <w:highlight w:val="none"/>
          <w:lang w:val="en-US" w:eastAsia="zh-CN"/>
        </w:rPr>
        <w:t>（2）</w:t>
      </w:r>
      <w:r>
        <w:rPr>
          <w:rFonts w:hint="eastAsia" w:ascii="仿宋_GB2312" w:hAnsi="宋体" w:eastAsia="仿宋_GB2312" w:cs="宋体"/>
          <w:b w:val="0"/>
          <w:bCs w:val="0"/>
          <w:color w:val="000000"/>
          <w:kern w:val="0"/>
          <w:sz w:val="32"/>
          <w:szCs w:val="32"/>
        </w:rPr>
        <w:t>可持续</w:t>
      </w:r>
      <w:r>
        <w:rPr>
          <w:rFonts w:ascii="仿宋_GB2312" w:hAnsi="宋体" w:eastAsia="仿宋_GB2312" w:cs="宋体"/>
          <w:b w:val="0"/>
          <w:bCs w:val="0"/>
          <w:color w:val="000000"/>
          <w:kern w:val="0"/>
          <w:sz w:val="32"/>
          <w:szCs w:val="32"/>
        </w:rPr>
        <w:t>性影响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紧紧围绕“团结奋斗”主题，全面落实中央、市委统战工作会议精神和区委工作要求，着力建设“联合、结合、整合、融合——统战四合院”工作体系，为中国式现代化西城实践开好局、起好步贡献统战力量。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（3）</w:t>
      </w:r>
      <w:r>
        <w:rPr>
          <w:rFonts w:hint="eastAsia" w:ascii="仿宋_GB2312" w:hAnsi="宋体" w:eastAsia="仿宋_GB2312" w:cs="宋体"/>
          <w:b w:val="0"/>
          <w:bCs w:val="0"/>
          <w:color w:val="000000"/>
          <w:kern w:val="0"/>
          <w:sz w:val="32"/>
          <w:szCs w:val="32"/>
        </w:rPr>
        <w:t>服务对象</w:t>
      </w:r>
      <w:r>
        <w:rPr>
          <w:rFonts w:ascii="仿宋_GB2312" w:hAnsi="宋体" w:eastAsia="仿宋_GB2312" w:cs="宋体"/>
          <w:b w:val="0"/>
          <w:bCs w:val="0"/>
          <w:color w:val="000000"/>
          <w:kern w:val="0"/>
          <w:sz w:val="32"/>
          <w:szCs w:val="32"/>
        </w:rPr>
        <w:t>满意度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参加的党外代表人士对培训内容及活动开展情况表示满意。</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left"/>
        <w:textAlignment w:val="auto"/>
        <w:rPr>
          <w:rFonts w:hint="eastAsia" w:ascii="楷体_GB2312" w:eastAsia="楷体_GB2312" w:hAnsiTheme="minorHAnsi" w:cstheme="minorBidi"/>
          <w:b w:val="0"/>
          <w:bCs w:val="0"/>
          <w:kern w:val="2"/>
          <w:sz w:val="32"/>
          <w:szCs w:val="32"/>
          <w:lang w:val="en-US" w:eastAsia="zh-CN" w:bidi="ar-SA"/>
        </w:rPr>
      </w:pPr>
      <w:r>
        <w:rPr>
          <w:rFonts w:hint="eastAsia" w:ascii="楷体_GB2312" w:eastAsia="楷体_GB2312" w:hAnsiTheme="minorHAnsi" w:cstheme="minorBidi"/>
          <w:b w:val="0"/>
          <w:bCs w:val="0"/>
          <w:kern w:val="2"/>
          <w:sz w:val="32"/>
          <w:szCs w:val="32"/>
          <w:lang w:val="en-US" w:eastAsia="zh-CN" w:bidi="ar-SA"/>
        </w:rPr>
        <w:t>（四）预算管理情况分析</w:t>
      </w:r>
    </w:p>
    <w:p>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1.财务管理</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（1）财务管理制度健全性</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区委统战部制定了《内部控制制度》及内部财务管理措施。2023年为统战部独立核算的第一年，下一步逐步完善相关制度。</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lang w:val="en-US" w:eastAsia="zh-CN"/>
        </w:rPr>
        <w:t>（2）</w:t>
      </w:r>
      <w:r>
        <w:rPr>
          <w:rFonts w:hint="eastAsia" w:ascii="仿宋_GB2312" w:hAnsi="宋体" w:eastAsia="仿宋_GB2312" w:cs="宋体"/>
          <w:b w:val="0"/>
          <w:bCs w:val="0"/>
          <w:color w:val="000000"/>
          <w:kern w:val="0"/>
          <w:sz w:val="32"/>
          <w:szCs w:val="32"/>
        </w:rPr>
        <w:t>资金使用合规性</w:t>
      </w:r>
      <w:r>
        <w:rPr>
          <w:rFonts w:ascii="仿宋_GB2312" w:hAnsi="宋体" w:eastAsia="仿宋_GB2312" w:cs="宋体"/>
          <w:b w:val="0"/>
          <w:bCs w:val="0"/>
          <w:color w:val="000000"/>
          <w:kern w:val="0"/>
          <w:sz w:val="32"/>
          <w:szCs w:val="32"/>
        </w:rPr>
        <w:t>和安全性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eastAsia="宋体"/>
          <w:lang w:val="en-US" w:eastAsia="zh-CN"/>
        </w:rPr>
      </w:pPr>
      <w:r>
        <w:rPr>
          <w:rFonts w:hint="eastAsia" w:ascii="仿宋_GB2312" w:hAnsi="仿宋_GB2312" w:eastAsia="仿宋_GB2312" w:cs="仿宋_GB2312"/>
          <w:color w:val="000000"/>
          <w:kern w:val="0"/>
          <w:sz w:val="32"/>
          <w:szCs w:val="32"/>
        </w:rPr>
        <w:t>制定资金使用管理流程，实行逐级审核申报把关，确保资金使用的可控性，确保财政资金的有效使用。根据全年工作计划和重点任务，在开展具体项目前，制定实施方案和经费预算，包括三家比较或其他必要性理由相关内容。经主要领导和主管领导同意后，按照经费支出分级授权管理原则进行经费支出申请。办理支出前，应先按规定履行事前审批、采购、合同签订等前置程序。</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宋体" w:eastAsia="仿宋_GB2312" w:cs="宋体"/>
          <w:b w:val="0"/>
          <w:bCs w:val="0"/>
          <w:color w:val="000000"/>
          <w:kern w:val="0"/>
          <w:sz w:val="32"/>
          <w:szCs w:val="32"/>
        </w:rPr>
        <w:t>会计</w:t>
      </w:r>
      <w:r>
        <w:rPr>
          <w:rFonts w:ascii="仿宋_GB2312" w:hAnsi="宋体" w:eastAsia="仿宋_GB2312" w:cs="宋体"/>
          <w:b w:val="0"/>
          <w:bCs w:val="0"/>
          <w:color w:val="000000"/>
          <w:kern w:val="0"/>
          <w:sz w:val="32"/>
          <w:szCs w:val="32"/>
        </w:rPr>
        <w:t>基础信息完善性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按照区财政局相关要求，起草2024年部门预算编制说明和2023年部门决算编制说明，并进行及时完成公开。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2.资产管理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截至2023年底，区委统战部固定资产总额33,988.00元。严格按照《固定资产管理办法》定期进行资产盘点，确保账实相符。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3.绩效管理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2024年，根据区财政局要求开展了2023年全年部门整体支出单位自评。综合评价为：通过项目的实施，完成了全年重点工作任务，实现了年度预期效果。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4.结转结余率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2023年结转结余率为0。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楷体_GB2312" w:eastAsia="楷体_GB2312"/>
          <w:b w:val="0"/>
          <w:bCs w:val="0"/>
          <w:sz w:val="32"/>
          <w:szCs w:val="32"/>
        </w:rPr>
      </w:pPr>
      <w:r>
        <w:rPr>
          <w:rFonts w:hint="eastAsia" w:ascii="楷体_GB2312" w:eastAsia="楷体_GB2312"/>
          <w:b w:val="0"/>
          <w:bCs w:val="0"/>
          <w:sz w:val="32"/>
          <w:szCs w:val="32"/>
          <w:lang w:val="en-US" w:eastAsia="zh-CN"/>
        </w:rPr>
        <w:t>5.</w:t>
      </w:r>
      <w:r>
        <w:rPr>
          <w:rFonts w:hint="eastAsia" w:ascii="楷体_GB2312" w:eastAsia="楷体_GB2312"/>
          <w:b w:val="0"/>
          <w:bCs w:val="0"/>
          <w:sz w:val="32"/>
          <w:szCs w:val="32"/>
        </w:rPr>
        <w:t>部门</w:t>
      </w:r>
      <w:r>
        <w:rPr>
          <w:rFonts w:ascii="楷体_GB2312" w:eastAsia="楷体_GB2312"/>
          <w:b w:val="0"/>
          <w:bCs w:val="0"/>
          <w:sz w:val="32"/>
          <w:szCs w:val="32"/>
        </w:rPr>
        <w:t>预决算差异率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Calibri" w:eastAsia="仿宋_GB2312" w:cs="Times New Roman"/>
          <w:kern w:val="2"/>
          <w:sz w:val="32"/>
          <w:szCs w:val="32"/>
          <w:highlight w:val="none"/>
          <w:lang w:val="en-US" w:eastAsia="zh-CN" w:bidi="ar-SA"/>
        </w:rPr>
        <w:t>2023年部门预决算差异率为0。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eastAsia="楷体_GB2312" w:hAnsiTheme="minorHAnsi" w:cstheme="minorBidi"/>
          <w:b w:val="0"/>
          <w:bCs w:val="0"/>
          <w:kern w:val="2"/>
          <w:sz w:val="32"/>
          <w:szCs w:val="32"/>
          <w:lang w:val="en-US" w:eastAsia="zh-CN" w:bidi="ar-SA"/>
        </w:rPr>
      </w:pPr>
      <w:r>
        <w:rPr>
          <w:rFonts w:hint="eastAsia" w:ascii="楷体_GB2312" w:eastAsia="楷体_GB2312" w:hAnsiTheme="minorHAnsi" w:cstheme="minorBidi"/>
          <w:b w:val="0"/>
          <w:bCs w:val="0"/>
          <w:kern w:val="2"/>
          <w:sz w:val="32"/>
          <w:szCs w:val="32"/>
          <w:lang w:val="en-US" w:eastAsia="zh-CN" w:bidi="ar-SA"/>
        </w:rPr>
        <w:t>（五）总体评价结论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1.评价得分情况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经评价，</w:t>
      </w:r>
      <w:r>
        <w:rPr>
          <w:rFonts w:hint="eastAsia" w:ascii="仿宋_GB2312" w:hAnsi="Times New Roman" w:eastAsia="仿宋_GB2312" w:cs="Times New Roman"/>
          <w:sz w:val="32"/>
          <w:szCs w:val="24"/>
          <w:lang w:val="en-US" w:eastAsia="zh-CN"/>
        </w:rPr>
        <w:t>2023年度项目绩效评价自评级别均为“优”。</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仿宋_GB2312" w:hAnsi="Calibri" w:eastAsia="仿宋_GB2312" w:cs="Times New Roman"/>
          <w:kern w:val="2"/>
          <w:sz w:val="32"/>
          <w:szCs w:val="32"/>
          <w:highlight w:val="none"/>
          <w:lang w:val="en-US" w:eastAsia="zh-CN" w:bidi="ar-SA"/>
        </w:rPr>
      </w:pPr>
      <w:r>
        <w:rPr>
          <w:rFonts w:hint="eastAsia" w:ascii="仿宋_GB2312" w:hAnsi="Calibri" w:eastAsia="仿宋_GB2312" w:cs="Times New Roman"/>
          <w:kern w:val="2"/>
          <w:sz w:val="32"/>
          <w:szCs w:val="32"/>
          <w:highlight w:val="none"/>
          <w:lang w:val="en-US" w:eastAsia="zh-CN" w:bidi="ar-SA"/>
        </w:rPr>
        <w:t>2.存在的问题及原因分析</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420" w:firstLineChars="200"/>
        <w:jc w:val="both"/>
        <w:textAlignment w:val="auto"/>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color w:val="000000"/>
          <w:kern w:val="0"/>
          <w:sz w:val="32"/>
          <w:szCs w:val="32"/>
        </w:rPr>
        <w:t>需进一步加强预算管理工作，</w:t>
      </w:r>
      <w:r>
        <w:rPr>
          <w:rFonts w:hint="eastAsia" w:ascii="仿宋_GB2312" w:hAnsi="仿宋_GB2312" w:eastAsia="仿宋_GB2312" w:cs="仿宋_GB2312"/>
          <w:color w:val="000000"/>
          <w:kern w:val="0"/>
          <w:sz w:val="32"/>
          <w:szCs w:val="32"/>
          <w:lang w:eastAsia="zh-CN"/>
        </w:rPr>
        <w:t>不断</w:t>
      </w:r>
      <w:r>
        <w:rPr>
          <w:rFonts w:hint="eastAsia" w:ascii="仿宋_GB2312" w:hAnsi="仿宋_GB2312" w:eastAsia="仿宋_GB2312" w:cs="仿宋_GB2312"/>
          <w:color w:val="000000"/>
          <w:kern w:val="0"/>
          <w:sz w:val="32"/>
          <w:szCs w:val="32"/>
        </w:rPr>
        <w:t>提升部门预算编制的前瞻性、科学性和准确性。</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ascii="楷体_GB2312" w:hAnsi="Courier New" w:eastAsia="楷体_GB2312" w:cs="Times New Roman"/>
          <w:b w:val="0"/>
          <w:bCs w:val="0"/>
          <w:kern w:val="0"/>
          <w:sz w:val="32"/>
          <w:szCs w:val="32"/>
          <w:lang w:val="en-US" w:eastAsia="zh-CN" w:bidi="ar-SA"/>
        </w:rPr>
      </w:pPr>
      <w:r>
        <w:rPr>
          <w:rFonts w:hint="eastAsia" w:ascii="楷体_GB2312" w:hAnsi="Courier New" w:eastAsia="楷体_GB2312" w:cs="Times New Roman"/>
          <w:b w:val="0"/>
          <w:bCs w:val="0"/>
          <w:kern w:val="0"/>
          <w:sz w:val="32"/>
          <w:szCs w:val="32"/>
          <w:lang w:val="en-US" w:eastAsia="zh-CN" w:bidi="ar-SA"/>
        </w:rPr>
        <w:t>（六）措施建议</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需进一步完善预算绩效管理机制，加强绩效管理，注重项目管理过程资料留存，做好服务对象满意度调查、分析与总结，以便改进自身工作</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Courier New" w:eastAsia="楷体_GB2312" w:cs="Times New Roman"/>
          <w:b w:val="0"/>
          <w:bCs w:val="0"/>
          <w:kern w:val="0"/>
          <w:sz w:val="32"/>
          <w:szCs w:val="32"/>
          <w:lang w:val="en-US" w:eastAsia="zh-CN" w:bidi="ar-SA"/>
        </w:rPr>
      </w:pPr>
      <w:bookmarkStart w:id="13" w:name="_Toc2965"/>
      <w:r>
        <w:rPr>
          <w:rFonts w:hint="eastAsia" w:ascii="黑体" w:eastAsia="黑体"/>
          <w:sz w:val="32"/>
          <w:szCs w:val="32"/>
          <w:lang w:val="en-US" w:eastAsia="zh-CN"/>
        </w:rPr>
        <w:t>三、统战工作经费项目绩效评价报告</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lang w:eastAsia="zh-CN"/>
        </w:rPr>
      </w:pPr>
      <w:r>
        <w:rPr>
          <w:rFonts w:hint="eastAsia" w:ascii="楷体_GB2312" w:hAnsi="Courier New" w:eastAsia="楷体_GB2312" w:cs="Times New Roman"/>
          <w:b w:val="0"/>
          <w:bCs w:val="0"/>
          <w:kern w:val="0"/>
          <w:sz w:val="32"/>
          <w:szCs w:val="32"/>
          <w:lang w:val="en-US" w:eastAsia="zh-CN" w:bidi="ar-SA"/>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项目概况</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（1）项目背景</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202</w:t>
      </w: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lang w:eastAsia="zh-CN"/>
        </w:rPr>
        <w:t>年，在市委统战部的指导和区委坚强领导下，全区统战工作始终以习近平新时代中国特色社会主义思想为指导，深入贯彻落实习近平总书记关于加强和改进统一战线工作的重要思想以及中央、市委、区委决策部署，坚持和加强党对统一战线工作的领导，围绕中心、服务大局，有力促进各领域统战工作取得新成效。</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（2）</w:t>
      </w:r>
      <w:r>
        <w:rPr>
          <w:rFonts w:hint="eastAsia" w:ascii="仿宋_GB2312" w:hAnsi="Times New Roman" w:eastAsia="仿宋_GB2312" w:cs="Times New Roman"/>
          <w:sz w:val="32"/>
          <w:szCs w:val="24"/>
          <w:lang w:val="en-US" w:eastAsia="zh-CN"/>
        </w:rPr>
        <w:t>实施情况</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依照区财政局工作要求及本部门财务制度，区委统战部部务会研究全年工作和经费实施方案，按照各科室年度工作计划、岗位职责及工作分工，认真做好统战工作，强化支出责任，提高财政资金使用效益。</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（3）</w:t>
      </w:r>
      <w:r>
        <w:rPr>
          <w:rFonts w:hint="eastAsia" w:ascii="仿宋_GB2312" w:hAnsi="Times New Roman" w:eastAsia="仿宋_GB2312" w:cs="Times New Roman"/>
          <w:sz w:val="32"/>
          <w:szCs w:val="24"/>
          <w:lang w:val="en-US" w:eastAsia="zh-CN"/>
        </w:rPr>
        <w:t>资金投入和使用情况</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Times New Roman" w:eastAsia="仿宋_GB2312" w:cs="Times New Roman"/>
          <w:sz w:val="32"/>
          <w:szCs w:val="24"/>
          <w:lang w:val="en-US" w:eastAsia="zh-CN"/>
        </w:rPr>
        <w:t>2023年，区委统战部“统战工作经费”全年累计支出3,466,682.38元。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2.项目绩效目标</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区委统战部发挥区委在统战工作方面的参谋机构、组织协调机构、具体执行机构、督促检查机构作用，了解情况、掌握政策、协调关系、安排人事、增进共识、加强团结，为本地区的经济社会发展服务。</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楷体_GB2312" w:hAnsi="Courier New" w:eastAsia="楷体_GB2312" w:cs="Times New Roman"/>
          <w:b w:val="0"/>
          <w:bCs w:val="0"/>
          <w:kern w:val="0"/>
          <w:sz w:val="32"/>
          <w:szCs w:val="32"/>
          <w:lang w:val="en-US" w:eastAsia="zh-CN" w:bidi="ar-SA"/>
        </w:rPr>
        <w:t>（二）绩效评价工作开展情况</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Times New Roman" w:eastAsia="仿宋_GB2312" w:cs="Times New Roman"/>
          <w:sz w:val="32"/>
          <w:szCs w:val="24"/>
          <w:lang w:val="en-US" w:eastAsia="zh-CN"/>
        </w:rPr>
        <w:t>1.</w:t>
      </w:r>
      <w:r>
        <w:rPr>
          <w:rFonts w:hint="eastAsia" w:ascii="仿宋_GB2312" w:hAnsi="Times New Roman" w:eastAsia="仿宋_GB2312" w:cs="Times New Roman"/>
          <w:sz w:val="32"/>
          <w:szCs w:val="24"/>
          <w:lang w:eastAsia="zh-CN"/>
        </w:rPr>
        <w:t>绩效评价目的、对象和范围</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开展202</w:t>
      </w: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lang w:eastAsia="zh-CN"/>
        </w:rPr>
        <w:t>年度统战工作经费绩效评价工作的目的，是要通过对项目各项绩效目标完成情况的综合评分，客观评价项目的实施绩效，并积极推动我部财政预算绩效管理工作的进一步完善。</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eastAsia="zh-CN"/>
        </w:rPr>
        <w:t>单位自评范围：我部</w:t>
      </w:r>
      <w:r>
        <w:rPr>
          <w:rFonts w:hint="eastAsia" w:ascii="仿宋_GB2312" w:hAnsi="Times New Roman" w:eastAsia="仿宋_GB2312" w:cs="Times New Roman"/>
          <w:sz w:val="32"/>
          <w:szCs w:val="24"/>
          <w:lang w:val="en-US" w:eastAsia="zh-CN"/>
        </w:rPr>
        <w:t>2023年实施的“统战工作经费”，涉及项目资金3,466,682.38元。</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val="en-US" w:eastAsia="zh-CN"/>
        </w:rPr>
        <w:t>2.</w:t>
      </w:r>
      <w:r>
        <w:rPr>
          <w:rFonts w:hint="eastAsia" w:ascii="仿宋_GB2312" w:hAnsi="Times New Roman" w:eastAsia="仿宋_GB2312" w:cs="Times New Roman"/>
          <w:sz w:val="32"/>
          <w:szCs w:val="24"/>
          <w:lang w:eastAsia="zh-CN"/>
        </w:rPr>
        <w:t>绩效评价原则、评价指标体系（附表说明）、评价方法、评价标准等</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（1）绩效评价原则</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eastAsia="zh-CN"/>
        </w:rPr>
        <w:t>应遵循科学公正、统筹兼顾、激励约束、公开透明四项原则。</w:t>
      </w:r>
      <w:r>
        <w:rPr>
          <w:rFonts w:hint="eastAsia" w:ascii="仿宋_GB2312" w:hAnsi="Times New Roman" w:eastAsia="仿宋_GB2312" w:cs="Times New Roman"/>
          <w:sz w:val="32"/>
          <w:szCs w:val="24"/>
          <w:lang w:val="en-US" w:eastAsia="zh-CN"/>
        </w:rPr>
        <w:t xml:space="preserve">    </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（2）绩效评价方法</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采用定量和定性评价相结合的比较法,总分由各项指标得分汇总形成。</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定量指标得分按照以下方法评定：与年初指标值相比，完成指标值的，记该指标所赋全部分值；如果是由于年初指标值设定明显偏低造成的，要按照偏离度适度调减分值；未完成指标值的，按照完成值在指标值中所占比例记分。</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eastAsia="zh-CN"/>
        </w:rPr>
        <w:t>定性指标得分按照以下方法评定：根据指标完成情况分为达成年度指标、部分达成年度指标且有一定效果、未达成年度指标且效果较差3档，分别按照该指标对应分值区间100%-80%（含80%）、80%-60%（含60%）、60%-0%合理确定分值。各项绩效指标得分汇总成该项目自评的总分。</w:t>
      </w:r>
      <w:r>
        <w:rPr>
          <w:rFonts w:hint="eastAsia" w:ascii="仿宋_GB2312" w:hAnsi="Times New Roman" w:eastAsia="仿宋_GB2312" w:cs="Times New Roman"/>
          <w:sz w:val="32"/>
          <w:szCs w:val="24"/>
          <w:lang w:val="en-US" w:eastAsia="zh-CN"/>
        </w:rPr>
        <w:t xml:space="preserve"> </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（3）评价体系及评级标准</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val="en-US" w:eastAsia="zh-CN"/>
        </w:rPr>
        <w:t xml:space="preserve"> </w:t>
      </w:r>
      <w:r>
        <w:rPr>
          <w:rFonts w:hint="eastAsia" w:ascii="仿宋_GB2312" w:hAnsi="Times New Roman" w:eastAsia="仿宋_GB2312" w:cs="Times New Roman"/>
          <w:sz w:val="32"/>
          <w:szCs w:val="24"/>
          <w:lang w:eastAsia="zh-CN"/>
        </w:rPr>
        <w:t>绩效评价指标体系结合《项目支出绩效评价管理办法》（西财监〔2022〕9号）有关要求设置，指标体系包括预算执行率、产出指标、效益指标、服务对象满意度4项一级指标，二、三级指标应当根据指标重要程度、项目实施阶段等因素综合确定，准确反映项目的产出和效益。满分值为100分，其中：预算执行率占10%，分值</w:t>
      </w:r>
      <w:r>
        <w:rPr>
          <w:rFonts w:hint="eastAsia" w:ascii="仿宋_GB2312" w:hAnsi="Times New Roman" w:eastAsia="仿宋_GB2312" w:cs="Times New Roman"/>
          <w:sz w:val="32"/>
          <w:szCs w:val="24"/>
          <w:lang w:val="en-US" w:eastAsia="zh-CN"/>
        </w:rPr>
        <w:t>10分。即</w:t>
      </w:r>
      <w:r>
        <w:rPr>
          <w:rFonts w:hint="eastAsia" w:ascii="仿宋_GB2312" w:hAnsi="Times New Roman" w:eastAsia="仿宋_GB2312" w:cs="Times New Roman"/>
          <w:sz w:val="32"/>
          <w:szCs w:val="24"/>
          <w:lang w:eastAsia="zh-CN"/>
        </w:rPr>
        <w:t>预算执行率=（全年支出资金/全年预算数）</w:t>
      </w:r>
      <w:r>
        <w:rPr>
          <w:rFonts w:hint="eastAsia" w:ascii="仿宋_GB2312" w:hAnsi="Times New Roman" w:eastAsia="仿宋_GB2312" w:cs="Times New Roman"/>
          <w:sz w:val="32"/>
          <w:szCs w:val="24"/>
          <w:lang w:val="en-US" w:eastAsia="zh-CN"/>
        </w:rPr>
        <w:t>*</w:t>
      </w:r>
      <w:r>
        <w:rPr>
          <w:rFonts w:hint="eastAsia" w:ascii="仿宋_GB2312" w:hAnsi="Times New Roman" w:eastAsia="仿宋_GB2312" w:cs="Times New Roman"/>
          <w:sz w:val="32"/>
          <w:szCs w:val="24"/>
          <w:lang w:eastAsia="zh-CN"/>
        </w:rPr>
        <w:t>100%。</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产出指标占50%，分值</w:t>
      </w:r>
      <w:r>
        <w:rPr>
          <w:rFonts w:hint="eastAsia" w:ascii="仿宋_GB2312" w:hAnsi="Times New Roman" w:eastAsia="仿宋_GB2312" w:cs="Times New Roman"/>
          <w:sz w:val="32"/>
          <w:szCs w:val="24"/>
          <w:lang w:val="en-US" w:eastAsia="zh-CN"/>
        </w:rPr>
        <w:t>50分。即</w:t>
      </w:r>
      <w:r>
        <w:rPr>
          <w:rFonts w:hint="eastAsia" w:ascii="仿宋_GB2312" w:hAnsi="Times New Roman" w:eastAsia="仿宋_GB2312" w:cs="Times New Roman"/>
          <w:sz w:val="32"/>
          <w:szCs w:val="24"/>
          <w:lang w:eastAsia="zh-CN"/>
        </w:rPr>
        <w:t>通过实际工作完成率与计划的比率，反映和考核项目的结果实现程度。主要包括数量指标（</w:t>
      </w:r>
      <w:r>
        <w:rPr>
          <w:rFonts w:hint="eastAsia" w:ascii="仿宋_GB2312" w:hAnsi="Times New Roman" w:eastAsia="仿宋_GB2312" w:cs="Times New Roman"/>
          <w:sz w:val="32"/>
          <w:szCs w:val="24"/>
          <w:lang w:val="en-US" w:eastAsia="zh-CN"/>
        </w:rPr>
        <w:t>20分</w:t>
      </w:r>
      <w:r>
        <w:rPr>
          <w:rFonts w:hint="eastAsia" w:ascii="仿宋_GB2312" w:hAnsi="Times New Roman" w:eastAsia="仿宋_GB2312" w:cs="Times New Roman"/>
          <w:sz w:val="32"/>
          <w:szCs w:val="24"/>
          <w:lang w:eastAsia="zh-CN"/>
        </w:rPr>
        <w:t>）、质量指标（</w:t>
      </w:r>
      <w:r>
        <w:rPr>
          <w:rFonts w:hint="eastAsia" w:ascii="仿宋_GB2312" w:hAnsi="Times New Roman" w:eastAsia="仿宋_GB2312" w:cs="Times New Roman"/>
          <w:sz w:val="32"/>
          <w:szCs w:val="24"/>
          <w:lang w:val="en-US" w:eastAsia="zh-CN"/>
        </w:rPr>
        <w:t>10分</w:t>
      </w:r>
      <w:r>
        <w:rPr>
          <w:rFonts w:hint="eastAsia" w:ascii="仿宋_GB2312" w:hAnsi="Times New Roman" w:eastAsia="仿宋_GB2312" w:cs="Times New Roman"/>
          <w:sz w:val="32"/>
          <w:szCs w:val="24"/>
          <w:lang w:eastAsia="zh-CN"/>
        </w:rPr>
        <w:t>）、时效指标（</w:t>
      </w:r>
      <w:r>
        <w:rPr>
          <w:rFonts w:hint="eastAsia" w:ascii="仿宋_GB2312" w:hAnsi="Times New Roman" w:eastAsia="仿宋_GB2312" w:cs="Times New Roman"/>
          <w:sz w:val="32"/>
          <w:szCs w:val="24"/>
          <w:lang w:val="en-US" w:eastAsia="zh-CN"/>
        </w:rPr>
        <w:t>10分</w:t>
      </w:r>
      <w:r>
        <w:rPr>
          <w:rFonts w:hint="eastAsia" w:ascii="仿宋_GB2312" w:hAnsi="Times New Roman" w:eastAsia="仿宋_GB2312" w:cs="Times New Roman"/>
          <w:sz w:val="32"/>
          <w:szCs w:val="24"/>
          <w:lang w:eastAsia="zh-CN"/>
        </w:rPr>
        <w:t>）、成本指标（</w:t>
      </w:r>
      <w:r>
        <w:rPr>
          <w:rFonts w:hint="eastAsia" w:ascii="仿宋_GB2312" w:hAnsi="Times New Roman" w:eastAsia="仿宋_GB2312" w:cs="Times New Roman"/>
          <w:sz w:val="32"/>
          <w:szCs w:val="24"/>
          <w:lang w:val="en-US" w:eastAsia="zh-CN"/>
        </w:rPr>
        <w:t>10分</w:t>
      </w:r>
      <w:r>
        <w:rPr>
          <w:rFonts w:hint="eastAsia" w:ascii="仿宋_GB2312" w:hAnsi="Times New Roman" w:eastAsia="仿宋_GB2312" w:cs="Times New Roman"/>
          <w:sz w:val="32"/>
          <w:szCs w:val="24"/>
          <w:lang w:eastAsia="zh-CN"/>
        </w:rPr>
        <w:t>）。</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效益指标占30%，分值</w:t>
      </w:r>
      <w:r>
        <w:rPr>
          <w:rFonts w:hint="eastAsia" w:ascii="仿宋_GB2312" w:hAnsi="Times New Roman" w:eastAsia="仿宋_GB2312" w:cs="Times New Roman"/>
          <w:sz w:val="32"/>
          <w:szCs w:val="24"/>
          <w:lang w:val="en-US" w:eastAsia="zh-CN"/>
        </w:rPr>
        <w:t>30分。</w:t>
      </w:r>
      <w:r>
        <w:rPr>
          <w:rFonts w:hint="eastAsia" w:ascii="仿宋_GB2312" w:hAnsi="Times New Roman" w:eastAsia="仿宋_GB2312" w:cs="Times New Roman"/>
          <w:sz w:val="32"/>
          <w:szCs w:val="24"/>
          <w:lang w:eastAsia="zh-CN"/>
        </w:rPr>
        <w:t>评价项目实施的社会效益以及可持续效益。</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服务对象满意度指标占10%，分值</w:t>
      </w:r>
      <w:r>
        <w:rPr>
          <w:rFonts w:hint="eastAsia" w:ascii="仿宋_GB2312" w:hAnsi="Times New Roman" w:eastAsia="仿宋_GB2312" w:cs="Times New Roman"/>
          <w:sz w:val="32"/>
          <w:szCs w:val="24"/>
          <w:lang w:val="en-US" w:eastAsia="zh-CN"/>
        </w:rPr>
        <w:t>10分。</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具体评价指标和评价标准详见下表：</w:t>
      </w:r>
    </w:p>
    <w:tbl>
      <w:tblPr>
        <w:tblStyle w:val="8"/>
        <w:tblW w:w="962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11"/>
        <w:gridCol w:w="634"/>
        <w:gridCol w:w="1039"/>
        <w:gridCol w:w="4454"/>
        <w:gridCol w:w="2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81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仿宋" w:hAnsi="仿宋" w:eastAsia="仿宋" w:cs="仿宋"/>
                <w:b/>
                <w:i w:val="0"/>
                <w:caps w:val="0"/>
                <w:color w:val="000000"/>
                <w:spacing w:val="0"/>
                <w:kern w:val="0"/>
                <w:sz w:val="15"/>
                <w:szCs w:val="15"/>
                <w:lang w:val="en-US" w:eastAsia="zh-CN" w:bidi="ar"/>
              </w:rPr>
              <w:t>一级指标</w:t>
            </w:r>
          </w:p>
        </w:tc>
        <w:tc>
          <w:tcPr>
            <w:tcW w:w="63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i w:val="0"/>
                <w:caps w:val="0"/>
                <w:color w:val="000000"/>
                <w:spacing w:val="0"/>
                <w:kern w:val="0"/>
                <w:sz w:val="15"/>
                <w:szCs w:val="15"/>
                <w:lang w:val="en-US" w:eastAsia="zh-CN" w:bidi="ar"/>
              </w:rPr>
              <w:t>二级指标</w:t>
            </w:r>
          </w:p>
        </w:tc>
        <w:tc>
          <w:tcPr>
            <w:tcW w:w="10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i w:val="0"/>
                <w:caps w:val="0"/>
                <w:color w:val="000000"/>
                <w:spacing w:val="0"/>
                <w:kern w:val="0"/>
                <w:sz w:val="15"/>
                <w:szCs w:val="15"/>
                <w:lang w:val="en-US" w:eastAsia="zh-CN" w:bidi="ar"/>
              </w:rPr>
              <w:t>三级指标</w:t>
            </w:r>
          </w:p>
        </w:tc>
        <w:tc>
          <w:tcPr>
            <w:tcW w:w="4454"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i w:val="0"/>
                <w:caps w:val="0"/>
                <w:color w:val="000000"/>
                <w:spacing w:val="0"/>
                <w:kern w:val="0"/>
                <w:sz w:val="15"/>
                <w:szCs w:val="15"/>
                <w:lang w:val="en-US" w:eastAsia="zh-CN" w:bidi="ar"/>
              </w:rPr>
              <w:t>指标解释</w:t>
            </w:r>
          </w:p>
        </w:tc>
        <w:tc>
          <w:tcPr>
            <w:tcW w:w="268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i w:val="0"/>
                <w:caps w:val="0"/>
                <w:color w:val="000000"/>
                <w:spacing w:val="0"/>
                <w:kern w:val="0"/>
                <w:sz w:val="15"/>
                <w:szCs w:val="15"/>
                <w:lang w:val="en-US" w:eastAsia="zh-CN"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95" w:hRule="atLeast"/>
        </w:trPr>
        <w:tc>
          <w:tcPr>
            <w:tcW w:w="81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预算执行率        （10分）</w:t>
            </w:r>
          </w:p>
        </w:tc>
        <w:tc>
          <w:tcPr>
            <w:tcW w:w="6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p>
        </w:tc>
        <w:tc>
          <w:tcPr>
            <w:tcW w:w="10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p>
        </w:tc>
        <w:tc>
          <w:tcPr>
            <w:tcW w:w="445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项目预算资金是否按照计划执行，用以反映或考核项目预算执行情况。                                                                                                  </w:t>
            </w:r>
          </w:p>
        </w:tc>
        <w:tc>
          <w:tcPr>
            <w:tcW w:w="26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预算执行率=（全年支出资金/全年预算数）*100%。预算执行率为100%得满分，低于100%按指标权重计分。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8" w:hRule="atLeast"/>
        </w:trPr>
        <w:tc>
          <w:tcPr>
            <w:tcW w:w="811" w:type="dxa"/>
            <w:vMerge w:val="restart"/>
            <w:tcBorders>
              <w:top w:val="nil"/>
              <w:left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产出指标（50）</w:t>
            </w:r>
          </w:p>
        </w:tc>
        <w:tc>
          <w:tcPr>
            <w:tcW w:w="63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数量指标 （20分）</w:t>
            </w: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召开会议次数         （4分）</w:t>
            </w:r>
          </w:p>
        </w:tc>
        <w:tc>
          <w:tcPr>
            <w:tcW w:w="445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通过实际工作完成率与计划的比率，反映和考核项目的结果实现程度。</w:t>
            </w:r>
          </w:p>
        </w:tc>
        <w:tc>
          <w:tcPr>
            <w:tcW w:w="26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得分=实际完成率/计划完成率*100%*分值，超过标准分以标准分计分。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811" w:type="dxa"/>
            <w:vMerge w:val="continue"/>
            <w:tcBorders>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63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开展活动次数   （4分）</w:t>
            </w:r>
          </w:p>
        </w:tc>
        <w:tc>
          <w:tcPr>
            <w:tcW w:w="445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通过实际工作完成率与计划的比率，反映和考核项目的结果实现程度。                                  </w:t>
            </w:r>
          </w:p>
        </w:tc>
        <w:tc>
          <w:tcPr>
            <w:tcW w:w="26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得分=实际完成率/计划完成率*100%*分值，超过标准分以标准分计分。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9" w:hRule="atLeast"/>
        </w:trPr>
        <w:tc>
          <w:tcPr>
            <w:tcW w:w="811" w:type="dxa"/>
            <w:vMerge w:val="continue"/>
            <w:tcBorders>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63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center"/>
              <w:textAlignment w:val="center"/>
              <w:rPr>
                <w:rFonts w:hint="eastAsia" w:asciiTheme="minorHAnsi" w:hAnsiTheme="minorHAnsi" w:eastAsiaTheme="minorEastAsia" w:cstheme="minorBidi"/>
                <w:kern w:val="2"/>
                <w:sz w:val="21"/>
                <w:szCs w:val="22"/>
                <w:lang w:val="en-US" w:eastAsia="zh-CN" w:bidi="ar-SA"/>
              </w:rPr>
            </w:pPr>
            <w:r>
              <w:rPr>
                <w:rFonts w:hint="eastAsia" w:ascii="仿宋" w:hAnsi="仿宋" w:eastAsia="仿宋" w:cs="仿宋"/>
                <w:i w:val="0"/>
                <w:caps w:val="0"/>
                <w:color w:val="000000"/>
                <w:spacing w:val="0"/>
                <w:kern w:val="0"/>
                <w:sz w:val="15"/>
                <w:szCs w:val="15"/>
                <w:lang w:val="en-US" w:eastAsia="zh-CN" w:bidi="ar"/>
              </w:rPr>
              <w:t>召开报告会次数（4分）</w:t>
            </w:r>
          </w:p>
        </w:tc>
        <w:tc>
          <w:tcPr>
            <w:tcW w:w="445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textAlignment w:val="center"/>
              <w:rPr>
                <w:rFonts w:hint="eastAsia" w:asciiTheme="minorHAnsi" w:hAnsiTheme="minorHAnsi" w:eastAsiaTheme="minorEastAsia" w:cstheme="minorBidi"/>
                <w:kern w:val="2"/>
                <w:sz w:val="21"/>
                <w:szCs w:val="22"/>
                <w:lang w:val="en-US" w:eastAsia="zh-CN" w:bidi="ar-SA"/>
              </w:rPr>
            </w:pPr>
            <w:r>
              <w:rPr>
                <w:rFonts w:hint="eastAsia" w:ascii="仿宋" w:hAnsi="仿宋" w:eastAsia="仿宋" w:cs="仿宋"/>
                <w:i w:val="0"/>
                <w:caps w:val="0"/>
                <w:color w:val="000000"/>
                <w:spacing w:val="0"/>
                <w:kern w:val="0"/>
                <w:sz w:val="15"/>
                <w:szCs w:val="15"/>
                <w:lang w:val="en-US" w:eastAsia="zh-CN" w:bidi="ar"/>
              </w:rPr>
              <w:t>通过实际工作完成率与计划的比率，反映和考核项目的结果实现程度。                                                 </w:t>
            </w:r>
          </w:p>
        </w:tc>
        <w:tc>
          <w:tcPr>
            <w:tcW w:w="26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得分=实际完成率/计划完成率*100%*分值，超过标准分以标准分计分。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9" w:hRule="atLeast"/>
        </w:trPr>
        <w:tc>
          <w:tcPr>
            <w:tcW w:w="811" w:type="dxa"/>
            <w:vMerge w:val="continue"/>
            <w:tcBorders>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63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扶贫及服务社会（4分）</w:t>
            </w:r>
          </w:p>
        </w:tc>
        <w:tc>
          <w:tcPr>
            <w:tcW w:w="445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textAlignment w:val="center"/>
              <w:rPr>
                <w:rFonts w:hint="eastAsia" w:asciiTheme="minorHAnsi" w:hAnsiTheme="minorHAnsi" w:eastAsiaTheme="minorEastAsia" w:cstheme="minorBidi"/>
                <w:kern w:val="2"/>
                <w:sz w:val="21"/>
                <w:szCs w:val="22"/>
                <w:lang w:val="en-US" w:eastAsia="zh-CN" w:bidi="ar-SA"/>
              </w:rPr>
            </w:pPr>
            <w:r>
              <w:rPr>
                <w:rFonts w:hint="eastAsia" w:ascii="仿宋" w:hAnsi="仿宋" w:eastAsia="仿宋" w:cs="仿宋"/>
                <w:i w:val="0"/>
                <w:caps w:val="0"/>
                <w:color w:val="000000"/>
                <w:spacing w:val="0"/>
                <w:kern w:val="0"/>
                <w:sz w:val="15"/>
                <w:szCs w:val="15"/>
                <w:lang w:val="en-US" w:eastAsia="zh-CN" w:bidi="ar"/>
              </w:rPr>
              <w:t>通过实际工作完成率与计划的比率，反映和考核项目的结果实现程度。                                                 </w:t>
            </w:r>
          </w:p>
        </w:tc>
        <w:tc>
          <w:tcPr>
            <w:tcW w:w="26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leftChars="0" w:right="0" w:rightChars="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得分=实际完成率/计划完成率*100%*分值，超过标准分以标准分计分。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4" w:hRule="atLeast"/>
        </w:trPr>
        <w:tc>
          <w:tcPr>
            <w:tcW w:w="811" w:type="dxa"/>
            <w:vMerge w:val="continue"/>
            <w:tcBorders>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63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rPr>
                <w:rFonts w:hint="eastAsia" w:eastAsiaTheme="minorEastAsia"/>
                <w:lang w:eastAsia="zh-CN"/>
              </w:rPr>
            </w:pPr>
            <w:r>
              <w:rPr>
                <w:rFonts w:hint="eastAsia" w:ascii="仿宋" w:hAnsi="仿宋" w:eastAsia="仿宋" w:cs="仿宋"/>
                <w:i w:val="0"/>
                <w:caps w:val="0"/>
                <w:color w:val="000000"/>
                <w:spacing w:val="0"/>
                <w:kern w:val="0"/>
                <w:sz w:val="15"/>
                <w:szCs w:val="15"/>
                <w:lang w:val="en-US" w:eastAsia="zh-CN" w:bidi="ar"/>
              </w:rPr>
              <w:t>开展培训次数（4分）</w:t>
            </w:r>
          </w:p>
        </w:tc>
        <w:tc>
          <w:tcPr>
            <w:tcW w:w="445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通过实际工作完成率与计划的比率，反映和考核项目的结果实现程度。         </w:t>
            </w:r>
          </w:p>
        </w:tc>
        <w:tc>
          <w:tcPr>
            <w:tcW w:w="26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得分=实际完成率/计划完成率*100%*分值，超过标准分以标准分计分。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80" w:hRule="atLeast"/>
        </w:trPr>
        <w:tc>
          <w:tcPr>
            <w:tcW w:w="811" w:type="dxa"/>
            <w:vMerge w:val="continue"/>
            <w:tcBorders>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6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质量指标 （10分）</w:t>
            </w: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根据具体工作可细化（10分）</w:t>
            </w:r>
          </w:p>
        </w:tc>
        <w:tc>
          <w:tcPr>
            <w:tcW w:w="445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用以反映和考核工作质量情况。                                   </w:t>
            </w:r>
          </w:p>
        </w:tc>
        <w:tc>
          <w:tcPr>
            <w:tcW w:w="26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定性指标，质量达标率=（质量达标产出数/实际产出数）×100%。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eastAsiaTheme="minorEastAsia"/>
                <w:lang w:eastAsia="zh-CN"/>
              </w:rPr>
            </w:pPr>
            <w:r>
              <w:rPr>
                <w:rFonts w:hint="eastAsia" w:ascii="仿宋" w:hAnsi="仿宋" w:eastAsia="仿宋" w:cs="仿宋"/>
                <w:i w:val="0"/>
                <w:caps w:val="0"/>
                <w:color w:val="000000"/>
                <w:spacing w:val="0"/>
                <w:kern w:val="0"/>
                <w:sz w:val="15"/>
                <w:szCs w:val="15"/>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6" w:hRule="atLeast"/>
        </w:trPr>
        <w:tc>
          <w:tcPr>
            <w:tcW w:w="811" w:type="dxa"/>
            <w:vMerge w:val="continue"/>
            <w:tcBorders>
              <w:left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6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时效指标（10分）</w:t>
            </w: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工作及时完成率  （10分）</w:t>
            </w:r>
          </w:p>
        </w:tc>
        <w:tc>
          <w:tcPr>
            <w:tcW w:w="445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项目实际完成时间与计划完成时间的比值，用以反映和考核项目产出时效目标的实现程度。</w:t>
            </w:r>
          </w:p>
        </w:tc>
        <w:tc>
          <w:tcPr>
            <w:tcW w:w="26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定性指标，时效指标目标值为100%，达到100%为满分，低于100%按实际完成百分比*分值权重分值进行评分。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43" w:hRule="atLeast"/>
        </w:trPr>
        <w:tc>
          <w:tcPr>
            <w:tcW w:w="811"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6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产出成本 （10分）</w:t>
            </w: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成本控制率（10分）</w:t>
            </w:r>
          </w:p>
        </w:tc>
        <w:tc>
          <w:tcPr>
            <w:tcW w:w="44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用以反映和考核项目的成本控制情况。</w:t>
            </w:r>
          </w:p>
        </w:tc>
        <w:tc>
          <w:tcPr>
            <w:tcW w:w="26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textAlignment w:val="center"/>
              <w:rPr>
                <w:rFonts w:hint="eastAsia" w:ascii="仿宋" w:hAnsi="仿宋" w:eastAsia="仿宋" w:cs="仿宋"/>
                <w:i w:val="0"/>
                <w:caps w:val="0"/>
                <w:color w:val="000000"/>
                <w:spacing w:val="0"/>
                <w:kern w:val="0"/>
                <w:sz w:val="15"/>
                <w:szCs w:val="15"/>
                <w:lang w:val="en-US" w:eastAsia="zh-CN" w:bidi="ar"/>
              </w:rPr>
            </w:pPr>
            <w:r>
              <w:rPr>
                <w:rFonts w:hint="eastAsia" w:ascii="仿宋" w:hAnsi="仿宋" w:eastAsia="仿宋" w:cs="仿宋"/>
                <w:i w:val="0"/>
                <w:caps w:val="0"/>
                <w:color w:val="000000"/>
                <w:spacing w:val="0"/>
                <w:kern w:val="0"/>
                <w:sz w:val="15"/>
                <w:szCs w:val="15"/>
                <w:lang w:val="en-US" w:eastAsia="zh-CN" w:bidi="ar"/>
              </w:rPr>
              <w:t>项目经费支出合法合规且均控制在预算范围内支出得满分，否则不得分。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9" w:hRule="atLeast"/>
        </w:trPr>
        <w:tc>
          <w:tcPr>
            <w:tcW w:w="81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pPr>
            <w:r>
              <w:rPr>
                <w:rFonts w:hint="eastAsia" w:ascii="仿宋" w:hAnsi="仿宋" w:eastAsia="仿宋" w:cs="仿宋"/>
                <w:i w:val="0"/>
                <w:caps w:val="0"/>
                <w:color w:val="000000"/>
                <w:spacing w:val="0"/>
                <w:kern w:val="0"/>
                <w:sz w:val="15"/>
                <w:szCs w:val="15"/>
                <w:lang w:val="en-US" w:eastAsia="zh-CN" w:bidi="ar"/>
              </w:rPr>
              <w:t>效益   （30）</w:t>
            </w:r>
          </w:p>
        </w:tc>
        <w:tc>
          <w:tcPr>
            <w:tcW w:w="6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社会效益（15分）</w:t>
            </w: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p>
        </w:tc>
        <w:tc>
          <w:tcPr>
            <w:tcW w:w="44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评价项目实施的社会效益。</w:t>
            </w:r>
          </w:p>
        </w:tc>
        <w:tc>
          <w:tcPr>
            <w:tcW w:w="2688" w:type="dxa"/>
            <w:vMerge w:val="restart"/>
            <w:tcBorders>
              <w:top w:val="nil"/>
              <w:left w:val="nil"/>
              <w:bottom w:val="single" w:color="auto" w:sz="36"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定性指标根据指标完成情况分为：全部或基本达成预期指标（高）、部分达成预期指标并具有一定效果（中）、未达成预期指标且效果较差（低）三档，分别按照100%-80%（含）、80%-60%（含）、60-0%合理填写完成比例。得分=实际完成比例*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11" w:hRule="atLeast"/>
        </w:trPr>
        <w:tc>
          <w:tcPr>
            <w:tcW w:w="8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c>
          <w:tcPr>
            <w:tcW w:w="6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可持续影响（15分）</w:t>
            </w: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p>
        </w:tc>
        <w:tc>
          <w:tcPr>
            <w:tcW w:w="445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评价项目的可持续效益。</w:t>
            </w:r>
          </w:p>
        </w:tc>
        <w:tc>
          <w:tcPr>
            <w:tcW w:w="268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666666"/>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2" w:hRule="atLeast"/>
        </w:trPr>
        <w:tc>
          <w:tcPr>
            <w:tcW w:w="81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pPr>
            <w:r>
              <w:rPr>
                <w:rFonts w:hint="eastAsia" w:ascii="仿宋" w:hAnsi="仿宋" w:eastAsia="仿宋" w:cs="仿宋"/>
                <w:i w:val="0"/>
                <w:caps w:val="0"/>
                <w:color w:val="000000"/>
                <w:spacing w:val="0"/>
                <w:kern w:val="0"/>
                <w:sz w:val="15"/>
                <w:szCs w:val="15"/>
                <w:lang w:val="en-US" w:eastAsia="zh-CN" w:bidi="ar"/>
              </w:rPr>
              <w:t>满意度  （10）</w:t>
            </w:r>
          </w:p>
        </w:tc>
        <w:tc>
          <w:tcPr>
            <w:tcW w:w="6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i w:val="0"/>
                <w:caps w:val="0"/>
                <w:color w:val="000000"/>
                <w:spacing w:val="0"/>
                <w:kern w:val="0"/>
                <w:sz w:val="15"/>
                <w:szCs w:val="15"/>
                <w:lang w:val="en-US" w:eastAsia="zh-CN" w:bidi="ar"/>
              </w:rPr>
              <w:t>服务对象满意度指标  （10分）</w:t>
            </w:r>
          </w:p>
        </w:tc>
        <w:tc>
          <w:tcPr>
            <w:tcW w:w="103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pPr>
          </w:p>
        </w:tc>
        <w:tc>
          <w:tcPr>
            <w:tcW w:w="445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通过工作中服务对象反馈对评价项目的满意度。</w:t>
            </w:r>
          </w:p>
        </w:tc>
        <w:tc>
          <w:tcPr>
            <w:tcW w:w="268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center"/>
            </w:pPr>
            <w:r>
              <w:rPr>
                <w:rFonts w:hint="eastAsia" w:ascii="仿宋" w:hAnsi="仿宋" w:eastAsia="仿宋" w:cs="仿宋"/>
                <w:i w:val="0"/>
                <w:caps w:val="0"/>
                <w:color w:val="000000"/>
                <w:spacing w:val="0"/>
                <w:kern w:val="0"/>
                <w:sz w:val="15"/>
                <w:szCs w:val="15"/>
                <w:lang w:val="en-US" w:eastAsia="zh-CN" w:bidi="ar"/>
              </w:rPr>
              <w:t>满意度80%以上得10分，80%以下每降低5%扣1分，扣完为止。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3" w:hRule="atLeast"/>
        </w:trPr>
        <w:tc>
          <w:tcPr>
            <w:tcW w:w="6938" w:type="dxa"/>
            <w:gridSpan w:val="4"/>
            <w:tcBorders>
              <w:top w:val="nil"/>
              <w:left w:val="single" w:color="auto" w:sz="8" w:space="0"/>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textAlignment w:val="center"/>
            </w:pPr>
            <w:r>
              <w:rPr>
                <w:rFonts w:hint="eastAsia" w:ascii="仿宋" w:hAnsi="仿宋" w:eastAsia="仿宋" w:cs="仿宋"/>
                <w:b/>
                <w:i w:val="0"/>
                <w:caps w:val="0"/>
                <w:color w:val="000000"/>
                <w:spacing w:val="0"/>
                <w:kern w:val="0"/>
                <w:sz w:val="18"/>
                <w:szCs w:val="18"/>
                <w:lang w:val="en-US" w:eastAsia="zh-CN" w:bidi="ar"/>
              </w:rPr>
              <w:t>总分值</w:t>
            </w:r>
          </w:p>
        </w:tc>
        <w:tc>
          <w:tcPr>
            <w:tcW w:w="2688" w:type="dxa"/>
            <w:tcBorders>
              <w:top w:val="outset" w:color="auto" w:sz="6" w:space="0"/>
              <w:left w:val="nil"/>
              <w:bottom w:val="outset" w:color="auto" w:sz="6" w:space="0"/>
              <w:right w:val="outset" w:color="auto" w:sz="6" w:space="0"/>
            </w:tcBorders>
            <w:shd w:val="clear" w:color="auto" w:fill="FFFFFF"/>
            <w:vAlign w:val="center"/>
          </w:tcPr>
          <w:p>
            <w:pPr>
              <w:rPr>
                <w:rFonts w:hint="default" w:ascii="微软雅黑" w:hAnsi="微软雅黑" w:eastAsia="微软雅黑" w:cs="微软雅黑"/>
                <w:i w:val="0"/>
                <w:caps w:val="0"/>
                <w:color w:val="666666"/>
                <w:spacing w:val="0"/>
                <w:sz w:val="18"/>
                <w:szCs w:val="18"/>
                <w:lang w:val="en-US" w:eastAsia="zh-CN"/>
              </w:rPr>
            </w:pPr>
            <w:r>
              <w:rPr>
                <w:rFonts w:hint="eastAsia" w:ascii="微软雅黑" w:hAnsi="微软雅黑" w:eastAsia="微软雅黑" w:cs="微软雅黑"/>
                <w:i w:val="0"/>
                <w:caps w:val="0"/>
                <w:color w:val="666666"/>
                <w:spacing w:val="0"/>
                <w:sz w:val="18"/>
                <w:szCs w:val="18"/>
                <w:lang w:val="en-US" w:eastAsia="zh-CN"/>
              </w:rPr>
              <w:t>100分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3.</w:t>
      </w:r>
      <w:r>
        <w:rPr>
          <w:rFonts w:hint="eastAsia" w:ascii="仿宋_GB2312" w:hAnsi="Times New Roman" w:eastAsia="仿宋_GB2312" w:cs="Times New Roman"/>
          <w:sz w:val="32"/>
          <w:szCs w:val="24"/>
          <w:lang w:eastAsia="zh-CN"/>
        </w:rPr>
        <w:t>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（1）前期准备阶段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4"/>
          <w:lang w:eastAsia="zh-CN"/>
        </w:rPr>
        <w:t>按照《北京市西城区财政局关于开展202</w:t>
      </w:r>
      <w:r>
        <w:rPr>
          <w:rFonts w:hint="eastAsia" w:ascii="仿宋_GB2312" w:hAnsi="Times New Roman" w:eastAsia="仿宋_GB2312" w:cs="Times New Roman"/>
          <w:sz w:val="32"/>
          <w:szCs w:val="24"/>
          <w:lang w:val="en-US" w:eastAsia="zh-CN"/>
        </w:rPr>
        <w:t>4</w:t>
      </w:r>
      <w:r>
        <w:rPr>
          <w:rFonts w:hint="eastAsia" w:ascii="仿宋_GB2312" w:hAnsi="Times New Roman" w:eastAsia="仿宋_GB2312" w:cs="Times New Roman"/>
          <w:sz w:val="32"/>
          <w:szCs w:val="24"/>
          <w:lang w:eastAsia="zh-CN"/>
        </w:rPr>
        <w:t>年度财政支出绩效评价工作的通知》</w:t>
      </w:r>
      <w:r>
        <w:rPr>
          <w:rFonts w:hint="eastAsia" w:ascii="仿宋_GB2312" w:hAnsi="Times New Roman" w:eastAsia="仿宋_GB2312" w:cs="Times New Roman"/>
          <w:sz w:val="32"/>
          <w:szCs w:val="24"/>
          <w:highlight w:val="none"/>
          <w:lang w:eastAsia="zh-CN"/>
        </w:rPr>
        <w:t>（西财监〔202</w:t>
      </w:r>
      <w:r>
        <w:rPr>
          <w:rFonts w:hint="eastAsia" w:ascii="仿宋_GB2312" w:hAnsi="Times New Roman" w:eastAsia="仿宋_GB2312" w:cs="Times New Roman"/>
          <w:sz w:val="32"/>
          <w:szCs w:val="24"/>
          <w:highlight w:val="none"/>
          <w:lang w:val="en-US" w:eastAsia="zh-CN"/>
        </w:rPr>
        <w:t>4</w:t>
      </w:r>
      <w:r>
        <w:rPr>
          <w:rFonts w:hint="eastAsia" w:ascii="仿宋_GB2312" w:hAnsi="Times New Roman" w:eastAsia="仿宋_GB2312" w:cs="Times New Roman"/>
          <w:sz w:val="32"/>
          <w:szCs w:val="24"/>
          <w:highlight w:val="none"/>
          <w:lang w:eastAsia="zh-CN"/>
        </w:rPr>
        <w:t>〕</w:t>
      </w:r>
      <w:r>
        <w:rPr>
          <w:rFonts w:hint="eastAsia" w:ascii="仿宋_GB2312" w:hAnsi="Times New Roman" w:eastAsia="仿宋_GB2312" w:cs="Times New Roman"/>
          <w:sz w:val="32"/>
          <w:szCs w:val="24"/>
          <w:highlight w:val="none"/>
          <w:lang w:val="en-US" w:eastAsia="zh-CN"/>
        </w:rPr>
        <w:t>43</w:t>
      </w:r>
      <w:r>
        <w:rPr>
          <w:rFonts w:hint="eastAsia" w:ascii="仿宋_GB2312" w:hAnsi="Times New Roman" w:eastAsia="仿宋_GB2312" w:cs="Times New Roman"/>
          <w:sz w:val="32"/>
          <w:szCs w:val="24"/>
          <w:highlight w:val="none"/>
          <w:lang w:eastAsia="zh-CN"/>
        </w:rPr>
        <w:t>号）要</w:t>
      </w:r>
      <w:r>
        <w:rPr>
          <w:rFonts w:hint="eastAsia" w:ascii="仿宋_GB2312" w:hAnsi="Times New Roman" w:eastAsia="仿宋_GB2312" w:cs="Times New Roman"/>
          <w:sz w:val="32"/>
          <w:szCs w:val="24"/>
          <w:lang w:eastAsia="zh-CN"/>
        </w:rPr>
        <w:t>求，我部专题研究部署绩效评价工作，由办公室牵头，各科室提供相关项目开展情况的统计资料及完成情况，并报主管领导审核同意。办公室财务人员采集数据、汇总资料、撰写自评报告。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（2）组织实施阶段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eastAsia="zh-CN"/>
        </w:rPr>
        <w:t>办公室制定工作目标、工作原则、自评范围、工作任务、时间安排、以及评价方法、评价指标体系等；全体会</w:t>
      </w:r>
      <w:r>
        <w:rPr>
          <w:rFonts w:hint="eastAsia" w:ascii="仿宋_GB2312" w:hAnsi="Times New Roman" w:eastAsia="仿宋_GB2312" w:cs="Times New Roman"/>
          <w:sz w:val="32"/>
          <w:szCs w:val="24"/>
          <w:lang w:val="en-US" w:eastAsia="zh-CN"/>
        </w:rPr>
        <w:t>上部署本年度自评工作，会后结合工作内容、工作时间节点等发布具体通知；各科室根据2023年工作开展情况填报《项目支出绩效自评表》、撰写自评项目《项目支出绩效评价报告》；</w:t>
      </w:r>
      <w:r>
        <w:rPr>
          <w:rFonts w:hint="eastAsia" w:ascii="仿宋_GB2312" w:hAnsi="Times New Roman" w:eastAsia="仿宋_GB2312" w:cs="Times New Roman"/>
          <w:sz w:val="32"/>
          <w:szCs w:val="24"/>
          <w:lang w:eastAsia="zh-CN"/>
        </w:rPr>
        <w:t>办公室</w:t>
      </w:r>
      <w:r>
        <w:rPr>
          <w:rFonts w:hint="eastAsia" w:ascii="仿宋_GB2312" w:hAnsi="Times New Roman" w:eastAsia="仿宋_GB2312" w:cs="Times New Roman"/>
          <w:sz w:val="32"/>
          <w:szCs w:val="24"/>
          <w:lang w:val="en-US" w:eastAsia="zh-CN"/>
        </w:rPr>
        <w:t>依据科室提交的自评表、报告进行整理、分析及归纳，形成部门整体绩效自评结果及报告。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楷体_GB2312" w:hAnsi="Courier New" w:eastAsia="楷体_GB2312" w:cs="Times New Roman"/>
          <w:b w:val="0"/>
          <w:bCs w:val="0"/>
          <w:kern w:val="0"/>
          <w:sz w:val="32"/>
          <w:szCs w:val="32"/>
          <w:lang w:val="en-US" w:eastAsia="zh-CN" w:bidi="ar-SA"/>
        </w:rPr>
      </w:pPr>
      <w:r>
        <w:rPr>
          <w:rFonts w:hint="eastAsia" w:ascii="楷体_GB2312" w:hAnsi="Courier New" w:eastAsia="楷体_GB2312" w:cs="Times New Roman"/>
          <w:b w:val="0"/>
          <w:bCs w:val="0"/>
          <w:kern w:val="0"/>
          <w:sz w:val="32"/>
          <w:szCs w:val="32"/>
          <w:lang w:val="en-US" w:eastAsia="zh-CN" w:bidi="ar-SA"/>
        </w:rPr>
        <w:t>（三）综合评价情况及评价结论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Times New Roman" w:eastAsia="仿宋_GB2312" w:cs="Times New Roman"/>
          <w:sz w:val="32"/>
          <w:szCs w:val="24"/>
          <w:lang w:val="en-US" w:eastAsia="zh-CN"/>
        </w:rPr>
        <w:t>2023年，区委统战部坚持以习近平新时代中国特色社会主义思想为指导，围绕中心、服务大局，发挥优势、凝聚力量，扎实推进各项统战工作，较好地完成了统战工作年度绩效目标。经评价，2023年度统战工作经费绩效评价得</w:t>
      </w:r>
      <w:r>
        <w:rPr>
          <w:rFonts w:hint="eastAsia" w:ascii="仿宋_GB2312" w:hAnsi="Times New Roman" w:eastAsia="仿宋_GB2312" w:cs="Times New Roman"/>
          <w:sz w:val="32"/>
          <w:szCs w:val="24"/>
          <w:highlight w:val="none"/>
          <w:lang w:val="en-US" w:eastAsia="zh-CN"/>
        </w:rPr>
        <w:t>98.6</w:t>
      </w:r>
      <w:r>
        <w:rPr>
          <w:rFonts w:hint="eastAsia" w:ascii="仿宋_GB2312" w:hAnsi="Times New Roman" w:eastAsia="仿宋_GB2312" w:cs="Times New Roman"/>
          <w:sz w:val="32"/>
          <w:szCs w:val="24"/>
          <w:lang w:val="en-US" w:eastAsia="zh-CN"/>
        </w:rPr>
        <w:t>分，评价等级为“优”。</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textAlignment w:val="auto"/>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1.项目决策情况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区委统战部按照财政局要求科学、合理编制年度预算，明确项目绩效目标、细化指标，规范立项程序，事前进行评估，设立可行性报告，做到事前有计划、事中有监督、事后有问效，推进全面实施预算绩效管理体系。</w:t>
      </w:r>
    </w:p>
    <w:p>
      <w:pPr>
        <w:keepNext w:val="0"/>
        <w:keepLines w:val="0"/>
        <w:pageBreakBefore w:val="0"/>
        <w:widowControl w:val="0"/>
        <w:tabs>
          <w:tab w:val="left" w:pos="16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kern w:val="0"/>
          <w:sz w:val="32"/>
          <w:szCs w:val="24"/>
          <w:lang w:val="en-US" w:eastAsia="zh-CN" w:bidi="ar-SA"/>
        </w:rPr>
      </w:pPr>
      <w:r>
        <w:rPr>
          <w:rFonts w:hint="eastAsia" w:ascii="仿宋_GB2312" w:hAnsi="Times New Roman" w:eastAsia="仿宋_GB2312" w:cs="Times New Roman"/>
          <w:kern w:val="0"/>
          <w:sz w:val="32"/>
          <w:szCs w:val="24"/>
          <w:lang w:val="en-US" w:eastAsia="zh-CN" w:bidi="ar-SA"/>
        </w:rPr>
        <w:t>2.项目过程情况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2023年统战工作经费按计划足额到位，资金到位率100%；全面加强部门预算绩效管理工作，健全规范财务管理制度，严格执行相关制度，确保报销凭证真实、合规、完整，审批手续齐全；资金管理按照预算控制、事前审批、归口负责的管理制度执行，做到专款专用，合理配置资源，优化支出结构，确保项目资金有效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3.项目产出情况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 xml:space="preserve">   区委统战部组织党外人士各类会议、活动、培训等数量指标均达到年初设定的目标。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仿宋_GB2312" w:hAnsi="Times New Roman" w:eastAsia="仿宋_GB2312" w:cs="Times New Roman"/>
          <w:sz w:val="32"/>
          <w:szCs w:val="24"/>
          <w:lang w:val="en-US" w:eastAsia="zh-CN"/>
        </w:rPr>
      </w:pPr>
      <w:r>
        <w:rPr>
          <w:rFonts w:hint="eastAsia" w:ascii="仿宋_GB2312" w:hAnsi="Times New Roman" w:eastAsia="仿宋_GB2312" w:cs="Times New Roman"/>
          <w:sz w:val="32"/>
          <w:szCs w:val="24"/>
          <w:lang w:val="en-US" w:eastAsia="zh-CN"/>
        </w:rPr>
        <w:t>4.项目效益情况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Times New Roman" w:eastAsia="仿宋_GB2312" w:cs="Times New Roman"/>
          <w:sz w:val="32"/>
          <w:szCs w:val="24"/>
          <w:lang w:val="en-US" w:eastAsia="zh-CN"/>
        </w:rPr>
      </w:pPr>
      <w:r>
        <w:rPr>
          <w:rFonts w:hint="default" w:ascii="仿宋_GB2312" w:hAnsi="Times New Roman" w:eastAsia="仿宋_GB2312" w:cs="Times New Roman"/>
          <w:sz w:val="32"/>
          <w:szCs w:val="24"/>
          <w:lang w:val="en-US" w:eastAsia="zh-CN"/>
        </w:rPr>
        <w:t>西城区委统战部坚持以习近平新时代中国特色社会主义思想为指导，全面落实中央、市委统战工作会议精神和区委工作要求，着力建设“联合、结合、整合、融合——统战四合院”工作体系，在区域发展中不断展现统战作为</w:t>
      </w:r>
      <w:r>
        <w:rPr>
          <w:rFonts w:hint="eastAsia" w:ascii="仿宋_GB2312" w:hAnsi="Times New Roman" w:eastAsia="仿宋_GB2312" w:cs="Times New Roman"/>
          <w:sz w:val="32"/>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Times New Roman" w:eastAsia="楷体_GB2312" w:cs="Times New Roman"/>
          <w:b w:val="0"/>
          <w:bCs w:val="0"/>
          <w:kern w:val="2"/>
          <w:sz w:val="32"/>
          <w:szCs w:val="32"/>
          <w:lang w:val="en-US" w:eastAsia="zh-CN" w:bidi="ar-SA"/>
        </w:rPr>
      </w:pPr>
      <w:r>
        <w:rPr>
          <w:rFonts w:hint="eastAsia" w:ascii="楷体_GB2312" w:hAnsi="Times New Roman" w:eastAsia="楷体_GB2312" w:cs="Times New Roman"/>
          <w:b w:val="0"/>
          <w:bCs w:val="0"/>
          <w:kern w:val="2"/>
          <w:sz w:val="32"/>
          <w:szCs w:val="32"/>
          <w:lang w:val="en-US" w:eastAsia="zh-CN" w:bidi="ar-SA"/>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仿宋_GB2312" w:eastAsia="仿宋_GB2312" w:cs="仿宋_GB2312"/>
          <w:sz w:val="32"/>
          <w:szCs w:val="32"/>
          <w:lang w:val="en-US" w:eastAsia="zh-CN"/>
        </w:rPr>
        <w:t>1.主要经验及做法</w:t>
      </w:r>
      <w:r>
        <w:rPr>
          <w:rFonts w:hint="eastAsia"/>
          <w:lang w:val="en-US" w:eastAsia="zh-CN"/>
        </w:rPr>
        <w:br w:type="textWrapping"/>
      </w: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一是科学合理编制部门预算，细化部门预算支出，确保部门预算编制真实、准确、完整，切合单位实际；二是强化绩效管理考核，将预算资金按照各科室工作计划及职责进行分配，层层分解落实，明确责任人，确保各项绩效考核指标如期完成；三是严格执行内控制度，完善财务管理措施，规范资金管理，提高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24"/>
          <w:highlight w:val="none"/>
          <w:lang w:val="en-US" w:eastAsia="zh-CN" w:bidi="ar-SA"/>
        </w:rPr>
      </w:pPr>
      <w:r>
        <w:rPr>
          <w:rFonts w:hint="eastAsia" w:ascii="仿宋_GB2312" w:hAnsi="Times New Roman" w:eastAsia="仿宋_GB2312" w:cs="Times New Roman"/>
          <w:kern w:val="2"/>
          <w:sz w:val="32"/>
          <w:szCs w:val="24"/>
          <w:highlight w:val="none"/>
          <w:lang w:val="en-US" w:eastAsia="zh-CN" w:bidi="ar-SA"/>
        </w:rPr>
        <w:t>2.存在的问题及原因分析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kern w:val="2"/>
          <w:sz w:val="32"/>
          <w:szCs w:val="24"/>
          <w:highlight w:val="none"/>
          <w:lang w:val="en-US" w:eastAsia="zh-CN" w:bidi="ar-SA"/>
        </w:rPr>
      </w:pPr>
      <w:r>
        <w:rPr>
          <w:rFonts w:hint="eastAsia" w:ascii="仿宋_GB2312" w:hAnsi="Times New Roman" w:eastAsia="仿宋_GB2312" w:cs="Times New Roman"/>
          <w:kern w:val="2"/>
          <w:sz w:val="32"/>
          <w:szCs w:val="24"/>
          <w:highlight w:val="none"/>
          <w:lang w:val="en-US" w:eastAsia="zh-CN" w:bidi="ar-SA"/>
        </w:rPr>
        <w:t>项目预算编制的准确性需进一步提高。因实际工作开展过程中，根据中央、市区相关文件要求新增项目所需经费或者其他突发情况的需要，进行预算追加、调整。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预算项目绩效目标管理和调整有待完善。预算项目绩效目标设定还需进一步详尽，进一步改善项目绩效指标设定，进一步探索更具体科学性的绩效分析、绩效考核指标体系。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Times New Roman" w:eastAsia="楷体_GB2312" w:cs="Times New Roman"/>
          <w:b w:val="0"/>
          <w:bCs w:val="0"/>
          <w:kern w:val="2"/>
          <w:sz w:val="32"/>
          <w:szCs w:val="32"/>
          <w:lang w:val="en-US" w:eastAsia="zh-CN" w:bidi="ar-SA"/>
        </w:rPr>
      </w:pPr>
      <w:r>
        <w:rPr>
          <w:rFonts w:hint="eastAsia" w:ascii="楷体_GB2312" w:hAnsi="Times New Roman" w:eastAsia="楷体_GB2312" w:cs="Times New Roman"/>
          <w:b w:val="0"/>
          <w:bCs w:val="0"/>
          <w:kern w:val="2"/>
          <w:sz w:val="32"/>
          <w:szCs w:val="32"/>
          <w:lang w:val="en-US" w:eastAsia="zh-CN" w:bidi="ar-SA"/>
        </w:rPr>
        <w:t>（六）有关建议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1.加强预算编制的计划性、科学性，强化预算控制，建立预算执行分析机制，加快预算支出进度，提高资金使用效率。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2.加强绩效目标管理，细化、量化绩效指标，提高绩效指标的可衡量性，充分发挥预算绩效管理的作用。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Times New Roman" w:eastAsia="楷体_GB2312" w:cs="Times New Roman"/>
          <w:b w:val="0"/>
          <w:bCs w:val="0"/>
          <w:kern w:val="2"/>
          <w:sz w:val="32"/>
          <w:szCs w:val="32"/>
          <w:lang w:val="en-US" w:eastAsia="zh-CN" w:bidi="ar-SA"/>
        </w:rPr>
      </w:pPr>
      <w:r>
        <w:rPr>
          <w:rFonts w:hint="eastAsia" w:ascii="楷体_GB2312" w:hAnsi="Times New Roman" w:eastAsia="楷体_GB2312" w:cs="Times New Roman"/>
          <w:b w:val="0"/>
          <w:bCs w:val="0"/>
          <w:kern w:val="2"/>
          <w:sz w:val="32"/>
          <w:szCs w:val="32"/>
          <w:lang w:val="en-US" w:eastAsia="zh-CN" w:bidi="ar-SA"/>
        </w:rPr>
        <w:t>（七）其他需要说明的问题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小标宋简体" w:hAnsi="方正小标宋简体" w:eastAsia="方正小标宋简体" w:cs="方正小标宋简体"/>
          <w:sz w:val="40"/>
          <w:szCs w:val="40"/>
        </w:rPr>
      </w:pPr>
      <w:r>
        <w:rPr>
          <w:rFonts w:hint="eastAsia" w:ascii="仿宋_GB2312" w:hAnsi="Times New Roman" w:eastAsia="仿宋_GB2312" w:cs="Times New Roman"/>
          <w:kern w:val="2"/>
          <w:sz w:val="32"/>
          <w:szCs w:val="24"/>
          <w:lang w:val="en-US" w:eastAsia="zh-CN" w:bidi="ar-SA"/>
        </w:rPr>
        <w:t>无</w:t>
      </w: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黑体" w:eastAsia="黑体"/>
          <w:sz w:val="32"/>
          <w:szCs w:val="32"/>
        </w:rPr>
      </w:pPr>
      <w:r>
        <w:rPr>
          <w:rFonts w:hint="eastAsia" w:ascii="方正小标宋简体" w:hAnsi="方正小标宋简体" w:eastAsia="方正小标宋简体" w:cs="方正小标宋简体"/>
          <w:sz w:val="40"/>
          <w:szCs w:val="40"/>
        </w:rPr>
        <w:t>第四部分 2023年度部门决算报表</w:t>
      </w:r>
    </w:p>
    <w:p>
      <w:pPr>
        <w:spacing w:line="360" w:lineRule="auto"/>
        <w:jc w:val="left"/>
        <w:rPr>
          <w:rFonts w:hint="eastAsia"/>
        </w:rPr>
      </w:pPr>
      <w:r>
        <w:rPr>
          <w:rFonts w:hint="eastAsia" w:ascii="仿宋_GB2312" w:eastAsia="仿宋_GB2312"/>
          <w:sz w:val="28"/>
          <w:szCs w:val="28"/>
        </w:rPr>
        <w:t>表一：</w:t>
      </w:r>
    </w:p>
    <w:p>
      <w:pPr>
        <w:jc w:val="center"/>
        <w:rPr>
          <w:rFonts w:hint="eastAsia" w:ascii="黑体" w:eastAsia="黑体"/>
          <w:sz w:val="32"/>
          <w:szCs w:val="32"/>
        </w:rPr>
      </w:pPr>
      <w:r>
        <w:rPr>
          <w:rFonts w:hint="eastAsia" w:ascii="方正小标宋简体" w:hAnsi="宋体" w:eastAsia="方正小标宋简体"/>
          <w:sz w:val="36"/>
          <w:szCs w:val="36"/>
        </w:rPr>
        <w:t>202</w:t>
      </w:r>
      <w:r>
        <w:rPr>
          <w:rFonts w:hint="eastAsia" w:ascii="方正小标宋简体" w:hAnsi="宋体" w:eastAsia="方正小标宋简体"/>
          <w:sz w:val="36"/>
          <w:szCs w:val="36"/>
          <w:lang w:val="en-US" w:eastAsia="zh-CN"/>
        </w:rPr>
        <w:t>3</w:t>
      </w:r>
      <w:r>
        <w:rPr>
          <w:rFonts w:hint="eastAsia" w:ascii="方正小标宋简体" w:hAnsi="宋体" w:eastAsia="方正小标宋简体"/>
          <w:sz w:val="36"/>
          <w:szCs w:val="36"/>
        </w:rPr>
        <w:t>年部门决算收支总表</w:t>
      </w:r>
    </w:p>
    <w:p>
      <w:pPr>
        <w:jc w:val="right"/>
        <w:rPr>
          <w:rFonts w:hint="eastAsia" w:ascii="方正小标宋简体" w:hAnsi="宋体" w:eastAsia="方正小标宋简体"/>
          <w:sz w:val="18"/>
          <w:szCs w:val="18"/>
        </w:rPr>
      </w:pPr>
      <w:r>
        <w:rPr>
          <w:rFonts w:hint="eastAsia" w:ascii="楷体_GB2312" w:hAnsi="宋体" w:eastAsia="楷体_GB2312"/>
          <w:sz w:val="18"/>
          <w:szCs w:val="18"/>
        </w:rPr>
        <w:t>单位：元</w:t>
      </w:r>
    </w:p>
    <w:tbl>
      <w:tblPr>
        <w:tblStyle w:val="8"/>
        <w:tblpPr w:leftFromText="180" w:rightFromText="180" w:vertAnchor="text" w:horzAnchor="page" w:tblpXSpec="center" w:tblpY="277"/>
        <w:tblOverlap w:val="never"/>
        <w:tblW w:w="10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61"/>
        <w:gridCol w:w="1923"/>
        <w:gridCol w:w="1562"/>
        <w:gridCol w:w="1921"/>
        <w:gridCol w:w="1691"/>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494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收入</w:t>
            </w:r>
          </w:p>
        </w:tc>
        <w:tc>
          <w:tcPr>
            <w:tcW w:w="51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年初预算数</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项目（按功能分类）</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年初预算数</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一、一般公共预算财政拨款收入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27,305,145.74</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26,602,679.12</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21,147,092.70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19,923,094.08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二、政府性基金预算财政拨款收入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三、国有资本经营预算财政拨款收入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四、上级补助收入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五、事业收入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六、经营收入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七、附属单位上缴收入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七、文化旅游体育与传媒支出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八、其他收入</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2,303,689.52</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2,305,989.52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九、卫生健康支出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1,234,457.76</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1,450,421.76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十、节能环保支出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十一、城乡社区支出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十二、农林水支出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十三、交通运输支出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十四、资源勘探工业信息等支出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十五、商业服务业等支出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十六、金融支出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十七、援助其他地区支出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十九、住房保障支出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2,619,905.76</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2,920,173.76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二十、粮油物资储备支出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二十一、国有资本经营预算支出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二十二、灾害防治及应急管理支出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二十三、其他支出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二十四、债务还本支出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二十五、债务付息支出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二十六、抗疫特别国债安排的支出</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27,305,145.74</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26,602,679.12</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27,305,145.74</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26,602,679.12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9"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年初结转和结余</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结余分配</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i w:val="0"/>
                <w:color w:val="000000"/>
                <w:sz w:val="21"/>
                <w:szCs w:val="21"/>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年末结转和结余</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w:t>
            </w:r>
          </w:p>
        </w:tc>
        <w:tc>
          <w:tcPr>
            <w:tcW w:w="19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27,305,145.74</w:t>
            </w:r>
          </w:p>
        </w:tc>
        <w:tc>
          <w:tcPr>
            <w:tcW w:w="15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26,602,679.12</w:t>
            </w:r>
          </w:p>
        </w:tc>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w:t>
            </w:r>
          </w:p>
        </w:tc>
        <w:tc>
          <w:tcPr>
            <w:tcW w:w="16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27,305,145.74</w:t>
            </w:r>
          </w:p>
        </w:tc>
        <w:tc>
          <w:tcPr>
            <w:tcW w:w="15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26,602,679.12</w:t>
            </w:r>
          </w:p>
        </w:tc>
      </w:tr>
    </w:tbl>
    <w:p>
      <w:pPr>
        <w:rPr>
          <w:rFonts w:hint="default" w:ascii="仿宋_GB2312" w:hAnsi="Times New Roman" w:eastAsia="仿宋_GB2312" w:cs="Times New Roman"/>
          <w:kern w:val="2"/>
          <w:sz w:val="32"/>
          <w:szCs w:val="24"/>
          <w:lang w:val="en-US" w:eastAsia="zh-CN" w:bidi="ar-SA"/>
        </w:rPr>
      </w:pPr>
    </w:p>
    <w:p>
      <w:pPr>
        <w:rPr>
          <w:rFonts w:hint="default" w:ascii="仿宋_GB2312" w:hAnsi="Times New Roman" w:eastAsia="仿宋_GB2312" w:cs="Times New Roman"/>
          <w:kern w:val="2"/>
          <w:sz w:val="32"/>
          <w:szCs w:val="24"/>
          <w:lang w:val="en-US" w:eastAsia="zh-CN" w:bidi="ar-SA"/>
        </w:rPr>
      </w:pPr>
    </w:p>
    <w:p>
      <w:pPr>
        <w:rPr>
          <w:rFonts w:hint="default" w:ascii="仿宋_GB2312" w:hAnsi="Times New Roman" w:eastAsia="仿宋_GB2312" w:cs="Times New Roman"/>
          <w:kern w:val="2"/>
          <w:sz w:val="32"/>
          <w:szCs w:val="24"/>
          <w:lang w:val="en-US" w:eastAsia="zh-CN" w:bidi="ar-SA"/>
        </w:rPr>
      </w:pPr>
    </w:p>
    <w:p>
      <w:pPr>
        <w:rPr>
          <w:rFonts w:hint="default" w:ascii="仿宋_GB2312" w:hAnsi="Times New Roman" w:eastAsia="仿宋_GB2312" w:cs="Times New Roman"/>
          <w:kern w:val="2"/>
          <w:sz w:val="32"/>
          <w:szCs w:val="24"/>
          <w:lang w:val="en-US" w:eastAsia="zh-CN" w:bidi="ar-SA"/>
        </w:rPr>
      </w:pPr>
    </w:p>
    <w:p>
      <w:pPr>
        <w:rPr>
          <w:rFonts w:hint="default" w:ascii="仿宋_GB2312" w:hAnsi="Times New Roman" w:eastAsia="仿宋_GB2312" w:cs="Times New Roman"/>
          <w:kern w:val="2"/>
          <w:sz w:val="32"/>
          <w:szCs w:val="24"/>
          <w:lang w:val="en-US" w:eastAsia="zh-CN" w:bidi="ar-SA"/>
        </w:rPr>
        <w:sectPr>
          <w:footerReference r:id="rId3" w:type="default"/>
          <w:pgSz w:w="11906" w:h="16838"/>
          <w:pgMar w:top="1911" w:right="1474" w:bottom="1418" w:left="1588" w:header="851" w:footer="992" w:gutter="0"/>
          <w:pgNumType w:fmt="numberInDash"/>
          <w:cols w:space="720" w:num="1"/>
          <w:docGrid w:type="lines" w:linePitch="312" w:charSpace="0"/>
        </w:sectPr>
      </w:pPr>
    </w:p>
    <w:p>
      <w:pPr>
        <w:rPr>
          <w:rFonts w:hint="eastAsia" w:ascii="仿宋_GB2312" w:hAnsi="宋体" w:eastAsia="仿宋_GB2312" w:cs="Arial"/>
          <w:bCs/>
          <w:color w:val="000000"/>
          <w:kern w:val="0"/>
          <w:sz w:val="28"/>
          <w:szCs w:val="28"/>
        </w:rPr>
      </w:pPr>
    </w:p>
    <w:p>
      <w:pPr>
        <w:rPr>
          <w:rFonts w:hint="eastAsia" w:ascii="仿宋_GB2312" w:hAnsi="Times New Roman" w:eastAsia="仿宋_GB2312" w:cs="Times New Roman"/>
          <w:sz w:val="28"/>
          <w:szCs w:val="28"/>
        </w:rPr>
      </w:pPr>
      <w:r>
        <w:rPr>
          <w:rFonts w:hint="eastAsia" w:ascii="仿宋_GB2312" w:hAnsi="宋体" w:eastAsia="仿宋_GB2312" w:cs="Arial"/>
          <w:bCs/>
          <w:color w:val="000000"/>
          <w:kern w:val="0"/>
          <w:sz w:val="28"/>
          <w:szCs w:val="28"/>
        </w:rPr>
        <w:t>表二：</w:t>
      </w:r>
    </w:p>
    <w:p>
      <w:pPr>
        <w:jc w:val="center"/>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202</w:t>
      </w:r>
      <w:r>
        <w:rPr>
          <w:rFonts w:hint="eastAsia" w:ascii="方正小标宋简体" w:hAnsi="宋体" w:eastAsia="方正小标宋简体" w:cs="Times New Roman"/>
          <w:sz w:val="36"/>
          <w:szCs w:val="36"/>
          <w:lang w:val="en-US" w:eastAsia="zh-CN"/>
        </w:rPr>
        <w:t>3</w:t>
      </w:r>
      <w:r>
        <w:rPr>
          <w:rFonts w:hint="eastAsia" w:ascii="方正小标宋简体" w:hAnsi="宋体" w:eastAsia="方正小标宋简体" w:cs="Times New Roman"/>
          <w:sz w:val="36"/>
          <w:szCs w:val="36"/>
        </w:rPr>
        <w:t>年收入决算表</w:t>
      </w:r>
    </w:p>
    <w:p>
      <w:pPr>
        <w:pStyle w:val="4"/>
        <w:rPr>
          <w:rFonts w:hint="default" w:eastAsia="方正小标宋简体"/>
          <w:lang w:val="en-US" w:eastAsia="zh-CN"/>
        </w:rPr>
      </w:pP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 xml:space="preserve">   单位：元</w:t>
      </w:r>
    </w:p>
    <w:tbl>
      <w:tblPr>
        <w:tblStyle w:val="8"/>
        <w:tblpPr w:leftFromText="180" w:rightFromText="180" w:vertAnchor="text" w:horzAnchor="page" w:tblpXSpec="center" w:tblpY="341"/>
        <w:tblOverlap w:val="never"/>
        <w:tblW w:w="14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6"/>
        <w:gridCol w:w="396"/>
        <w:gridCol w:w="400"/>
        <w:gridCol w:w="3402"/>
        <w:gridCol w:w="2331"/>
        <w:gridCol w:w="2158"/>
        <w:gridCol w:w="1057"/>
        <w:gridCol w:w="1112"/>
        <w:gridCol w:w="1017"/>
        <w:gridCol w:w="773"/>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459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w:t>
            </w:r>
          </w:p>
        </w:tc>
        <w:tc>
          <w:tcPr>
            <w:tcW w:w="233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本年收入合计</w:t>
            </w:r>
          </w:p>
        </w:tc>
        <w:tc>
          <w:tcPr>
            <w:tcW w:w="21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财政拨款收入</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上级补助收入</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事业收入</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经营收入</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附属单位上缴收入</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1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支出功能分类科目编码</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栏次</w:t>
            </w:r>
          </w:p>
        </w:tc>
        <w:tc>
          <w:tcPr>
            <w:tcW w:w="23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215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3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类</w:t>
            </w:r>
          </w:p>
        </w:tc>
        <w:tc>
          <w:tcPr>
            <w:tcW w:w="3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款</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w:t>
            </w:r>
          </w:p>
        </w:tc>
        <w:tc>
          <w:tcPr>
            <w:tcW w:w="340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23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215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一般公共服务支出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19923094.08</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19,923,094.08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20128</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民主党派及工商联事务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2012899</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其他民主党派及工商联事务支出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20134</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统战事务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16,839,769.26</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16,839,769.26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2013401</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行政运行</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2013499</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其他统战事务支出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社会保障和就业支出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行政事业单位养老支出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2080501</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行政单位离退休</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183,610.00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183,610.00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2080505</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机关事业单位基本养老保险缴费支出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2080506</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机关事业单位职业年金缴费支出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210</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卫生健康支出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21011</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行政事业单位医疗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2101101</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行政单位医疗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212</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城乡社区支出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21201</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城乡社区管理事务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2120101</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行政运行</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住房保障支出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22102</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住房改革支出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2210201</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住房公积金</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5" w:hRule="atLeast"/>
          <w:jc w:val="center"/>
        </w:trPr>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2210203</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购房补贴</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1,329,064.00</w:t>
            </w:r>
          </w:p>
        </w:tc>
        <w:tc>
          <w:tcPr>
            <w:tcW w:w="21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1,329,064.00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bl>
    <w:p>
      <w:pPr>
        <w:rPr>
          <w:rFonts w:hint="eastAsia" w:ascii="仿宋_GB2312" w:eastAsia="仿宋_GB2312"/>
          <w:sz w:val="28"/>
          <w:szCs w:val="28"/>
          <w:highlight w:val="none"/>
        </w:rPr>
      </w:pPr>
      <w:r>
        <w:rPr>
          <w:rFonts w:hint="eastAsia" w:ascii="仿宋_GB2312" w:eastAsia="仿宋_GB2312"/>
          <w:sz w:val="28"/>
          <w:szCs w:val="28"/>
          <w:highlight w:val="none"/>
        </w:rPr>
        <w:t>表三：</w:t>
      </w:r>
    </w:p>
    <w:p>
      <w:pPr>
        <w:jc w:val="center"/>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 xml:space="preserve"> 202</w:t>
      </w:r>
      <w:r>
        <w:rPr>
          <w:rFonts w:hint="eastAsia" w:ascii="方正小标宋简体" w:hAnsi="宋体" w:eastAsia="方正小标宋简体" w:cs="Times New Roman"/>
          <w:sz w:val="36"/>
          <w:szCs w:val="36"/>
          <w:lang w:val="en-US" w:eastAsia="zh-CN"/>
        </w:rPr>
        <w:t>3</w:t>
      </w:r>
      <w:r>
        <w:rPr>
          <w:rFonts w:hint="eastAsia" w:ascii="方正小标宋简体" w:hAnsi="宋体" w:eastAsia="方正小标宋简体" w:cs="Times New Roman"/>
          <w:sz w:val="36"/>
          <w:szCs w:val="36"/>
        </w:rPr>
        <w:t>年支出决算表</w:t>
      </w:r>
    </w:p>
    <w:p>
      <w:pPr>
        <w:pStyle w:val="4"/>
        <w:rPr>
          <w:rFonts w:hint="default" w:eastAsia="方正小标宋简体"/>
          <w:lang w:val="en-US" w:eastAsia="zh-CN"/>
        </w:rPr>
      </w:pP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单位：元</w:t>
      </w:r>
    </w:p>
    <w:tbl>
      <w:tblPr>
        <w:tblStyle w:val="8"/>
        <w:tblW w:w="14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8"/>
        <w:gridCol w:w="398"/>
        <w:gridCol w:w="436"/>
        <w:gridCol w:w="4047"/>
        <w:gridCol w:w="2004"/>
        <w:gridCol w:w="1969"/>
        <w:gridCol w:w="1972"/>
        <w:gridCol w:w="1231"/>
        <w:gridCol w:w="110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527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本年支出合计</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基本支出</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项目支出</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上缴上级支出</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经营支出</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8" w:hRule="atLeast"/>
          <w:jc w:val="center"/>
        </w:trPr>
        <w:tc>
          <w:tcPr>
            <w:tcW w:w="123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支出功能分类科目编码</w:t>
            </w:r>
          </w:p>
        </w:tc>
        <w:tc>
          <w:tcPr>
            <w:tcW w:w="4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栏次</w:t>
            </w:r>
          </w:p>
        </w:tc>
        <w:tc>
          <w:tcPr>
            <w:tcW w:w="20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1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类</w:t>
            </w:r>
          </w:p>
        </w:tc>
        <w:tc>
          <w:tcPr>
            <w:tcW w:w="39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款</w:t>
            </w:r>
          </w:p>
        </w:tc>
        <w:tc>
          <w:tcPr>
            <w:tcW w:w="43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w:t>
            </w:r>
          </w:p>
        </w:tc>
        <w:tc>
          <w:tcPr>
            <w:tcW w:w="404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20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19,646,513.92</w:t>
            </w:r>
          </w:p>
        </w:tc>
        <w:tc>
          <w:tcPr>
            <w:tcW w:w="19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6,956,165.20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一般公共服务支出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19,923,094.08</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6,956,165.20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20128</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民主党派及工商联事务</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2012899</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其他民主党派及工商联事务支出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20134</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统战事务</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16,839,769.26</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2013401</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行政运行</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2013499</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其他统战事务支出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社会保障和就业支出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行政事业单位养老支出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2080501</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行政单位离退休</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183,610.00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183,610.00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1"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2080505</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机关事业单位基本养老保险缴费支出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2080506</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机关事业单位职业年金缴费支出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210</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卫生健康支出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21011</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行政事业单位医疗</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2101101</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行政单位医疗</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212</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城乡社区支出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21201</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城乡社区管理事务</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2120101</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行政运行</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住房保障支出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22102</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住房改革支出</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2210201</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住房公积金</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1" w:hRule="atLeast"/>
          <w:jc w:val="center"/>
        </w:trPr>
        <w:tc>
          <w:tcPr>
            <w:tcW w:w="12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2210203</w:t>
            </w:r>
          </w:p>
        </w:tc>
        <w:tc>
          <w:tcPr>
            <w:tcW w:w="4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购房补贴</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1,329,064.00</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1,329,064.00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bl>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四</w:t>
      </w:r>
      <w:r>
        <w:rPr>
          <w:rFonts w:hint="eastAsia" w:ascii="仿宋_GB2312" w:eastAsia="仿宋_GB2312"/>
          <w:sz w:val="28"/>
          <w:szCs w:val="28"/>
          <w:highlight w:val="none"/>
        </w:rPr>
        <w:t>：</w:t>
      </w:r>
    </w:p>
    <w:p>
      <w:pPr>
        <w:tabs>
          <w:tab w:val="center" w:pos="6979"/>
        </w:tabs>
        <w:spacing w:line="500" w:lineRule="exact"/>
        <w:ind w:firstLine="4320" w:firstLineChars="1200"/>
        <w:jc w:val="both"/>
        <w:rPr>
          <w:rFonts w:hint="default" w:ascii="仿宋_GB2312" w:hAnsi="宋体" w:eastAsia="仿宋_GB2312" w:cs="Arial"/>
          <w:bCs/>
          <w:color w:val="000000"/>
          <w:kern w:val="0"/>
          <w:sz w:val="28"/>
          <w:szCs w:val="28"/>
          <w:lang w:val="en-US" w:eastAsia="zh-CN"/>
        </w:rPr>
      </w:pPr>
      <w:r>
        <w:rPr>
          <w:rFonts w:hint="eastAsia" w:ascii="方正小标宋简体" w:hAnsi="宋体" w:eastAsia="方正小标宋简体" w:cs="Times New Roman"/>
          <w:sz w:val="36"/>
          <w:szCs w:val="36"/>
        </w:rPr>
        <w:t>财政拨款收入支出决算总表</w:t>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单位：元</w:t>
      </w:r>
    </w:p>
    <w:tbl>
      <w:tblPr>
        <w:tblStyle w:val="8"/>
        <w:tblpPr w:leftFromText="180" w:rightFromText="180" w:vertAnchor="text" w:horzAnchor="page" w:tblpXSpec="center" w:tblpY="640"/>
        <w:tblOverlap w:val="never"/>
        <w:tblW w:w="14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83"/>
        <w:gridCol w:w="1412"/>
        <w:gridCol w:w="1466"/>
        <w:gridCol w:w="2705"/>
        <w:gridCol w:w="1412"/>
        <w:gridCol w:w="1414"/>
        <w:gridCol w:w="1009"/>
        <w:gridCol w:w="883"/>
        <w:gridCol w:w="1051"/>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46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收入</w:t>
            </w:r>
          </w:p>
        </w:tc>
        <w:tc>
          <w:tcPr>
            <w:tcW w:w="9398"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w:t>
            </w:r>
          </w:p>
        </w:tc>
        <w:tc>
          <w:tcPr>
            <w:tcW w:w="287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年初预算数</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项目（按功能分类）</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一般公共预算财政拨款</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政府性基金预算财政拨款</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年初预算数</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年初预算数</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年初预算数</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年初预算数</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一、一般公共预算财政拨款</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27,305,145.74</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一、一般公共服务支出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21,147,092.70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19,923,094.08</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二、政府性基金预算财政拨款</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二、外交支出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三、国有资本经营预算财政拨款</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三、国防支出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四、公共安全支出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五、教育支出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六、科学技术支出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七、文化旅游体育与传媒支出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八、社会保障和就业支出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2,303,689.52</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九、卫生健康支出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1,234,457.76</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十、节能环保支出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十一、城乡社区支出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十二、农林水支出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十三、交通运输支出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十四、资源勘探工业信息等支出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十五、商业服务业等支出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十六、金融支出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十七、援助其他地区支出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十八、自然资源海洋气象等支出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十九、住房保障支出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2,619,905.76</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二十、粮油物资储备支出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二十一、国有资本经营预算支出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二十二、灾害防治及应急管理支出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二十三、其他支出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二十四、债务还本支出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二十五、债务付息支出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二十六、抗疫特别国债安排的支出</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本年收入合计</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27,305,145.74</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本年支出合计</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27,305,145.74</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年初财政拨款结转和结余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年末财政拨款结转和结余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一、一般公共预算财政拨款</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二、政府性基金预算财政拨款</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18"/>
                <w:szCs w:val="18"/>
                <w:u w:val="none"/>
                <w:lang w:val="en-US" w:eastAsia="zh-CN" w:bidi="ar"/>
              </w:rPr>
              <w:t>三、国有资本经营预算财政拨款</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 w:hRule="atLeast"/>
          <w:jc w:val="center"/>
        </w:trPr>
        <w:tc>
          <w:tcPr>
            <w:tcW w:w="25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总计</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27,305,145.74</w:t>
            </w:r>
          </w:p>
        </w:tc>
        <w:tc>
          <w:tcPr>
            <w:tcW w:w="14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2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总计</w:t>
            </w:r>
          </w:p>
        </w:tc>
        <w:tc>
          <w:tcPr>
            <w:tcW w:w="141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27,305,145.74</w:t>
            </w:r>
          </w:p>
        </w:tc>
        <w:tc>
          <w:tcPr>
            <w:tcW w:w="14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1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bl>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五</w:t>
      </w:r>
      <w:r>
        <w:rPr>
          <w:rFonts w:hint="eastAsia" w:ascii="仿宋_GB2312" w:eastAsia="仿宋_GB2312"/>
          <w:sz w:val="28"/>
          <w:szCs w:val="28"/>
          <w:highlight w:val="none"/>
        </w:rPr>
        <w:t>：</w:t>
      </w:r>
    </w:p>
    <w:p>
      <w:pPr>
        <w:jc w:val="center"/>
        <w:rPr>
          <w:rFonts w:hint="eastAsia" w:ascii="仿宋_GB2312" w:hAnsi="宋体" w:eastAsia="仿宋_GB2312" w:cs="Arial"/>
          <w:bCs/>
          <w:color w:val="000000"/>
          <w:kern w:val="0"/>
          <w:sz w:val="28"/>
          <w:szCs w:val="28"/>
          <w:lang w:val="en-US" w:eastAsia="zh-CN"/>
        </w:rPr>
      </w:pPr>
      <w:r>
        <w:rPr>
          <w:rFonts w:hint="eastAsia" w:ascii="方正小标宋简体" w:hAnsi="宋体" w:eastAsia="方正小标宋简体" w:cs="Times New Roman"/>
          <w:sz w:val="36"/>
          <w:szCs w:val="36"/>
        </w:rPr>
        <w:t>一般公共预算财政拨款收入支出决算表</w:t>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36"/>
          <w:szCs w:val="36"/>
          <w:lang w:val="en-US" w:eastAsia="zh-CN"/>
        </w:rPr>
        <w:br w:type="textWrapping"/>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单位：元</w:t>
      </w:r>
    </w:p>
    <w:p>
      <w:pPr>
        <w:rPr>
          <w:rFonts w:hint="eastAsia" w:ascii="仿宋_GB2312" w:hAnsi="宋体" w:eastAsia="仿宋_GB2312" w:cs="Arial"/>
          <w:bCs/>
          <w:color w:val="000000"/>
          <w:kern w:val="0"/>
          <w:sz w:val="28"/>
          <w:szCs w:val="28"/>
          <w:lang w:val="en-US" w:eastAsia="zh-CN"/>
        </w:rPr>
      </w:pPr>
    </w:p>
    <w:tbl>
      <w:tblPr>
        <w:tblStyle w:val="8"/>
        <w:tblW w:w="14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2"/>
        <w:gridCol w:w="342"/>
        <w:gridCol w:w="363"/>
        <w:gridCol w:w="3453"/>
        <w:gridCol w:w="930"/>
        <w:gridCol w:w="1605"/>
        <w:gridCol w:w="1605"/>
        <w:gridCol w:w="1605"/>
        <w:gridCol w:w="1597"/>
        <w:gridCol w:w="764"/>
        <w:gridCol w:w="853"/>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451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年初结转和结余</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本年收入</w:t>
            </w:r>
          </w:p>
        </w:tc>
        <w:tc>
          <w:tcPr>
            <w:tcW w:w="480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本年支出</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4" w:hRule="atLeast"/>
          <w:jc w:val="center"/>
        </w:trPr>
        <w:tc>
          <w:tcPr>
            <w:tcW w:w="105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支出功能分类科目编码</w:t>
            </w:r>
          </w:p>
        </w:tc>
        <w:tc>
          <w:tcPr>
            <w:tcW w:w="34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基本支出</w:t>
            </w:r>
          </w:p>
        </w:tc>
        <w:tc>
          <w:tcPr>
            <w:tcW w:w="15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项目支出</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基本支出结转</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105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34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栏次</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3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类</w:t>
            </w:r>
          </w:p>
        </w:tc>
        <w:tc>
          <w:tcPr>
            <w:tcW w:w="3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款</w:t>
            </w:r>
          </w:p>
        </w:tc>
        <w:tc>
          <w:tcPr>
            <w:tcW w:w="36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w:t>
            </w:r>
          </w:p>
        </w:tc>
        <w:tc>
          <w:tcPr>
            <w:tcW w:w="34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19,646,513.92</w:t>
            </w:r>
          </w:p>
        </w:tc>
        <w:tc>
          <w:tcPr>
            <w:tcW w:w="15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6,956,165.20</w:t>
            </w:r>
          </w:p>
        </w:tc>
        <w:tc>
          <w:tcPr>
            <w:tcW w:w="7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85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19,923,094.08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19,923,094.08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6,956,165.20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其他民主党派及工商联事务支出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统战事务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16,839,769.26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16,839,769.26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2013499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其他统战事务支出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2120101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2210203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购房补贴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1,329,064.00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1,329,064.00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1,329,064.00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bl>
    <w:p>
      <w:pPr>
        <w:rPr>
          <w:rFonts w:hint="eastAsia" w:ascii="仿宋_GB2312" w:hAnsi="宋体" w:eastAsia="仿宋_GB2312" w:cs="Arial"/>
          <w:b w:val="0"/>
          <w:bCs/>
          <w:color w:val="000000"/>
          <w:kern w:val="0"/>
          <w:sz w:val="21"/>
          <w:szCs w:val="21"/>
        </w:rPr>
      </w:pPr>
    </w:p>
    <w:p>
      <w:pPr>
        <w:rPr>
          <w:rFonts w:hint="eastAsia" w:ascii="仿宋_GB2312" w:hAnsi="宋体" w:eastAsia="仿宋_GB2312" w:cs="Arial"/>
          <w:b w:val="0"/>
          <w:bCs/>
          <w:color w:val="000000"/>
          <w:kern w:val="0"/>
          <w:sz w:val="28"/>
          <w:szCs w:val="28"/>
        </w:rPr>
      </w:pPr>
    </w:p>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六</w:t>
      </w:r>
      <w:r>
        <w:rPr>
          <w:rFonts w:hint="eastAsia" w:ascii="仿宋_GB2312" w:eastAsia="仿宋_GB2312"/>
          <w:sz w:val="28"/>
          <w:szCs w:val="28"/>
          <w:highlight w:val="none"/>
        </w:rPr>
        <w:t>：</w:t>
      </w:r>
    </w:p>
    <w:p>
      <w:pPr>
        <w:jc w:val="center"/>
        <w:rPr>
          <w:rFonts w:hint="eastAsia" w:ascii="仿宋_GB2312" w:hAnsi="宋体" w:eastAsia="仿宋_GB2312" w:cs="Arial"/>
          <w:b w:val="0"/>
          <w:bCs/>
          <w:color w:val="000000"/>
          <w:kern w:val="0"/>
          <w:sz w:val="28"/>
          <w:szCs w:val="28"/>
        </w:rPr>
      </w:pPr>
      <w:r>
        <w:rPr>
          <w:rFonts w:hint="eastAsia" w:ascii="方正小标宋简体" w:hAnsi="宋体" w:eastAsia="方正小标宋简体" w:cs="Times New Roman"/>
          <w:sz w:val="36"/>
          <w:szCs w:val="36"/>
        </w:rPr>
        <w:t>一般公共预算财政拨款支出决算表</w:t>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36"/>
          <w:szCs w:val="36"/>
          <w:lang w:val="en-US" w:eastAsia="zh-CN"/>
        </w:rPr>
        <w:br w:type="textWrapping"/>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单位：元</w:t>
      </w:r>
    </w:p>
    <w:tbl>
      <w:tblPr>
        <w:tblStyle w:val="8"/>
        <w:tblW w:w="14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6"/>
        <w:gridCol w:w="357"/>
        <w:gridCol w:w="486"/>
        <w:gridCol w:w="3695"/>
        <w:gridCol w:w="3839"/>
        <w:gridCol w:w="1761"/>
        <w:gridCol w:w="1761"/>
        <w:gridCol w:w="1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489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w:t>
            </w:r>
          </w:p>
        </w:tc>
        <w:tc>
          <w:tcPr>
            <w:tcW w:w="383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单位名称</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基本支出</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119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支出功能分类科目编码</w:t>
            </w:r>
          </w:p>
        </w:tc>
        <w:tc>
          <w:tcPr>
            <w:tcW w:w="36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383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119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36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栏次</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w:t>
            </w:r>
          </w:p>
        </w:tc>
        <w:tc>
          <w:tcPr>
            <w:tcW w:w="17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jc w:val="center"/>
        </w:trPr>
        <w:tc>
          <w:tcPr>
            <w:tcW w:w="3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类</w:t>
            </w:r>
          </w:p>
        </w:tc>
        <w:tc>
          <w:tcPr>
            <w:tcW w:w="3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款</w:t>
            </w:r>
          </w:p>
        </w:tc>
        <w:tc>
          <w:tcPr>
            <w:tcW w:w="48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w:t>
            </w:r>
          </w:p>
        </w:tc>
        <w:tc>
          <w:tcPr>
            <w:tcW w:w="36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w:t>
            </w:r>
          </w:p>
        </w:tc>
        <w:tc>
          <w:tcPr>
            <w:tcW w:w="17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26,602,679.12</w:t>
            </w:r>
          </w:p>
        </w:tc>
        <w:tc>
          <w:tcPr>
            <w:tcW w:w="17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19,646,513.92</w:t>
            </w:r>
          </w:p>
        </w:tc>
        <w:tc>
          <w:tcPr>
            <w:tcW w:w="17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6,956,165.20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19,923,094.08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6,956,165.20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民主党派及工商联事务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2012899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其他民主党派及工商联事务支出</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中共北京市西城区委统一战线工作部(本级)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3,083,324.82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统战事务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16,839,769.26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2013401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行政运行</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中共北京市西城区委统一战线工作部(本级)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12,966,928.88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2013499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其他统战事务支出</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中共北京市西城区委统一战线工作部(本级)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3,872,840.38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2,305,989.52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行政单位离退休</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中共北京市西城区委统一战线工作部(本级)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机关事业单位基本养老保险缴费支出</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中共北京市西城区委统一战线工作部(本级)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机关事业单位职业年金缴费支出</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中共北京市西城区委统一战线工作部(本级)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行政单位医疗</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中共北京市西城区委统一战线工作部(本级)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2120101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行政运行</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中共北京市西城区委统一战线工作部(本级)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Arial" w:hAnsi="Arial" w:eastAsia="宋体" w:cs="Arial"/>
                <w:b w:val="0"/>
                <w:bCs/>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2,920,173.76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3"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b w:val="0"/>
                <w:bCs/>
                <w:i w:val="0"/>
                <w:color w:val="000000"/>
                <w:sz w:val="21"/>
                <w:szCs w:val="21"/>
                <w:u w:val="none"/>
              </w:rPr>
            </w:pPr>
            <w:r>
              <w:rPr>
                <w:rFonts w:hint="default" w:ascii="Arial" w:hAnsi="Arial" w:eastAsia="宋体" w:cs="Arial"/>
                <w:b w:val="0"/>
                <w:bCs/>
                <w:i w:val="0"/>
                <w:color w:val="000000"/>
                <w:kern w:val="0"/>
                <w:sz w:val="21"/>
                <w:szCs w:val="21"/>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住房公积金</w:t>
            </w:r>
          </w:p>
        </w:tc>
        <w:tc>
          <w:tcPr>
            <w:tcW w:w="38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中共北京市西城区委统一战线工作部(本级)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bl>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七</w:t>
      </w:r>
      <w:r>
        <w:rPr>
          <w:rFonts w:hint="eastAsia" w:ascii="仿宋_GB2312" w:eastAsia="仿宋_GB2312"/>
          <w:sz w:val="28"/>
          <w:szCs w:val="28"/>
          <w:highlight w:val="none"/>
        </w:rPr>
        <w:t>：</w:t>
      </w:r>
    </w:p>
    <w:p>
      <w:pPr>
        <w:jc w:val="center"/>
        <w:rPr>
          <w:rFonts w:hint="eastAsia" w:ascii="方正小标宋简体" w:hAnsi="宋体" w:eastAsia="方正小标宋简体" w:cs="Times New Roman"/>
          <w:sz w:val="21"/>
          <w:szCs w:val="21"/>
          <w:lang w:val="en-US" w:eastAsia="zh-CN"/>
        </w:rPr>
      </w:pPr>
      <w:r>
        <w:rPr>
          <w:rFonts w:hint="eastAsia" w:ascii="方正小标宋简体" w:hAnsi="宋体" w:eastAsia="方正小标宋简体" w:cs="Times New Roman"/>
          <w:sz w:val="36"/>
          <w:szCs w:val="36"/>
        </w:rPr>
        <w:t>一般公共预算财政拨款基本支出决算表</w:t>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36"/>
          <w:szCs w:val="36"/>
          <w:lang w:val="en-US" w:eastAsia="zh-CN"/>
        </w:rPr>
        <w:br w:type="textWrapping"/>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单位：元</w:t>
      </w:r>
    </w:p>
    <w:tbl>
      <w:tblPr>
        <w:tblStyle w:val="8"/>
        <w:tblW w:w="14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11"/>
        <w:gridCol w:w="1706"/>
        <w:gridCol w:w="3007"/>
        <w:gridCol w:w="1706"/>
        <w:gridCol w:w="3242"/>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工资福利支出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18,871,066.52</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商品和服务支出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591,802.40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资本性支出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基本工资</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2,627,705.00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办公费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79,167.00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房屋建筑物购建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津贴补贴</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9,848,875.00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印刷费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办公设备购置</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奖金</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960,500.00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咨询费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专用设备购置</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伙食补助费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手续费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基础设施建设</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绩效工资</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水费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大型修缮</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2"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机关事业单位基本养老保险缴费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1,414,919.68</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电费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信息网络及软件购置更新</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职业年金缴费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707,459.84</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邮电费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775.00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物资储备</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职工基本医疗保险缴费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1,450,421.76</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取暖费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土地补偿</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公务员医疗补助缴费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物业管理费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安置补助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其他社会保障缴费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93,871.48</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差旅费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24,390.29</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地上附着物和青苗补偿</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1,591,109.76</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因公出国（境）费用</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拆迁补偿</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医疗费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维修（护）费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6,830.00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公务用车购置</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其他工资福利支出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176,204.00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租赁费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其他交通工具购置</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对个人和家庭的补助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183,645.00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会议费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文物和陈列品购置</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离休费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培训费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2,915.00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无形资产购置</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退休费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182,610.00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公务接待费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其他资本性支出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退职（役）费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专用材料费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对企业补助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抚恤金</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被装购置费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资本金注入</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生活补助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专用燃料费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政府投资基金股权投资</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救济费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劳务费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费用补贴</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医疗费补助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委托业务费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利息补贴</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助学金</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工会经费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193,346.52</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其他对企业补助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奖励金</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955.00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福利费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145,595.27</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个人农业生产补贴</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公务用车运行维护费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国家赔偿费用支出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2"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代缴社会保险费</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其他交通费用</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对民间非营利组织和群众性自治组织补贴</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其他对个人和家庭的补助</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80.00</w:t>
            </w: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税金及附加费用</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经常性赠与</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其他商品和服务支出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138,783.32</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资本性赠与</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债务利息及费用支出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其他支出</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国内债务付息</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国外债务付息</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国内债务发行费用</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c>
          <w:tcPr>
            <w:tcW w:w="300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 xml:space="preserve">      国外债务发行费用</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b w:val="0"/>
                <w:bCs/>
                <w:i w:val="0"/>
                <w:color w:val="000000"/>
                <w:sz w:val="21"/>
                <w:szCs w:val="21"/>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right"/>
              <w:rPr>
                <w:rFonts w:hint="eastAsia" w:ascii="宋体" w:hAnsi="宋体" w:eastAsia="宋体" w:cs="宋体"/>
                <w:b w:val="0"/>
                <w:bCs/>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3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人员经费合计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19,054,711.52</w:t>
            </w:r>
          </w:p>
        </w:tc>
        <w:tc>
          <w:tcPr>
            <w:tcW w:w="795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公用经费合计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591,802.40</w:t>
            </w:r>
          </w:p>
        </w:tc>
      </w:tr>
    </w:tbl>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八</w:t>
      </w:r>
      <w:r>
        <w:rPr>
          <w:rFonts w:hint="eastAsia" w:ascii="仿宋_GB2312" w:eastAsia="仿宋_GB2312"/>
          <w:sz w:val="28"/>
          <w:szCs w:val="28"/>
          <w:highlight w:val="none"/>
        </w:rPr>
        <w:t>：</w:t>
      </w:r>
    </w:p>
    <w:p>
      <w:pPr>
        <w:jc w:val="center"/>
        <w:rPr>
          <w:rFonts w:hint="eastAsia" w:ascii="方正小标宋简体" w:hAnsi="宋体" w:eastAsia="方正小标宋简体" w:cs="Times New Roman"/>
          <w:sz w:val="21"/>
          <w:szCs w:val="21"/>
          <w:lang w:val="en-US" w:eastAsia="zh-CN"/>
        </w:rPr>
      </w:pPr>
      <w:r>
        <w:rPr>
          <w:rFonts w:hint="eastAsia" w:ascii="方正小标宋简体" w:hAnsi="宋体" w:eastAsia="方正小标宋简体" w:cs="Times New Roman"/>
          <w:sz w:val="36"/>
          <w:szCs w:val="36"/>
        </w:rPr>
        <w:t>政府性基金预算财政拨款收入支出决算表</w:t>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36"/>
          <w:szCs w:val="36"/>
          <w:lang w:val="en-US" w:eastAsia="zh-CN"/>
        </w:rPr>
        <w:br w:type="textWrapping"/>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单位：元</w:t>
      </w:r>
    </w:p>
    <w:p>
      <w:pPr>
        <w:pStyle w:val="4"/>
        <w:rPr>
          <w:rFonts w:hint="eastAsia"/>
        </w:rPr>
      </w:pPr>
    </w:p>
    <w:tbl>
      <w:tblPr>
        <w:tblStyle w:val="8"/>
        <w:tblW w:w="14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1"/>
        <w:gridCol w:w="341"/>
        <w:gridCol w:w="385"/>
        <w:gridCol w:w="1804"/>
        <w:gridCol w:w="1245"/>
        <w:gridCol w:w="1364"/>
        <w:gridCol w:w="1210"/>
        <w:gridCol w:w="1388"/>
        <w:gridCol w:w="1365"/>
        <w:gridCol w:w="1495"/>
        <w:gridCol w:w="1839"/>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jc w:val="center"/>
        </w:trPr>
        <w:tc>
          <w:tcPr>
            <w:tcW w:w="2871"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年初结转和结余</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本年收入</w:t>
            </w:r>
          </w:p>
        </w:tc>
        <w:tc>
          <w:tcPr>
            <w:tcW w:w="396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本年支出</w:t>
            </w:r>
          </w:p>
        </w:tc>
        <w:tc>
          <w:tcPr>
            <w:tcW w:w="517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jc w:val="center"/>
        </w:trPr>
        <w:tc>
          <w:tcPr>
            <w:tcW w:w="106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支出功能分类科目编码</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基本支出</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18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基本支出结转</w:t>
            </w:r>
          </w:p>
        </w:tc>
        <w:tc>
          <w:tcPr>
            <w:tcW w:w="18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jc w:val="center"/>
        </w:trPr>
        <w:tc>
          <w:tcPr>
            <w:tcW w:w="106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栏次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5</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6</w:t>
            </w:r>
          </w:p>
        </w:tc>
        <w:tc>
          <w:tcPr>
            <w:tcW w:w="18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w:t>
            </w:r>
          </w:p>
        </w:tc>
        <w:tc>
          <w:tcPr>
            <w:tcW w:w="18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8" w:hRule="atLeast"/>
          <w:jc w:val="center"/>
        </w:trPr>
        <w:tc>
          <w:tcPr>
            <w:tcW w:w="34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类</w:t>
            </w:r>
          </w:p>
        </w:tc>
        <w:tc>
          <w:tcPr>
            <w:tcW w:w="34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款</w:t>
            </w:r>
          </w:p>
        </w:tc>
        <w:tc>
          <w:tcPr>
            <w:tcW w:w="3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w:t>
            </w:r>
          </w:p>
        </w:tc>
        <w:tc>
          <w:tcPr>
            <w:tcW w:w="18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3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38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4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8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8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bl>
    <w:p>
      <w:pPr>
        <w:rPr>
          <w:rFonts w:hint="eastAsia" w:ascii="仿宋_GB2312" w:hAnsi="宋体" w:eastAsia="仿宋_GB2312" w:cs="Arial"/>
          <w:b w:val="0"/>
          <w:bCs/>
          <w:color w:val="000000"/>
          <w:kern w:val="0"/>
          <w:sz w:val="28"/>
          <w:szCs w:val="28"/>
        </w:rPr>
      </w:pPr>
    </w:p>
    <w:p>
      <w:pPr>
        <w:rPr>
          <w:rFonts w:hint="eastAsia" w:ascii="仿宋_GB2312" w:hAnsi="宋体" w:eastAsia="仿宋_GB2312" w:cs="Arial"/>
          <w:b w:val="0"/>
          <w:bCs/>
          <w:color w:val="000000"/>
          <w:kern w:val="0"/>
          <w:sz w:val="28"/>
          <w:szCs w:val="28"/>
        </w:rPr>
      </w:pPr>
    </w:p>
    <w:p>
      <w:pPr>
        <w:rPr>
          <w:rFonts w:hint="eastAsia" w:ascii="仿宋_GB2312" w:hAnsi="宋体" w:eastAsia="仿宋_GB2312" w:cs="Arial"/>
          <w:b w:val="0"/>
          <w:bCs/>
          <w:color w:val="000000"/>
          <w:kern w:val="0"/>
          <w:sz w:val="28"/>
          <w:szCs w:val="28"/>
        </w:rPr>
      </w:pPr>
    </w:p>
    <w:p>
      <w:pPr>
        <w:rPr>
          <w:rFonts w:hint="eastAsia" w:ascii="仿宋_GB2312" w:hAnsi="宋体" w:eastAsia="仿宋_GB2312" w:cs="Arial"/>
          <w:b w:val="0"/>
          <w:bCs/>
          <w:color w:val="000000"/>
          <w:kern w:val="0"/>
          <w:sz w:val="28"/>
          <w:szCs w:val="28"/>
        </w:rPr>
      </w:pPr>
    </w:p>
    <w:p>
      <w:pPr>
        <w:rPr>
          <w:rFonts w:hint="eastAsia" w:ascii="仿宋_GB2312" w:hAnsi="宋体" w:eastAsia="仿宋_GB2312" w:cs="Arial"/>
          <w:b w:val="0"/>
          <w:bCs/>
          <w:color w:val="000000"/>
          <w:kern w:val="0"/>
          <w:sz w:val="28"/>
          <w:szCs w:val="28"/>
        </w:rPr>
      </w:pPr>
    </w:p>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九</w:t>
      </w:r>
      <w:r>
        <w:rPr>
          <w:rFonts w:hint="eastAsia" w:ascii="仿宋_GB2312" w:eastAsia="仿宋_GB2312"/>
          <w:sz w:val="28"/>
          <w:szCs w:val="28"/>
          <w:highlight w:val="none"/>
        </w:rPr>
        <w:t>：</w:t>
      </w:r>
    </w:p>
    <w:p>
      <w:pPr>
        <w:jc w:val="center"/>
        <w:rPr>
          <w:rFonts w:hint="eastAsia" w:ascii="方正小标宋简体" w:hAnsi="宋体" w:eastAsia="方正小标宋简体" w:cs="Times New Roman"/>
          <w:sz w:val="21"/>
          <w:szCs w:val="21"/>
          <w:lang w:val="en-US" w:eastAsia="zh-CN"/>
        </w:rPr>
      </w:pPr>
      <w:r>
        <w:rPr>
          <w:rFonts w:hint="eastAsia" w:ascii="方正小标宋简体" w:hAnsi="宋体" w:eastAsia="方正小标宋简体" w:cs="Times New Roman"/>
          <w:sz w:val="36"/>
          <w:szCs w:val="36"/>
        </w:rPr>
        <w:t>政府性基金预算财政拨款基本支出决算表</w:t>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36"/>
          <w:szCs w:val="36"/>
          <w:lang w:val="en-US" w:eastAsia="zh-CN"/>
        </w:rPr>
        <w:br w:type="textWrapping"/>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单位：元</w:t>
      </w:r>
    </w:p>
    <w:p>
      <w:pPr>
        <w:rPr>
          <w:rFonts w:hint="eastAsia" w:ascii="仿宋_GB2312" w:hAnsi="宋体" w:eastAsia="仿宋_GB2312" w:cs="Arial"/>
          <w:b w:val="0"/>
          <w:bCs/>
          <w:color w:val="000000"/>
          <w:kern w:val="0"/>
          <w:sz w:val="21"/>
          <w:szCs w:val="21"/>
        </w:rPr>
      </w:pPr>
    </w:p>
    <w:tbl>
      <w:tblPr>
        <w:tblStyle w:val="8"/>
        <w:tblW w:w="14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4203"/>
        <w:gridCol w:w="1093"/>
        <w:gridCol w:w="3123"/>
        <w:gridCol w:w="1696"/>
        <w:gridCol w:w="2967"/>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工资福利支出</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商品和服务支出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资本性支出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基本工资</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办公费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房屋建筑物购建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印刷费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办公设备购置</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奖金</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咨询费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专用设备购置</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伙食补助费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手续费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基础设施建设</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绩效工资</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水费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大型修缮</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82"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机关事业单位基本养老保险缴费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电费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信息网络及软件购置更新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职业年金缴费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邮电费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物资储备</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职工基本医疗保险缴费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取暖费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土地补偿</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公务员医疗补助缴费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物业管理费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安置补助</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其他社会保障缴费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差旅费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地上附着物和青苗补偿</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因公出国（境）费用</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拆迁补偿</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医疗费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维修（护）费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公务用车购置</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其他工资福利支出</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租赁费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其他交通工具购置</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会议费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文物和陈列品购置</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离休费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培训费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无形资产购置</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退休费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公务接待费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其他资本性支出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退职（役）费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专用材料费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对企业补助</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抚恤金</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被装购置费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资本金注入</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生活补助</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专用燃料费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政府投资基金股权投资</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救济费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劳务费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费用补贴</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医疗费补助</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委托业务费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利息补贴</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助学金</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工会经费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其他对企业补助</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奖励金</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福利费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个人农业生产补贴</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公务用车运行维护费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国家赔偿费用支出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82"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代缴社会保险费</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其他交通费用</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对民间非营利组织和群众性自治组织补贴</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其他对个人和家庭的补助</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税金及附加费用</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经常性赠与</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其他商品和服务支出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资本性赠与</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债务利息及费用支出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其他支出</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国内债务付息</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国外债务付息</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国内债务发行费用</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6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国外债务发行费用</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29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74" w:hRule="atLeast"/>
          <w:jc w:val="center"/>
        </w:trPr>
        <w:tc>
          <w:tcPr>
            <w:tcW w:w="420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人员经费合计</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778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公用经费合计</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bl>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十</w:t>
      </w:r>
      <w:r>
        <w:rPr>
          <w:rFonts w:hint="eastAsia" w:ascii="仿宋_GB2312" w:eastAsia="仿宋_GB2312"/>
          <w:sz w:val="28"/>
          <w:szCs w:val="28"/>
          <w:highlight w:val="none"/>
        </w:rPr>
        <w:t>：</w:t>
      </w:r>
    </w:p>
    <w:p>
      <w:pPr>
        <w:jc w:val="center"/>
        <w:rPr>
          <w:rFonts w:hint="eastAsia" w:ascii="方正小标宋简体" w:hAnsi="宋体" w:eastAsia="方正小标宋简体" w:cs="Times New Roman"/>
          <w:sz w:val="21"/>
          <w:szCs w:val="21"/>
          <w:lang w:val="en-US" w:eastAsia="zh-CN"/>
        </w:rPr>
      </w:pPr>
      <w:r>
        <w:rPr>
          <w:rFonts w:hint="eastAsia" w:ascii="方正小标宋简体" w:hAnsi="宋体" w:eastAsia="方正小标宋简体" w:cs="Times New Roman"/>
          <w:sz w:val="36"/>
          <w:szCs w:val="36"/>
        </w:rPr>
        <w:t>国有资本经营预算财政拨款支出决算表</w:t>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36"/>
          <w:szCs w:val="36"/>
          <w:lang w:val="en-US" w:eastAsia="zh-CN"/>
        </w:rPr>
        <w:br w:type="textWrapping"/>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单位：元</w:t>
      </w:r>
    </w:p>
    <w:p>
      <w:pPr>
        <w:rPr>
          <w:rFonts w:hint="eastAsia" w:ascii="仿宋_GB2312" w:hAnsi="宋体" w:eastAsia="仿宋_GB2312" w:cs="Arial"/>
          <w:b w:val="0"/>
          <w:bCs/>
          <w:color w:val="000000"/>
          <w:kern w:val="0"/>
          <w:sz w:val="28"/>
          <w:szCs w:val="28"/>
        </w:rPr>
      </w:pPr>
    </w:p>
    <w:p>
      <w:pPr>
        <w:rPr>
          <w:rFonts w:hint="eastAsia" w:ascii="仿宋_GB2312" w:hAnsi="宋体" w:eastAsia="仿宋_GB2312" w:cs="Arial"/>
          <w:bCs/>
          <w:color w:val="000000"/>
          <w:kern w:val="0"/>
          <w:sz w:val="28"/>
          <w:szCs w:val="28"/>
        </w:rPr>
      </w:pPr>
    </w:p>
    <w:tbl>
      <w:tblPr>
        <w:tblStyle w:val="8"/>
        <w:tblW w:w="13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490"/>
        <w:gridCol w:w="491"/>
        <w:gridCol w:w="494"/>
        <w:gridCol w:w="5070"/>
        <w:gridCol w:w="2417"/>
        <w:gridCol w:w="2417"/>
        <w:gridCol w:w="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51" w:hRule="atLeast"/>
        </w:trPr>
        <w:tc>
          <w:tcPr>
            <w:tcW w:w="654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w:t>
            </w:r>
          </w:p>
        </w:tc>
        <w:tc>
          <w:tcPr>
            <w:tcW w:w="725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51" w:hRule="atLeast"/>
        </w:trPr>
        <w:tc>
          <w:tcPr>
            <w:tcW w:w="14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支出功能分类科目编码</w:t>
            </w:r>
          </w:p>
        </w:tc>
        <w:tc>
          <w:tcPr>
            <w:tcW w:w="50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科目名称</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基本支出</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51" w:hRule="atLeast"/>
        </w:trPr>
        <w:tc>
          <w:tcPr>
            <w:tcW w:w="14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50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栏次</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81"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类</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款</w:t>
            </w:r>
          </w:p>
        </w:tc>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项</w:t>
            </w:r>
          </w:p>
        </w:tc>
        <w:tc>
          <w:tcPr>
            <w:tcW w:w="50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241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bl>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十一</w:t>
      </w:r>
      <w:r>
        <w:rPr>
          <w:rFonts w:hint="eastAsia" w:ascii="仿宋_GB2312" w:eastAsia="仿宋_GB2312"/>
          <w:sz w:val="28"/>
          <w:szCs w:val="28"/>
          <w:highlight w:val="none"/>
        </w:rPr>
        <w:t>：</w:t>
      </w:r>
    </w:p>
    <w:p>
      <w:pPr>
        <w:jc w:val="center"/>
        <w:rPr>
          <w:rFonts w:hint="eastAsia" w:ascii="方正小标宋简体" w:hAnsi="宋体" w:eastAsia="方正小标宋简体" w:cs="Times New Roman"/>
          <w:sz w:val="21"/>
          <w:szCs w:val="21"/>
          <w:lang w:val="en-US" w:eastAsia="zh-CN"/>
        </w:rPr>
      </w:pPr>
      <w:r>
        <w:rPr>
          <w:rFonts w:hint="eastAsia" w:ascii="方正小标宋简体" w:hAnsi="宋体" w:eastAsia="方正小标宋简体" w:cs="Times New Roman"/>
          <w:sz w:val="36"/>
          <w:szCs w:val="36"/>
        </w:rPr>
        <w:t>财政拨款“三公”经费支出决算表</w:t>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36"/>
          <w:szCs w:val="36"/>
          <w:lang w:val="en-US" w:eastAsia="zh-CN"/>
        </w:rPr>
        <w:br w:type="textWrapping"/>
      </w:r>
      <w:r>
        <w:rPr>
          <w:rFonts w:hint="eastAsia" w:ascii="方正小标宋简体" w:hAnsi="宋体" w:eastAsia="方正小标宋简体" w:cs="Times New Roman"/>
          <w:sz w:val="36"/>
          <w:szCs w:val="36"/>
          <w:lang w:val="en-US" w:eastAsia="zh-CN"/>
        </w:rPr>
        <w:t xml:space="preserve">                                                                 </w:t>
      </w:r>
      <w:r>
        <w:rPr>
          <w:rFonts w:hint="eastAsia" w:ascii="方正小标宋简体" w:hAnsi="宋体" w:eastAsia="方正小标宋简体" w:cs="Times New Roman"/>
          <w:sz w:val="21"/>
          <w:szCs w:val="21"/>
          <w:lang w:val="en-US" w:eastAsia="zh-CN"/>
        </w:rPr>
        <w:t>单位：元</w:t>
      </w:r>
    </w:p>
    <w:tbl>
      <w:tblPr>
        <w:tblStyle w:val="8"/>
        <w:tblpPr w:leftFromText="180" w:rightFromText="180" w:vertAnchor="text" w:horzAnchor="page" w:tblpX="1418" w:tblpY="623"/>
        <w:tblOverlap w:val="never"/>
        <w:tblW w:w="14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56"/>
        <w:gridCol w:w="1371"/>
        <w:gridCol w:w="1150"/>
        <w:gridCol w:w="1223"/>
        <w:gridCol w:w="1272"/>
        <w:gridCol w:w="1211"/>
        <w:gridCol w:w="1235"/>
        <w:gridCol w:w="1544"/>
        <w:gridCol w:w="1544"/>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7" w:hRule="atLeast"/>
        </w:trPr>
        <w:tc>
          <w:tcPr>
            <w:tcW w:w="215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“三公”经费财政拨款合计</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因公出国（境）费用</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公务接待费</w:t>
            </w:r>
          </w:p>
        </w:tc>
        <w:tc>
          <w:tcPr>
            <w:tcW w:w="835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7" w:hRule="atLeast"/>
        </w:trPr>
        <w:tc>
          <w:tcPr>
            <w:tcW w:w="215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公务用车购置费</w:t>
            </w:r>
          </w:p>
        </w:tc>
        <w:tc>
          <w:tcPr>
            <w:tcW w:w="7086"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2" w:hRule="atLeast"/>
        </w:trPr>
        <w:tc>
          <w:tcPr>
            <w:tcW w:w="215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小计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公务用车加油</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公务用车维修</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公务用车保险</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7"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2023年预算</w:t>
            </w:r>
          </w:p>
        </w:tc>
        <w:tc>
          <w:tcPr>
            <w:tcW w:w="13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7357.43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7357.43</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4"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2023年决算</w:t>
            </w:r>
          </w:p>
        </w:tc>
        <w:tc>
          <w:tcPr>
            <w:tcW w:w="13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2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2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54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c>
          <w:tcPr>
            <w:tcW w:w="155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bl>
    <w:p>
      <w:pPr>
        <w:rPr>
          <w:rFonts w:hint="eastAsia" w:ascii="仿宋_GB2312" w:hAnsi="宋体" w:eastAsia="仿宋_GB2312" w:cs="Arial"/>
          <w:bCs/>
          <w:color w:val="000000"/>
          <w:kern w:val="0"/>
          <w:sz w:val="21"/>
          <w:szCs w:val="21"/>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p>
    <w:p>
      <w:pPr>
        <w:snapToGrid w:val="0"/>
        <w:spacing w:line="560" w:lineRule="atLeast"/>
        <w:rPr>
          <w:rFonts w:hint="eastAsia" w:ascii="仿宋_GB2312" w:eastAsia="仿宋_GB2312"/>
          <w:color w:val="FF0000"/>
          <w:sz w:val="32"/>
          <w:szCs w:val="32"/>
          <w:highlight w:val="none"/>
          <w:lang w:val="en-US" w:eastAsia="zh-CN"/>
        </w:rPr>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eastAsia="仿宋_GB2312"/>
          <w:sz w:val="32"/>
          <w:szCs w:val="32"/>
          <w:highlight w:val="none"/>
          <w:lang w:val="en-US" w:eastAsia="zh-CN"/>
        </w:rPr>
        <w:t xml:space="preserve">                                                      </w:t>
      </w:r>
    </w:p>
    <w:p>
      <w:pPr>
        <w:rPr>
          <w:rFonts w:hint="eastAsia" w:ascii="仿宋_GB2312" w:hAnsi="宋体" w:eastAsia="仿宋_GB2312" w:cs="Arial"/>
          <w:bCs/>
          <w:color w:val="000000"/>
          <w:kern w:val="0"/>
          <w:sz w:val="28"/>
          <w:szCs w:val="28"/>
        </w:rPr>
      </w:pPr>
    </w:p>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十二</w:t>
      </w:r>
      <w:r>
        <w:rPr>
          <w:rFonts w:hint="eastAsia" w:ascii="仿宋_GB2312" w:eastAsia="仿宋_GB2312"/>
          <w:sz w:val="28"/>
          <w:szCs w:val="28"/>
          <w:highlight w:val="none"/>
        </w:rPr>
        <w:t>：</w:t>
      </w:r>
    </w:p>
    <w:p>
      <w:pPr>
        <w:jc w:val="center"/>
        <w:rPr>
          <w:rFonts w:hint="eastAsia" w:ascii="方正小标宋简体" w:hAnsi="宋体" w:eastAsia="方正小标宋简体" w:cs="Times New Roman"/>
          <w:sz w:val="21"/>
          <w:szCs w:val="21"/>
          <w:lang w:val="en-US" w:eastAsia="zh-CN"/>
        </w:rPr>
      </w:pPr>
      <w:r>
        <w:rPr>
          <w:rFonts w:hint="eastAsia" w:ascii="方正小标宋简体" w:hAnsi="宋体" w:eastAsia="方正小标宋简体" w:cs="Times New Roman"/>
          <w:sz w:val="36"/>
          <w:szCs w:val="36"/>
        </w:rPr>
        <w:t>政府采购情况表</w:t>
      </w:r>
      <w:r>
        <w:rPr>
          <w:rFonts w:hint="eastAsia" w:ascii="方正小标宋简体" w:hAnsi="宋体" w:eastAsia="方正小标宋简体" w:cs="Times New Roman"/>
          <w:sz w:val="36"/>
          <w:szCs w:val="36"/>
          <w:lang w:val="en-US" w:eastAsia="zh-CN"/>
        </w:rPr>
        <w:t xml:space="preserve">                                                                                  </w:t>
      </w:r>
    </w:p>
    <w:p>
      <w:pPr>
        <w:ind w:right="700"/>
        <w:jc w:val="right"/>
        <w:rPr>
          <w:rFonts w:hint="eastAsia" w:ascii="宋体" w:hAnsi="宋体" w:cs="宋体"/>
          <w:sz w:val="28"/>
          <w:szCs w:val="28"/>
        </w:rPr>
      </w:pPr>
      <w:r>
        <w:rPr>
          <w:rFonts w:hint="eastAsia" w:ascii="宋体" w:hAnsi="宋体"/>
          <w:sz w:val="28"/>
          <w:szCs w:val="28"/>
        </w:rPr>
        <w:t xml:space="preserve">                                         </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ascii="方正小标宋简体" w:hAnsi="宋体" w:eastAsia="方正小标宋简体" w:cs="Times New Roman"/>
          <w:sz w:val="21"/>
          <w:szCs w:val="21"/>
          <w:lang w:val="en-US" w:eastAsia="zh-CN"/>
        </w:rPr>
        <w:t>单位：元</w:t>
      </w:r>
    </w:p>
    <w:tbl>
      <w:tblPr>
        <w:tblStyle w:val="8"/>
        <w:tblpPr w:leftFromText="180" w:rightFromText="180" w:vertAnchor="text" w:horzAnchor="page" w:tblpX="1652" w:tblpY="383"/>
        <w:tblOverlap w:val="never"/>
        <w:tblW w:w="8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5955"/>
        <w:gridCol w:w="2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161" w:hRule="atLeast"/>
        </w:trPr>
        <w:tc>
          <w:tcPr>
            <w:tcW w:w="5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27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161" w:hRule="atLeast"/>
        </w:trPr>
        <w:tc>
          <w:tcPr>
            <w:tcW w:w="5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政府采购支出信息</w:t>
            </w:r>
          </w:p>
        </w:tc>
        <w:tc>
          <w:tcPr>
            <w:tcW w:w="27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161" w:hRule="atLeast"/>
        </w:trPr>
        <w:tc>
          <w:tcPr>
            <w:tcW w:w="5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（一）政府采购支出合计</w:t>
            </w:r>
          </w:p>
        </w:tc>
        <w:tc>
          <w:tcPr>
            <w:tcW w:w="27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501,646.80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161" w:hRule="atLeast"/>
        </w:trPr>
        <w:tc>
          <w:tcPr>
            <w:tcW w:w="5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1．政府采购货物支出</w:t>
            </w:r>
          </w:p>
        </w:tc>
        <w:tc>
          <w:tcPr>
            <w:tcW w:w="27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161" w:hRule="atLeast"/>
        </w:trPr>
        <w:tc>
          <w:tcPr>
            <w:tcW w:w="5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2．政府采购工程支出</w:t>
            </w:r>
          </w:p>
        </w:tc>
        <w:tc>
          <w:tcPr>
            <w:tcW w:w="27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161" w:hRule="atLeast"/>
        </w:trPr>
        <w:tc>
          <w:tcPr>
            <w:tcW w:w="5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3．政府采购服务支出</w:t>
            </w:r>
          </w:p>
        </w:tc>
        <w:tc>
          <w:tcPr>
            <w:tcW w:w="27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486,746.80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161" w:hRule="atLeast"/>
        </w:trPr>
        <w:tc>
          <w:tcPr>
            <w:tcW w:w="5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（二）政府采购授予中小企业合同金额</w:t>
            </w:r>
          </w:p>
        </w:tc>
        <w:tc>
          <w:tcPr>
            <w:tcW w:w="27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501,646.80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190" w:hRule="atLeast"/>
        </w:trPr>
        <w:tc>
          <w:tcPr>
            <w:tcW w:w="5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其中：授予小微企业合同金额</w:t>
            </w:r>
          </w:p>
        </w:tc>
        <w:tc>
          <w:tcPr>
            <w:tcW w:w="278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443,976.80</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 w:val="0"/>
          <w:bCs/>
          <w:color w:val="000000"/>
          <w:kern w:val="0"/>
          <w:sz w:val="28"/>
          <w:szCs w:val="28"/>
          <w:lang w:val="en-US" w:eastAsia="zh-CN"/>
        </w:rPr>
      </w:pPr>
      <w:r>
        <w:rPr>
          <w:rFonts w:hint="eastAsia" w:ascii="仿宋_GB2312" w:eastAsia="仿宋_GB2312"/>
          <w:sz w:val="28"/>
          <w:szCs w:val="28"/>
          <w:highlight w:val="none"/>
        </w:rPr>
        <w:t>表</w:t>
      </w:r>
      <w:r>
        <w:rPr>
          <w:rFonts w:hint="eastAsia" w:ascii="仿宋_GB2312" w:eastAsia="仿宋_GB2312"/>
          <w:sz w:val="28"/>
          <w:szCs w:val="28"/>
          <w:highlight w:val="none"/>
          <w:lang w:eastAsia="zh-CN"/>
        </w:rPr>
        <w:t>十三</w:t>
      </w:r>
      <w:r>
        <w:rPr>
          <w:rFonts w:hint="eastAsia" w:ascii="仿宋_GB2312" w:eastAsia="仿宋_GB2312"/>
          <w:sz w:val="28"/>
          <w:szCs w:val="28"/>
          <w:highlight w:val="none"/>
        </w:rPr>
        <w:t>：</w:t>
      </w:r>
    </w:p>
    <w:p>
      <w:pPr>
        <w:jc w:val="center"/>
        <w:rPr>
          <w:rFonts w:hint="eastAsia" w:ascii="方正小标宋简体" w:hAnsi="宋体" w:eastAsia="方正小标宋简体" w:cs="Times New Roman"/>
          <w:sz w:val="21"/>
          <w:szCs w:val="21"/>
          <w:lang w:val="en-US" w:eastAsia="zh-CN"/>
        </w:rPr>
      </w:pPr>
      <w:r>
        <w:rPr>
          <w:rFonts w:hint="eastAsia" w:ascii="方正小标宋简体" w:hAnsi="宋体" w:eastAsia="方正小标宋简体" w:cs="Times New Roman"/>
          <w:sz w:val="36"/>
          <w:szCs w:val="36"/>
        </w:rPr>
        <w:t>政府购买服务决算公开情况表</w:t>
      </w:r>
      <w:r>
        <w:rPr>
          <w:rFonts w:hint="eastAsia" w:ascii="方正小标宋简体" w:hAnsi="宋体" w:eastAsia="方正小标宋简体" w:cs="Times New Roman"/>
          <w:sz w:val="36"/>
          <w:szCs w:val="36"/>
          <w:lang w:val="en-US" w:eastAsia="zh-CN"/>
        </w:rPr>
        <w:t xml:space="preserve">                                                                                </w:t>
      </w:r>
    </w:p>
    <w:p>
      <w:pPr>
        <w:ind w:right="700"/>
        <w:jc w:val="right"/>
        <w:rPr>
          <w:rFonts w:hint="eastAsia" w:ascii="方正小标宋简体" w:hAnsi="宋体" w:eastAsia="方正小标宋简体" w:cs="Times New Roman"/>
          <w:sz w:val="21"/>
          <w:szCs w:val="21"/>
          <w:lang w:val="en-US" w:eastAsia="zh-CN"/>
        </w:rPr>
      </w:pPr>
      <w:r>
        <w:rPr>
          <w:rFonts w:hint="eastAsia" w:ascii="宋体" w:hAnsi="宋体"/>
          <w:sz w:val="28"/>
          <w:szCs w:val="28"/>
        </w:rPr>
        <w:t xml:space="preserve">                                         </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ascii="方正小标宋简体" w:hAnsi="宋体" w:eastAsia="方正小标宋简体" w:cs="Times New Roman"/>
          <w:sz w:val="21"/>
          <w:szCs w:val="21"/>
          <w:lang w:val="en-US" w:eastAsia="zh-CN"/>
        </w:rPr>
        <w:t>单位：元</w:t>
      </w:r>
    </w:p>
    <w:tbl>
      <w:tblPr>
        <w:tblStyle w:val="8"/>
        <w:tblW w:w="8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09"/>
        <w:gridCol w:w="4489"/>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8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一级目录</w:t>
            </w: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二级目录</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29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    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公共服务</w:t>
            </w: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小计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公共安全服务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教育公共服务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就业公共服务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社会保障服务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卫生健康公共服务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生态保护和环境治理服务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科技公共服务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文化公共服务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体育公共服务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社会治理服务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城乡维护服务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农业、林业和水利公共服务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交通运输公共服务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灾害防治及应急管理服务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公共信息与宣传服务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行业管理服务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技术性公共服务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其他公共服务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政府履职辅助性服务</w:t>
            </w: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小   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法律服务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课题研究和社会调查服务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会计审计服务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会议服务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监督检查辅助服务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工程服务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评审、评估和评价服务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咨询服务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机关工作人员培训服务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信息化服务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后勤服务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b w:val="0"/>
                <w:bCs/>
                <w:i w:val="0"/>
                <w:color w:val="000000"/>
                <w:sz w:val="21"/>
                <w:szCs w:val="21"/>
                <w:u w:val="none"/>
              </w:rPr>
            </w:pPr>
          </w:p>
        </w:tc>
        <w:tc>
          <w:tcPr>
            <w:tcW w:w="44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其他辅助性服务</w:t>
            </w:r>
          </w:p>
        </w:tc>
        <w:tc>
          <w:tcPr>
            <w:tcW w:w="150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0.00</w:t>
            </w:r>
          </w:p>
        </w:tc>
      </w:tr>
    </w:tbl>
    <w:p>
      <w:pPr>
        <w:snapToGrid w:val="0"/>
        <w:spacing w:line="240" w:lineRule="auto"/>
        <w:rPr>
          <w:rFonts w:hint="default" w:ascii="仿宋_GB2312" w:eastAsia="仿宋_GB2312"/>
          <w:sz w:val="32"/>
          <w:szCs w:val="32"/>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E910D"/>
    <w:multiLevelType w:val="singleLevel"/>
    <w:tmpl w:val="AE7E910D"/>
    <w:lvl w:ilvl="0" w:tentative="0">
      <w:start w:val="3"/>
      <w:numFmt w:val="decimal"/>
      <w:suff w:val="nothing"/>
      <w:lvlText w:val="（%1）"/>
      <w:lvlJc w:val="left"/>
    </w:lvl>
  </w:abstractNum>
  <w:abstractNum w:abstractNumId="1">
    <w:nsid w:val="C424E6DC"/>
    <w:multiLevelType w:val="singleLevel"/>
    <w:tmpl w:val="C424E6DC"/>
    <w:lvl w:ilvl="0" w:tentative="0">
      <w:start w:val="1"/>
      <w:numFmt w:val="chineseCounting"/>
      <w:suff w:val="nothing"/>
      <w:lvlText w:val="%1、"/>
      <w:lvlJc w:val="left"/>
      <w:rPr>
        <w:rFonts w:hint="eastAsia"/>
      </w:rPr>
    </w:lvl>
  </w:abstractNum>
  <w:abstractNum w:abstractNumId="2">
    <w:nsid w:val="7C54BE01"/>
    <w:multiLevelType w:val="singleLevel"/>
    <w:tmpl w:val="7C54BE01"/>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D6985"/>
    <w:rsid w:val="00102BBB"/>
    <w:rsid w:val="0024221E"/>
    <w:rsid w:val="002E64A6"/>
    <w:rsid w:val="00533CFD"/>
    <w:rsid w:val="00635CAF"/>
    <w:rsid w:val="00981774"/>
    <w:rsid w:val="0098354A"/>
    <w:rsid w:val="00B15849"/>
    <w:rsid w:val="00B4612F"/>
    <w:rsid w:val="00E90219"/>
    <w:rsid w:val="01013D52"/>
    <w:rsid w:val="011549AA"/>
    <w:rsid w:val="011820E1"/>
    <w:rsid w:val="013A1929"/>
    <w:rsid w:val="0166353F"/>
    <w:rsid w:val="01701A11"/>
    <w:rsid w:val="018421BE"/>
    <w:rsid w:val="018A7A1F"/>
    <w:rsid w:val="01AC3D3B"/>
    <w:rsid w:val="01AC4CBB"/>
    <w:rsid w:val="01B62195"/>
    <w:rsid w:val="01B87CD7"/>
    <w:rsid w:val="01D01E1E"/>
    <w:rsid w:val="01D66C28"/>
    <w:rsid w:val="02085874"/>
    <w:rsid w:val="02126ABD"/>
    <w:rsid w:val="021675A6"/>
    <w:rsid w:val="02295290"/>
    <w:rsid w:val="023640B6"/>
    <w:rsid w:val="023A4405"/>
    <w:rsid w:val="023A6B0A"/>
    <w:rsid w:val="023F7B18"/>
    <w:rsid w:val="02496A14"/>
    <w:rsid w:val="0294332F"/>
    <w:rsid w:val="029E4342"/>
    <w:rsid w:val="029F56E3"/>
    <w:rsid w:val="02CA1A2A"/>
    <w:rsid w:val="02CB4245"/>
    <w:rsid w:val="02CC01ED"/>
    <w:rsid w:val="02CF088C"/>
    <w:rsid w:val="02D263E7"/>
    <w:rsid w:val="02D660C5"/>
    <w:rsid w:val="02DE5818"/>
    <w:rsid w:val="02E20429"/>
    <w:rsid w:val="030B15F0"/>
    <w:rsid w:val="030C624F"/>
    <w:rsid w:val="032748EE"/>
    <w:rsid w:val="03396423"/>
    <w:rsid w:val="036B3CE2"/>
    <w:rsid w:val="037610DA"/>
    <w:rsid w:val="03894700"/>
    <w:rsid w:val="03AB5580"/>
    <w:rsid w:val="03AE05AD"/>
    <w:rsid w:val="03B62673"/>
    <w:rsid w:val="03BF23D3"/>
    <w:rsid w:val="03CC2D44"/>
    <w:rsid w:val="03E33886"/>
    <w:rsid w:val="03E4503C"/>
    <w:rsid w:val="03FA5555"/>
    <w:rsid w:val="03FE78CC"/>
    <w:rsid w:val="04094712"/>
    <w:rsid w:val="04134F5C"/>
    <w:rsid w:val="04165E3A"/>
    <w:rsid w:val="04181785"/>
    <w:rsid w:val="041E2D66"/>
    <w:rsid w:val="041E5476"/>
    <w:rsid w:val="043B7BF4"/>
    <w:rsid w:val="045E2140"/>
    <w:rsid w:val="04902042"/>
    <w:rsid w:val="04B02AEE"/>
    <w:rsid w:val="04BE71A4"/>
    <w:rsid w:val="04C83499"/>
    <w:rsid w:val="04D532DC"/>
    <w:rsid w:val="04DA5D20"/>
    <w:rsid w:val="04FE4F2A"/>
    <w:rsid w:val="05061179"/>
    <w:rsid w:val="05161663"/>
    <w:rsid w:val="051F6F23"/>
    <w:rsid w:val="053308DF"/>
    <w:rsid w:val="05390D13"/>
    <w:rsid w:val="05453C99"/>
    <w:rsid w:val="05491772"/>
    <w:rsid w:val="0555758F"/>
    <w:rsid w:val="055D6285"/>
    <w:rsid w:val="05767108"/>
    <w:rsid w:val="057A3616"/>
    <w:rsid w:val="05831F34"/>
    <w:rsid w:val="058A6CED"/>
    <w:rsid w:val="05A40E1F"/>
    <w:rsid w:val="05AB5D47"/>
    <w:rsid w:val="05BB2A7B"/>
    <w:rsid w:val="05C851C0"/>
    <w:rsid w:val="05D4083C"/>
    <w:rsid w:val="05D66CA9"/>
    <w:rsid w:val="05DC7CCF"/>
    <w:rsid w:val="05E6551D"/>
    <w:rsid w:val="05F953FC"/>
    <w:rsid w:val="05FB4083"/>
    <w:rsid w:val="060C6B78"/>
    <w:rsid w:val="06217E09"/>
    <w:rsid w:val="062B1943"/>
    <w:rsid w:val="062C4EB2"/>
    <w:rsid w:val="064462BD"/>
    <w:rsid w:val="064C40E9"/>
    <w:rsid w:val="06713F45"/>
    <w:rsid w:val="067B281A"/>
    <w:rsid w:val="068501D3"/>
    <w:rsid w:val="0687623D"/>
    <w:rsid w:val="06936F64"/>
    <w:rsid w:val="06AF1B06"/>
    <w:rsid w:val="06BA7A6D"/>
    <w:rsid w:val="06BB42F3"/>
    <w:rsid w:val="06D35F1F"/>
    <w:rsid w:val="06D852E9"/>
    <w:rsid w:val="06E16B3F"/>
    <w:rsid w:val="06EA0C38"/>
    <w:rsid w:val="06F40332"/>
    <w:rsid w:val="070367EA"/>
    <w:rsid w:val="0716033B"/>
    <w:rsid w:val="072456E9"/>
    <w:rsid w:val="073651A9"/>
    <w:rsid w:val="073943EC"/>
    <w:rsid w:val="07643D79"/>
    <w:rsid w:val="07743AEC"/>
    <w:rsid w:val="07775D29"/>
    <w:rsid w:val="077B25A2"/>
    <w:rsid w:val="077D6217"/>
    <w:rsid w:val="07A50FFE"/>
    <w:rsid w:val="07A83D5C"/>
    <w:rsid w:val="07AD5867"/>
    <w:rsid w:val="07B71C1C"/>
    <w:rsid w:val="07FA3BFB"/>
    <w:rsid w:val="080C06C7"/>
    <w:rsid w:val="0816476C"/>
    <w:rsid w:val="081D4589"/>
    <w:rsid w:val="081F3E01"/>
    <w:rsid w:val="08212ADC"/>
    <w:rsid w:val="087D0CA0"/>
    <w:rsid w:val="089F2FB7"/>
    <w:rsid w:val="08B07357"/>
    <w:rsid w:val="08BE78F8"/>
    <w:rsid w:val="08C11EF4"/>
    <w:rsid w:val="08C3698F"/>
    <w:rsid w:val="09047D4B"/>
    <w:rsid w:val="09214875"/>
    <w:rsid w:val="09524ADC"/>
    <w:rsid w:val="09701D9B"/>
    <w:rsid w:val="09797446"/>
    <w:rsid w:val="09811F14"/>
    <w:rsid w:val="09864614"/>
    <w:rsid w:val="09910058"/>
    <w:rsid w:val="09A04B28"/>
    <w:rsid w:val="09D81D40"/>
    <w:rsid w:val="09DC2F07"/>
    <w:rsid w:val="0A1032C4"/>
    <w:rsid w:val="0A224060"/>
    <w:rsid w:val="0A2E136F"/>
    <w:rsid w:val="0A377376"/>
    <w:rsid w:val="0A3D7652"/>
    <w:rsid w:val="0A515EE3"/>
    <w:rsid w:val="0A700FA6"/>
    <w:rsid w:val="0A7146CA"/>
    <w:rsid w:val="0A715B59"/>
    <w:rsid w:val="0A7B6B52"/>
    <w:rsid w:val="0AB12060"/>
    <w:rsid w:val="0AB704C4"/>
    <w:rsid w:val="0AD52FF4"/>
    <w:rsid w:val="0AF715E7"/>
    <w:rsid w:val="0AFF7C0F"/>
    <w:rsid w:val="0B0813B5"/>
    <w:rsid w:val="0B217EEB"/>
    <w:rsid w:val="0B2912C9"/>
    <w:rsid w:val="0B371EF3"/>
    <w:rsid w:val="0B730FCE"/>
    <w:rsid w:val="0B74581A"/>
    <w:rsid w:val="0B823E85"/>
    <w:rsid w:val="0B872FB2"/>
    <w:rsid w:val="0B8C3A90"/>
    <w:rsid w:val="0BAF0B22"/>
    <w:rsid w:val="0BB50BB3"/>
    <w:rsid w:val="0BCE65E8"/>
    <w:rsid w:val="0BDD74F6"/>
    <w:rsid w:val="0BE06709"/>
    <w:rsid w:val="0BE91D18"/>
    <w:rsid w:val="0BEB53B9"/>
    <w:rsid w:val="0C0651AD"/>
    <w:rsid w:val="0C075514"/>
    <w:rsid w:val="0C0E7F0B"/>
    <w:rsid w:val="0C351DE2"/>
    <w:rsid w:val="0C3D187E"/>
    <w:rsid w:val="0C4C2DEE"/>
    <w:rsid w:val="0C4E4888"/>
    <w:rsid w:val="0C5D090E"/>
    <w:rsid w:val="0C6B264B"/>
    <w:rsid w:val="0C6C5D2F"/>
    <w:rsid w:val="0C853B09"/>
    <w:rsid w:val="0C935C53"/>
    <w:rsid w:val="0C984D03"/>
    <w:rsid w:val="0C996405"/>
    <w:rsid w:val="0C9E30E9"/>
    <w:rsid w:val="0CA97FBD"/>
    <w:rsid w:val="0CB95CA4"/>
    <w:rsid w:val="0CC47FF6"/>
    <w:rsid w:val="0CCA054B"/>
    <w:rsid w:val="0CDD4DBC"/>
    <w:rsid w:val="0CFE3D9D"/>
    <w:rsid w:val="0D040EF6"/>
    <w:rsid w:val="0D0E78C7"/>
    <w:rsid w:val="0D1533EF"/>
    <w:rsid w:val="0D2C23C4"/>
    <w:rsid w:val="0D3B6199"/>
    <w:rsid w:val="0D445F3E"/>
    <w:rsid w:val="0D674A59"/>
    <w:rsid w:val="0D6A383F"/>
    <w:rsid w:val="0D760AAF"/>
    <w:rsid w:val="0D7D1467"/>
    <w:rsid w:val="0D865FB4"/>
    <w:rsid w:val="0DC74545"/>
    <w:rsid w:val="0DCB0795"/>
    <w:rsid w:val="0DCC6627"/>
    <w:rsid w:val="0DD16EA7"/>
    <w:rsid w:val="0DDC4DBD"/>
    <w:rsid w:val="0E0A6ED3"/>
    <w:rsid w:val="0E156F7F"/>
    <w:rsid w:val="0E195063"/>
    <w:rsid w:val="0E23507C"/>
    <w:rsid w:val="0E313FD5"/>
    <w:rsid w:val="0E314AFD"/>
    <w:rsid w:val="0E355C59"/>
    <w:rsid w:val="0E40021A"/>
    <w:rsid w:val="0E55106E"/>
    <w:rsid w:val="0E5A08F2"/>
    <w:rsid w:val="0E6B7EA8"/>
    <w:rsid w:val="0EC20A46"/>
    <w:rsid w:val="0ECF20D2"/>
    <w:rsid w:val="0EF52018"/>
    <w:rsid w:val="0EFB3A8F"/>
    <w:rsid w:val="0F0854BD"/>
    <w:rsid w:val="0F0978AB"/>
    <w:rsid w:val="0F1475A2"/>
    <w:rsid w:val="0F2F1EB4"/>
    <w:rsid w:val="0F4367DE"/>
    <w:rsid w:val="0F4C6EE9"/>
    <w:rsid w:val="0F5179E4"/>
    <w:rsid w:val="0F5A7872"/>
    <w:rsid w:val="0F7E3DD7"/>
    <w:rsid w:val="0FAB14D9"/>
    <w:rsid w:val="0FB006A5"/>
    <w:rsid w:val="0FBC1909"/>
    <w:rsid w:val="0FCF2ABB"/>
    <w:rsid w:val="0FDE48B3"/>
    <w:rsid w:val="0FE65139"/>
    <w:rsid w:val="0FE72B26"/>
    <w:rsid w:val="0FF2668E"/>
    <w:rsid w:val="10111A49"/>
    <w:rsid w:val="101219DB"/>
    <w:rsid w:val="101A5089"/>
    <w:rsid w:val="101C1817"/>
    <w:rsid w:val="101C355C"/>
    <w:rsid w:val="102526B0"/>
    <w:rsid w:val="1049325E"/>
    <w:rsid w:val="1058419D"/>
    <w:rsid w:val="10606B74"/>
    <w:rsid w:val="10625015"/>
    <w:rsid w:val="108368ED"/>
    <w:rsid w:val="10917A32"/>
    <w:rsid w:val="109577AC"/>
    <w:rsid w:val="10971628"/>
    <w:rsid w:val="10AD1CF9"/>
    <w:rsid w:val="10C27CA0"/>
    <w:rsid w:val="10C556B0"/>
    <w:rsid w:val="10C91CE5"/>
    <w:rsid w:val="10CE5136"/>
    <w:rsid w:val="10D03F99"/>
    <w:rsid w:val="10E105A1"/>
    <w:rsid w:val="10F457E7"/>
    <w:rsid w:val="10FF229E"/>
    <w:rsid w:val="11041AEC"/>
    <w:rsid w:val="11175522"/>
    <w:rsid w:val="1144480B"/>
    <w:rsid w:val="1152623B"/>
    <w:rsid w:val="1167714D"/>
    <w:rsid w:val="11A21574"/>
    <w:rsid w:val="11A42FAF"/>
    <w:rsid w:val="11AB6A40"/>
    <w:rsid w:val="11C5069E"/>
    <w:rsid w:val="11E21024"/>
    <w:rsid w:val="11F20195"/>
    <w:rsid w:val="11F6054A"/>
    <w:rsid w:val="12045651"/>
    <w:rsid w:val="1213393C"/>
    <w:rsid w:val="1215127F"/>
    <w:rsid w:val="1229177C"/>
    <w:rsid w:val="122E725A"/>
    <w:rsid w:val="124017FE"/>
    <w:rsid w:val="124137C4"/>
    <w:rsid w:val="12512758"/>
    <w:rsid w:val="125B0FD0"/>
    <w:rsid w:val="128A0BFB"/>
    <w:rsid w:val="12931B77"/>
    <w:rsid w:val="12961C6F"/>
    <w:rsid w:val="12A734C8"/>
    <w:rsid w:val="12B61678"/>
    <w:rsid w:val="12C56907"/>
    <w:rsid w:val="12C61D7B"/>
    <w:rsid w:val="12CE2B7F"/>
    <w:rsid w:val="12D32E17"/>
    <w:rsid w:val="133D3BF0"/>
    <w:rsid w:val="13421DC7"/>
    <w:rsid w:val="1346557B"/>
    <w:rsid w:val="134E78DA"/>
    <w:rsid w:val="135854A3"/>
    <w:rsid w:val="13695F4B"/>
    <w:rsid w:val="13755881"/>
    <w:rsid w:val="138974AC"/>
    <w:rsid w:val="13986BBA"/>
    <w:rsid w:val="13B468BE"/>
    <w:rsid w:val="13CD1239"/>
    <w:rsid w:val="13D87F6A"/>
    <w:rsid w:val="13EE2514"/>
    <w:rsid w:val="14080E21"/>
    <w:rsid w:val="14142813"/>
    <w:rsid w:val="145D6010"/>
    <w:rsid w:val="147D7247"/>
    <w:rsid w:val="148A3542"/>
    <w:rsid w:val="14B801BD"/>
    <w:rsid w:val="14C31294"/>
    <w:rsid w:val="14CA36AA"/>
    <w:rsid w:val="14DF59BC"/>
    <w:rsid w:val="14E63F45"/>
    <w:rsid w:val="15112CF1"/>
    <w:rsid w:val="1516685E"/>
    <w:rsid w:val="15173983"/>
    <w:rsid w:val="151B6151"/>
    <w:rsid w:val="151E0098"/>
    <w:rsid w:val="153931D1"/>
    <w:rsid w:val="15435DB0"/>
    <w:rsid w:val="154D4134"/>
    <w:rsid w:val="15565F8D"/>
    <w:rsid w:val="1563436A"/>
    <w:rsid w:val="15634CC7"/>
    <w:rsid w:val="15724244"/>
    <w:rsid w:val="158E17E2"/>
    <w:rsid w:val="15B7588D"/>
    <w:rsid w:val="15C11B41"/>
    <w:rsid w:val="15C7180F"/>
    <w:rsid w:val="15D93108"/>
    <w:rsid w:val="15E26AB1"/>
    <w:rsid w:val="15F867E4"/>
    <w:rsid w:val="15FE5DB3"/>
    <w:rsid w:val="16017BD5"/>
    <w:rsid w:val="1606478B"/>
    <w:rsid w:val="160D31DC"/>
    <w:rsid w:val="161B7296"/>
    <w:rsid w:val="16352C7E"/>
    <w:rsid w:val="164E4B86"/>
    <w:rsid w:val="165245C2"/>
    <w:rsid w:val="165C0220"/>
    <w:rsid w:val="165C31EA"/>
    <w:rsid w:val="16701EA4"/>
    <w:rsid w:val="16741E6E"/>
    <w:rsid w:val="169A0C31"/>
    <w:rsid w:val="16AD0BEA"/>
    <w:rsid w:val="16B12D5A"/>
    <w:rsid w:val="16BD462C"/>
    <w:rsid w:val="16C901F7"/>
    <w:rsid w:val="16DE5B96"/>
    <w:rsid w:val="16EB1EFC"/>
    <w:rsid w:val="16F43CFF"/>
    <w:rsid w:val="1711595B"/>
    <w:rsid w:val="171E24AD"/>
    <w:rsid w:val="172F1DA6"/>
    <w:rsid w:val="172F6C61"/>
    <w:rsid w:val="172F6EFF"/>
    <w:rsid w:val="17317E38"/>
    <w:rsid w:val="17414B38"/>
    <w:rsid w:val="17416FB4"/>
    <w:rsid w:val="174C6AE6"/>
    <w:rsid w:val="17666074"/>
    <w:rsid w:val="17705620"/>
    <w:rsid w:val="178068EA"/>
    <w:rsid w:val="179406A9"/>
    <w:rsid w:val="17973488"/>
    <w:rsid w:val="17BB6882"/>
    <w:rsid w:val="17D61CBD"/>
    <w:rsid w:val="17E128F3"/>
    <w:rsid w:val="17E370B6"/>
    <w:rsid w:val="17E6493C"/>
    <w:rsid w:val="18030E95"/>
    <w:rsid w:val="18544F3D"/>
    <w:rsid w:val="186F116D"/>
    <w:rsid w:val="18752710"/>
    <w:rsid w:val="188D4A08"/>
    <w:rsid w:val="18917EAF"/>
    <w:rsid w:val="18994B9F"/>
    <w:rsid w:val="18A37B3F"/>
    <w:rsid w:val="18A5188A"/>
    <w:rsid w:val="18C927F7"/>
    <w:rsid w:val="18DD3521"/>
    <w:rsid w:val="18E433EA"/>
    <w:rsid w:val="18E60A73"/>
    <w:rsid w:val="18EA44EA"/>
    <w:rsid w:val="18FD101D"/>
    <w:rsid w:val="190252E6"/>
    <w:rsid w:val="190E6FDE"/>
    <w:rsid w:val="192F0754"/>
    <w:rsid w:val="19342C36"/>
    <w:rsid w:val="19365916"/>
    <w:rsid w:val="194B60EC"/>
    <w:rsid w:val="195A0D06"/>
    <w:rsid w:val="19806060"/>
    <w:rsid w:val="199C1AE8"/>
    <w:rsid w:val="19AF450B"/>
    <w:rsid w:val="19B567F1"/>
    <w:rsid w:val="19D53475"/>
    <w:rsid w:val="19DA3FD9"/>
    <w:rsid w:val="19DE3528"/>
    <w:rsid w:val="19E07272"/>
    <w:rsid w:val="19F16D58"/>
    <w:rsid w:val="1A00695D"/>
    <w:rsid w:val="1A0D1DE7"/>
    <w:rsid w:val="1A102BE3"/>
    <w:rsid w:val="1A1F1349"/>
    <w:rsid w:val="1A3A1128"/>
    <w:rsid w:val="1A54601A"/>
    <w:rsid w:val="1A83396C"/>
    <w:rsid w:val="1A8701CD"/>
    <w:rsid w:val="1A9608EB"/>
    <w:rsid w:val="1A9A358A"/>
    <w:rsid w:val="1A9A4591"/>
    <w:rsid w:val="1AC304FF"/>
    <w:rsid w:val="1AD53213"/>
    <w:rsid w:val="1AD94E15"/>
    <w:rsid w:val="1AF22134"/>
    <w:rsid w:val="1AFD08CE"/>
    <w:rsid w:val="1B2F167B"/>
    <w:rsid w:val="1B2F72D0"/>
    <w:rsid w:val="1B4328E7"/>
    <w:rsid w:val="1B5E2AE9"/>
    <w:rsid w:val="1B5F54AF"/>
    <w:rsid w:val="1B657579"/>
    <w:rsid w:val="1B673579"/>
    <w:rsid w:val="1B6F2659"/>
    <w:rsid w:val="1B6F277D"/>
    <w:rsid w:val="1B7240AB"/>
    <w:rsid w:val="1B73550F"/>
    <w:rsid w:val="1B8A3E16"/>
    <w:rsid w:val="1B922BD6"/>
    <w:rsid w:val="1BCB5C65"/>
    <w:rsid w:val="1BE217E8"/>
    <w:rsid w:val="1BE514A8"/>
    <w:rsid w:val="1BEA793E"/>
    <w:rsid w:val="1C02560F"/>
    <w:rsid w:val="1C033CDF"/>
    <w:rsid w:val="1C092878"/>
    <w:rsid w:val="1C2E1F51"/>
    <w:rsid w:val="1C357E37"/>
    <w:rsid w:val="1C393653"/>
    <w:rsid w:val="1C3E15E9"/>
    <w:rsid w:val="1C510B00"/>
    <w:rsid w:val="1C5540E5"/>
    <w:rsid w:val="1C6618CE"/>
    <w:rsid w:val="1C691C5E"/>
    <w:rsid w:val="1C696EEA"/>
    <w:rsid w:val="1C732716"/>
    <w:rsid w:val="1C8C72A9"/>
    <w:rsid w:val="1C9659A4"/>
    <w:rsid w:val="1CA57DBB"/>
    <w:rsid w:val="1CBF3750"/>
    <w:rsid w:val="1CC372F2"/>
    <w:rsid w:val="1CCE52BA"/>
    <w:rsid w:val="1CD937A9"/>
    <w:rsid w:val="1CE1404A"/>
    <w:rsid w:val="1CF319AE"/>
    <w:rsid w:val="1CFC4901"/>
    <w:rsid w:val="1D0352DF"/>
    <w:rsid w:val="1D081D92"/>
    <w:rsid w:val="1D1D664B"/>
    <w:rsid w:val="1D2C6B96"/>
    <w:rsid w:val="1D4E0BB5"/>
    <w:rsid w:val="1D525187"/>
    <w:rsid w:val="1D6258CD"/>
    <w:rsid w:val="1D6A47E6"/>
    <w:rsid w:val="1D79397C"/>
    <w:rsid w:val="1D8129B6"/>
    <w:rsid w:val="1D8563B9"/>
    <w:rsid w:val="1D8A69C4"/>
    <w:rsid w:val="1DA4177F"/>
    <w:rsid w:val="1DA417C4"/>
    <w:rsid w:val="1DA963D5"/>
    <w:rsid w:val="1DBB15AD"/>
    <w:rsid w:val="1DCF0195"/>
    <w:rsid w:val="1DD225EE"/>
    <w:rsid w:val="1DD567D5"/>
    <w:rsid w:val="1DE444BD"/>
    <w:rsid w:val="1E134CE5"/>
    <w:rsid w:val="1E204AA1"/>
    <w:rsid w:val="1E2236F1"/>
    <w:rsid w:val="1E3D2A11"/>
    <w:rsid w:val="1E4A1865"/>
    <w:rsid w:val="1E6C15C3"/>
    <w:rsid w:val="1E707726"/>
    <w:rsid w:val="1E821C6C"/>
    <w:rsid w:val="1EA01DFB"/>
    <w:rsid w:val="1EAD6B9A"/>
    <w:rsid w:val="1EB37115"/>
    <w:rsid w:val="1EBE7B2C"/>
    <w:rsid w:val="1EC07441"/>
    <w:rsid w:val="1ED81296"/>
    <w:rsid w:val="1EF452F1"/>
    <w:rsid w:val="1F094DCE"/>
    <w:rsid w:val="1F0B0F02"/>
    <w:rsid w:val="1F2869B8"/>
    <w:rsid w:val="1F2C75CC"/>
    <w:rsid w:val="1F2D4517"/>
    <w:rsid w:val="1F2F1A8F"/>
    <w:rsid w:val="1F332FCF"/>
    <w:rsid w:val="1F4937BB"/>
    <w:rsid w:val="1F4D57D0"/>
    <w:rsid w:val="1F592C56"/>
    <w:rsid w:val="1F5A08F8"/>
    <w:rsid w:val="1F5A53E8"/>
    <w:rsid w:val="1F6011F9"/>
    <w:rsid w:val="1F677650"/>
    <w:rsid w:val="1F855C96"/>
    <w:rsid w:val="1F8633AE"/>
    <w:rsid w:val="1F975ED3"/>
    <w:rsid w:val="1FAE15AF"/>
    <w:rsid w:val="1FB16A35"/>
    <w:rsid w:val="1FCD3D3C"/>
    <w:rsid w:val="1FCF4735"/>
    <w:rsid w:val="1FE97707"/>
    <w:rsid w:val="20051801"/>
    <w:rsid w:val="20061A28"/>
    <w:rsid w:val="20363B71"/>
    <w:rsid w:val="203950CB"/>
    <w:rsid w:val="20400E91"/>
    <w:rsid w:val="204E2CEB"/>
    <w:rsid w:val="20530213"/>
    <w:rsid w:val="205F4BCC"/>
    <w:rsid w:val="20743D58"/>
    <w:rsid w:val="20924338"/>
    <w:rsid w:val="209A3C08"/>
    <w:rsid w:val="20A10FC3"/>
    <w:rsid w:val="20A46608"/>
    <w:rsid w:val="20A50DE2"/>
    <w:rsid w:val="20AC7CB3"/>
    <w:rsid w:val="20B96702"/>
    <w:rsid w:val="20BB4FE2"/>
    <w:rsid w:val="20BF2462"/>
    <w:rsid w:val="20C15864"/>
    <w:rsid w:val="20CA7962"/>
    <w:rsid w:val="20D579F1"/>
    <w:rsid w:val="20D70E06"/>
    <w:rsid w:val="20E53345"/>
    <w:rsid w:val="20EE05FE"/>
    <w:rsid w:val="20F8379F"/>
    <w:rsid w:val="21003E2E"/>
    <w:rsid w:val="21066971"/>
    <w:rsid w:val="211438EE"/>
    <w:rsid w:val="21230749"/>
    <w:rsid w:val="212460F9"/>
    <w:rsid w:val="212A372A"/>
    <w:rsid w:val="21350CC1"/>
    <w:rsid w:val="21352F1D"/>
    <w:rsid w:val="21376066"/>
    <w:rsid w:val="214D5032"/>
    <w:rsid w:val="21597D4C"/>
    <w:rsid w:val="215B385B"/>
    <w:rsid w:val="21600AF2"/>
    <w:rsid w:val="21852F04"/>
    <w:rsid w:val="2187722E"/>
    <w:rsid w:val="21877598"/>
    <w:rsid w:val="218E28A5"/>
    <w:rsid w:val="21A60A3E"/>
    <w:rsid w:val="21C34657"/>
    <w:rsid w:val="21D2344C"/>
    <w:rsid w:val="21DF743C"/>
    <w:rsid w:val="21E055D7"/>
    <w:rsid w:val="22094C34"/>
    <w:rsid w:val="220D7593"/>
    <w:rsid w:val="2219070C"/>
    <w:rsid w:val="223A0900"/>
    <w:rsid w:val="22635BED"/>
    <w:rsid w:val="22AC663F"/>
    <w:rsid w:val="22C65321"/>
    <w:rsid w:val="22D76C7A"/>
    <w:rsid w:val="22DE5C34"/>
    <w:rsid w:val="22F8349A"/>
    <w:rsid w:val="22F936FF"/>
    <w:rsid w:val="231D4972"/>
    <w:rsid w:val="23513C02"/>
    <w:rsid w:val="23585242"/>
    <w:rsid w:val="235E22BA"/>
    <w:rsid w:val="23AD016C"/>
    <w:rsid w:val="23AF5D38"/>
    <w:rsid w:val="23AF7BA5"/>
    <w:rsid w:val="23B301FE"/>
    <w:rsid w:val="23BC3A51"/>
    <w:rsid w:val="23C35F06"/>
    <w:rsid w:val="23C36847"/>
    <w:rsid w:val="23D21E19"/>
    <w:rsid w:val="23DC4B95"/>
    <w:rsid w:val="2414741A"/>
    <w:rsid w:val="24161AC8"/>
    <w:rsid w:val="242E6625"/>
    <w:rsid w:val="24457E67"/>
    <w:rsid w:val="244E3DA6"/>
    <w:rsid w:val="24673232"/>
    <w:rsid w:val="24801B74"/>
    <w:rsid w:val="248910E2"/>
    <w:rsid w:val="248F4DD3"/>
    <w:rsid w:val="249D3CE7"/>
    <w:rsid w:val="24BA28C8"/>
    <w:rsid w:val="24BD6064"/>
    <w:rsid w:val="24C17AC0"/>
    <w:rsid w:val="24CA1FBE"/>
    <w:rsid w:val="24F4597F"/>
    <w:rsid w:val="24FE68D1"/>
    <w:rsid w:val="250B6481"/>
    <w:rsid w:val="251356B8"/>
    <w:rsid w:val="25173C4B"/>
    <w:rsid w:val="2520654B"/>
    <w:rsid w:val="252222F1"/>
    <w:rsid w:val="25382187"/>
    <w:rsid w:val="2561739C"/>
    <w:rsid w:val="256A3963"/>
    <w:rsid w:val="2571489D"/>
    <w:rsid w:val="25791E6C"/>
    <w:rsid w:val="25847CB3"/>
    <w:rsid w:val="259D0A61"/>
    <w:rsid w:val="25A36AAA"/>
    <w:rsid w:val="25B23CC0"/>
    <w:rsid w:val="25B979A7"/>
    <w:rsid w:val="25BE6350"/>
    <w:rsid w:val="25CA7AD6"/>
    <w:rsid w:val="25D5338E"/>
    <w:rsid w:val="25DC3E17"/>
    <w:rsid w:val="25E22BDE"/>
    <w:rsid w:val="25F87B00"/>
    <w:rsid w:val="25FD1F03"/>
    <w:rsid w:val="262E6A8A"/>
    <w:rsid w:val="263407A7"/>
    <w:rsid w:val="264766A7"/>
    <w:rsid w:val="266568FC"/>
    <w:rsid w:val="267011AC"/>
    <w:rsid w:val="26751C72"/>
    <w:rsid w:val="267720E7"/>
    <w:rsid w:val="268208C2"/>
    <w:rsid w:val="268230F5"/>
    <w:rsid w:val="26847E34"/>
    <w:rsid w:val="268D491D"/>
    <w:rsid w:val="2696621A"/>
    <w:rsid w:val="269A70BA"/>
    <w:rsid w:val="26A80814"/>
    <w:rsid w:val="26B0515A"/>
    <w:rsid w:val="26E5531B"/>
    <w:rsid w:val="26F75C09"/>
    <w:rsid w:val="26FD3A91"/>
    <w:rsid w:val="2701112B"/>
    <w:rsid w:val="270143D8"/>
    <w:rsid w:val="270221F5"/>
    <w:rsid w:val="270614AF"/>
    <w:rsid w:val="270E2F67"/>
    <w:rsid w:val="27135AA1"/>
    <w:rsid w:val="274122B0"/>
    <w:rsid w:val="27492022"/>
    <w:rsid w:val="277B7C6D"/>
    <w:rsid w:val="278100C4"/>
    <w:rsid w:val="2781633E"/>
    <w:rsid w:val="278F16AA"/>
    <w:rsid w:val="27951BEC"/>
    <w:rsid w:val="27B73AEF"/>
    <w:rsid w:val="27C02A48"/>
    <w:rsid w:val="27C22B91"/>
    <w:rsid w:val="27CD58BB"/>
    <w:rsid w:val="27E460DD"/>
    <w:rsid w:val="27EE2DF3"/>
    <w:rsid w:val="280B5FE6"/>
    <w:rsid w:val="28141C58"/>
    <w:rsid w:val="2825149A"/>
    <w:rsid w:val="2842737C"/>
    <w:rsid w:val="284A5677"/>
    <w:rsid w:val="28573605"/>
    <w:rsid w:val="28661906"/>
    <w:rsid w:val="28756B5A"/>
    <w:rsid w:val="287C34EB"/>
    <w:rsid w:val="288F5A48"/>
    <w:rsid w:val="28984753"/>
    <w:rsid w:val="28994818"/>
    <w:rsid w:val="28A76B63"/>
    <w:rsid w:val="28AA18EB"/>
    <w:rsid w:val="28AD0B34"/>
    <w:rsid w:val="28B16CDC"/>
    <w:rsid w:val="28B22B92"/>
    <w:rsid w:val="28D10718"/>
    <w:rsid w:val="28D15219"/>
    <w:rsid w:val="28D53E7B"/>
    <w:rsid w:val="28D80EAE"/>
    <w:rsid w:val="28D81E9A"/>
    <w:rsid w:val="28EC684E"/>
    <w:rsid w:val="28F9755D"/>
    <w:rsid w:val="28FD148E"/>
    <w:rsid w:val="29001F03"/>
    <w:rsid w:val="29147D7F"/>
    <w:rsid w:val="292462E5"/>
    <w:rsid w:val="292D3C4A"/>
    <w:rsid w:val="29312D2B"/>
    <w:rsid w:val="293C2BA6"/>
    <w:rsid w:val="296B0EB7"/>
    <w:rsid w:val="296D3425"/>
    <w:rsid w:val="2974303D"/>
    <w:rsid w:val="297C3795"/>
    <w:rsid w:val="299523C5"/>
    <w:rsid w:val="29A776A1"/>
    <w:rsid w:val="29CD1527"/>
    <w:rsid w:val="29D43526"/>
    <w:rsid w:val="29E6327A"/>
    <w:rsid w:val="2A1D0CAE"/>
    <w:rsid w:val="2A3452D5"/>
    <w:rsid w:val="2A391F32"/>
    <w:rsid w:val="2A3E5F1A"/>
    <w:rsid w:val="2A47302B"/>
    <w:rsid w:val="2A570AA1"/>
    <w:rsid w:val="2A7522C0"/>
    <w:rsid w:val="2A7C74D3"/>
    <w:rsid w:val="2A7F7EDC"/>
    <w:rsid w:val="2A813881"/>
    <w:rsid w:val="2A9250F1"/>
    <w:rsid w:val="2AA92820"/>
    <w:rsid w:val="2AC17AF1"/>
    <w:rsid w:val="2AD02A51"/>
    <w:rsid w:val="2AD624DC"/>
    <w:rsid w:val="2ADB4654"/>
    <w:rsid w:val="2AE46535"/>
    <w:rsid w:val="2AE63805"/>
    <w:rsid w:val="2B036D28"/>
    <w:rsid w:val="2B160600"/>
    <w:rsid w:val="2B2B6EBC"/>
    <w:rsid w:val="2B483E09"/>
    <w:rsid w:val="2B490604"/>
    <w:rsid w:val="2B4E44B7"/>
    <w:rsid w:val="2B505F6D"/>
    <w:rsid w:val="2B78067A"/>
    <w:rsid w:val="2B7C1D12"/>
    <w:rsid w:val="2B813C42"/>
    <w:rsid w:val="2B9A0EBD"/>
    <w:rsid w:val="2BA373C7"/>
    <w:rsid w:val="2BA918C8"/>
    <w:rsid w:val="2BBE6485"/>
    <w:rsid w:val="2BD051AC"/>
    <w:rsid w:val="2BD63C7A"/>
    <w:rsid w:val="2BE11AAE"/>
    <w:rsid w:val="2BEB1EAA"/>
    <w:rsid w:val="2BFA0812"/>
    <w:rsid w:val="2C103C40"/>
    <w:rsid w:val="2C203735"/>
    <w:rsid w:val="2C432AFD"/>
    <w:rsid w:val="2C433F38"/>
    <w:rsid w:val="2C5B096E"/>
    <w:rsid w:val="2C5C43C0"/>
    <w:rsid w:val="2C6263AA"/>
    <w:rsid w:val="2C840A6F"/>
    <w:rsid w:val="2C8578A4"/>
    <w:rsid w:val="2C8F7DCC"/>
    <w:rsid w:val="2C907DBA"/>
    <w:rsid w:val="2CA00986"/>
    <w:rsid w:val="2CAE3587"/>
    <w:rsid w:val="2CB76B33"/>
    <w:rsid w:val="2CDB38F0"/>
    <w:rsid w:val="2CE627C0"/>
    <w:rsid w:val="2CFD3E27"/>
    <w:rsid w:val="2D067B41"/>
    <w:rsid w:val="2D137FB7"/>
    <w:rsid w:val="2D252F86"/>
    <w:rsid w:val="2D255D8A"/>
    <w:rsid w:val="2D724BC4"/>
    <w:rsid w:val="2D7B4119"/>
    <w:rsid w:val="2D903E1C"/>
    <w:rsid w:val="2D9C2E4E"/>
    <w:rsid w:val="2D9D546A"/>
    <w:rsid w:val="2D9F6564"/>
    <w:rsid w:val="2DAE38DE"/>
    <w:rsid w:val="2DB53424"/>
    <w:rsid w:val="2DB57C93"/>
    <w:rsid w:val="2DBF13DD"/>
    <w:rsid w:val="2DC25779"/>
    <w:rsid w:val="2DC93A2B"/>
    <w:rsid w:val="2DFB3F3B"/>
    <w:rsid w:val="2E013CCB"/>
    <w:rsid w:val="2E07124A"/>
    <w:rsid w:val="2E0A5E53"/>
    <w:rsid w:val="2E1C780C"/>
    <w:rsid w:val="2E24286F"/>
    <w:rsid w:val="2E2C3399"/>
    <w:rsid w:val="2E317C75"/>
    <w:rsid w:val="2E48731B"/>
    <w:rsid w:val="2E52745A"/>
    <w:rsid w:val="2E6078CD"/>
    <w:rsid w:val="2E6137EB"/>
    <w:rsid w:val="2E8D1E5E"/>
    <w:rsid w:val="2EB47173"/>
    <w:rsid w:val="2EBC1586"/>
    <w:rsid w:val="2F026224"/>
    <w:rsid w:val="2F1B3CC9"/>
    <w:rsid w:val="2F21624F"/>
    <w:rsid w:val="2F291885"/>
    <w:rsid w:val="2F2D6D6D"/>
    <w:rsid w:val="2F360CAD"/>
    <w:rsid w:val="2F3E5333"/>
    <w:rsid w:val="2F483750"/>
    <w:rsid w:val="2F4B2D6C"/>
    <w:rsid w:val="2F513022"/>
    <w:rsid w:val="2F5648D4"/>
    <w:rsid w:val="2F65011B"/>
    <w:rsid w:val="2F792ABA"/>
    <w:rsid w:val="2F7F5157"/>
    <w:rsid w:val="2F903F1B"/>
    <w:rsid w:val="2F9C03CC"/>
    <w:rsid w:val="2FC86E9D"/>
    <w:rsid w:val="2FCE5AF2"/>
    <w:rsid w:val="2FEA7768"/>
    <w:rsid w:val="2FFD2B0F"/>
    <w:rsid w:val="3004122D"/>
    <w:rsid w:val="30202B86"/>
    <w:rsid w:val="302131E7"/>
    <w:rsid w:val="302C3D02"/>
    <w:rsid w:val="302E0974"/>
    <w:rsid w:val="30314BEE"/>
    <w:rsid w:val="30326571"/>
    <w:rsid w:val="303A5F2C"/>
    <w:rsid w:val="303E6F5A"/>
    <w:rsid w:val="304211A3"/>
    <w:rsid w:val="3042640E"/>
    <w:rsid w:val="305866A2"/>
    <w:rsid w:val="30685E11"/>
    <w:rsid w:val="306E049A"/>
    <w:rsid w:val="308B68A4"/>
    <w:rsid w:val="308E5F6B"/>
    <w:rsid w:val="309B17CE"/>
    <w:rsid w:val="30A305D0"/>
    <w:rsid w:val="30B1750D"/>
    <w:rsid w:val="30BA1C48"/>
    <w:rsid w:val="30BB6510"/>
    <w:rsid w:val="30CC7200"/>
    <w:rsid w:val="30DD552B"/>
    <w:rsid w:val="30F11FE2"/>
    <w:rsid w:val="31071302"/>
    <w:rsid w:val="310E4435"/>
    <w:rsid w:val="31127FDB"/>
    <w:rsid w:val="31300EBD"/>
    <w:rsid w:val="313D7526"/>
    <w:rsid w:val="314D34C0"/>
    <w:rsid w:val="314E0246"/>
    <w:rsid w:val="314E2447"/>
    <w:rsid w:val="3156193A"/>
    <w:rsid w:val="315C4F23"/>
    <w:rsid w:val="31624528"/>
    <w:rsid w:val="3168215C"/>
    <w:rsid w:val="31A84F2B"/>
    <w:rsid w:val="31C7460F"/>
    <w:rsid w:val="320E07AB"/>
    <w:rsid w:val="32101B33"/>
    <w:rsid w:val="32244642"/>
    <w:rsid w:val="322B1B57"/>
    <w:rsid w:val="32431710"/>
    <w:rsid w:val="32553B59"/>
    <w:rsid w:val="325C221A"/>
    <w:rsid w:val="327A5441"/>
    <w:rsid w:val="32811FCF"/>
    <w:rsid w:val="32865BC0"/>
    <w:rsid w:val="328F1F73"/>
    <w:rsid w:val="328F58A9"/>
    <w:rsid w:val="32C3547B"/>
    <w:rsid w:val="32D870FB"/>
    <w:rsid w:val="32DC4D8E"/>
    <w:rsid w:val="32DD4E93"/>
    <w:rsid w:val="32DE0264"/>
    <w:rsid w:val="32E0304B"/>
    <w:rsid w:val="32E17884"/>
    <w:rsid w:val="32E278EC"/>
    <w:rsid w:val="32F63AE7"/>
    <w:rsid w:val="33087835"/>
    <w:rsid w:val="33326102"/>
    <w:rsid w:val="333E1084"/>
    <w:rsid w:val="33470AD3"/>
    <w:rsid w:val="335528AE"/>
    <w:rsid w:val="336032C7"/>
    <w:rsid w:val="33686B14"/>
    <w:rsid w:val="33AB02CC"/>
    <w:rsid w:val="33C130D6"/>
    <w:rsid w:val="33C17A45"/>
    <w:rsid w:val="33C573D9"/>
    <w:rsid w:val="33D21A1F"/>
    <w:rsid w:val="33E72117"/>
    <w:rsid w:val="33F562B7"/>
    <w:rsid w:val="33FC6240"/>
    <w:rsid w:val="341676CE"/>
    <w:rsid w:val="34184DAC"/>
    <w:rsid w:val="34263C38"/>
    <w:rsid w:val="34275A29"/>
    <w:rsid w:val="3431773F"/>
    <w:rsid w:val="343561B4"/>
    <w:rsid w:val="345F051E"/>
    <w:rsid w:val="346B0758"/>
    <w:rsid w:val="3470014B"/>
    <w:rsid w:val="347941D8"/>
    <w:rsid w:val="34950638"/>
    <w:rsid w:val="34AE558E"/>
    <w:rsid w:val="34C23268"/>
    <w:rsid w:val="34D37397"/>
    <w:rsid w:val="34DF4718"/>
    <w:rsid w:val="34EF74AE"/>
    <w:rsid w:val="34FA4873"/>
    <w:rsid w:val="350047F7"/>
    <w:rsid w:val="35056A5E"/>
    <w:rsid w:val="35152920"/>
    <w:rsid w:val="35162F55"/>
    <w:rsid w:val="35183020"/>
    <w:rsid w:val="353926A9"/>
    <w:rsid w:val="355D14FC"/>
    <w:rsid w:val="356D5A2B"/>
    <w:rsid w:val="356E45B2"/>
    <w:rsid w:val="35704F93"/>
    <w:rsid w:val="35832FC9"/>
    <w:rsid w:val="35895274"/>
    <w:rsid w:val="35A3325B"/>
    <w:rsid w:val="35A73DB4"/>
    <w:rsid w:val="35B84338"/>
    <w:rsid w:val="35BE2526"/>
    <w:rsid w:val="35C31293"/>
    <w:rsid w:val="35E30F27"/>
    <w:rsid w:val="35F37A82"/>
    <w:rsid w:val="36104497"/>
    <w:rsid w:val="36247FCC"/>
    <w:rsid w:val="36275078"/>
    <w:rsid w:val="36286FAC"/>
    <w:rsid w:val="363E332E"/>
    <w:rsid w:val="36463D6C"/>
    <w:rsid w:val="364B425D"/>
    <w:rsid w:val="36576571"/>
    <w:rsid w:val="3685042B"/>
    <w:rsid w:val="369F0A0E"/>
    <w:rsid w:val="36A03E5E"/>
    <w:rsid w:val="36B221D9"/>
    <w:rsid w:val="36C73813"/>
    <w:rsid w:val="36CD24E6"/>
    <w:rsid w:val="36D833C1"/>
    <w:rsid w:val="36E81992"/>
    <w:rsid w:val="36EF073B"/>
    <w:rsid w:val="370B5113"/>
    <w:rsid w:val="370C5086"/>
    <w:rsid w:val="371A1A2C"/>
    <w:rsid w:val="371F48B8"/>
    <w:rsid w:val="373130C8"/>
    <w:rsid w:val="37447F12"/>
    <w:rsid w:val="375F343A"/>
    <w:rsid w:val="37646DFC"/>
    <w:rsid w:val="376E1023"/>
    <w:rsid w:val="378B1357"/>
    <w:rsid w:val="37907EFB"/>
    <w:rsid w:val="37932893"/>
    <w:rsid w:val="37952D0F"/>
    <w:rsid w:val="37B7786C"/>
    <w:rsid w:val="37B95F23"/>
    <w:rsid w:val="37C126C6"/>
    <w:rsid w:val="37D11CA6"/>
    <w:rsid w:val="37E336EF"/>
    <w:rsid w:val="37F57BCC"/>
    <w:rsid w:val="381644CE"/>
    <w:rsid w:val="38180379"/>
    <w:rsid w:val="38272A0B"/>
    <w:rsid w:val="3836154C"/>
    <w:rsid w:val="384D4276"/>
    <w:rsid w:val="38516E49"/>
    <w:rsid w:val="38571048"/>
    <w:rsid w:val="385B228F"/>
    <w:rsid w:val="385B2383"/>
    <w:rsid w:val="385E2963"/>
    <w:rsid w:val="387B2ED8"/>
    <w:rsid w:val="387D55C0"/>
    <w:rsid w:val="3888331B"/>
    <w:rsid w:val="38884920"/>
    <w:rsid w:val="388C4E41"/>
    <w:rsid w:val="388E1669"/>
    <w:rsid w:val="388F775D"/>
    <w:rsid w:val="389474B7"/>
    <w:rsid w:val="389E54DD"/>
    <w:rsid w:val="38A17D04"/>
    <w:rsid w:val="38B04E81"/>
    <w:rsid w:val="38BC64CE"/>
    <w:rsid w:val="38BD52C4"/>
    <w:rsid w:val="38BE37FB"/>
    <w:rsid w:val="38D052F0"/>
    <w:rsid w:val="38F9163C"/>
    <w:rsid w:val="38FA2031"/>
    <w:rsid w:val="3902751E"/>
    <w:rsid w:val="39203344"/>
    <w:rsid w:val="39256CDA"/>
    <w:rsid w:val="392878AB"/>
    <w:rsid w:val="397E250C"/>
    <w:rsid w:val="39A3434A"/>
    <w:rsid w:val="39A706B7"/>
    <w:rsid w:val="39C372D5"/>
    <w:rsid w:val="39DC5959"/>
    <w:rsid w:val="39DD180C"/>
    <w:rsid w:val="39E170C1"/>
    <w:rsid w:val="3A046332"/>
    <w:rsid w:val="3A114D10"/>
    <w:rsid w:val="3A13678E"/>
    <w:rsid w:val="3A210357"/>
    <w:rsid w:val="3A216A23"/>
    <w:rsid w:val="3A4A3B96"/>
    <w:rsid w:val="3A6A7F45"/>
    <w:rsid w:val="3A7B2DE2"/>
    <w:rsid w:val="3A7B511C"/>
    <w:rsid w:val="3A7E3C9E"/>
    <w:rsid w:val="3A8270B0"/>
    <w:rsid w:val="3A840F03"/>
    <w:rsid w:val="3A8E3E61"/>
    <w:rsid w:val="3A8F4CD2"/>
    <w:rsid w:val="3A8F7F92"/>
    <w:rsid w:val="3AA255D5"/>
    <w:rsid w:val="3AB45539"/>
    <w:rsid w:val="3ABA39F6"/>
    <w:rsid w:val="3AC10726"/>
    <w:rsid w:val="3AC57896"/>
    <w:rsid w:val="3AD6060F"/>
    <w:rsid w:val="3AD830D9"/>
    <w:rsid w:val="3ADF6EB0"/>
    <w:rsid w:val="3AE028CF"/>
    <w:rsid w:val="3AE90F3A"/>
    <w:rsid w:val="3AF04D49"/>
    <w:rsid w:val="3AFA4A3F"/>
    <w:rsid w:val="3B081D86"/>
    <w:rsid w:val="3B1638B1"/>
    <w:rsid w:val="3B1701F0"/>
    <w:rsid w:val="3B1A57CE"/>
    <w:rsid w:val="3B3A7237"/>
    <w:rsid w:val="3B421D5C"/>
    <w:rsid w:val="3B457927"/>
    <w:rsid w:val="3B493839"/>
    <w:rsid w:val="3B4A6111"/>
    <w:rsid w:val="3B4D1EF3"/>
    <w:rsid w:val="3B507032"/>
    <w:rsid w:val="3B5B7F85"/>
    <w:rsid w:val="3B607778"/>
    <w:rsid w:val="3B6A25E2"/>
    <w:rsid w:val="3BA84C10"/>
    <w:rsid w:val="3BAD4C0F"/>
    <w:rsid w:val="3BBE59A5"/>
    <w:rsid w:val="3BC0751B"/>
    <w:rsid w:val="3BD40FD3"/>
    <w:rsid w:val="3BDD72AC"/>
    <w:rsid w:val="3BEE0E63"/>
    <w:rsid w:val="3C1B68AE"/>
    <w:rsid w:val="3C210A15"/>
    <w:rsid w:val="3C2D652A"/>
    <w:rsid w:val="3C574AB0"/>
    <w:rsid w:val="3C5F7402"/>
    <w:rsid w:val="3C630D9E"/>
    <w:rsid w:val="3C6B79E3"/>
    <w:rsid w:val="3C7E046B"/>
    <w:rsid w:val="3C803EA3"/>
    <w:rsid w:val="3C92492C"/>
    <w:rsid w:val="3C9665CD"/>
    <w:rsid w:val="3C9C1268"/>
    <w:rsid w:val="3CA15703"/>
    <w:rsid w:val="3CAD7205"/>
    <w:rsid w:val="3CB35664"/>
    <w:rsid w:val="3CCA5456"/>
    <w:rsid w:val="3CD15986"/>
    <w:rsid w:val="3CDC1FF7"/>
    <w:rsid w:val="3CE6554F"/>
    <w:rsid w:val="3CE6797F"/>
    <w:rsid w:val="3CEB5330"/>
    <w:rsid w:val="3CED0F78"/>
    <w:rsid w:val="3D0D722F"/>
    <w:rsid w:val="3D250FA7"/>
    <w:rsid w:val="3D265AE8"/>
    <w:rsid w:val="3D420F70"/>
    <w:rsid w:val="3D6056A3"/>
    <w:rsid w:val="3D645C11"/>
    <w:rsid w:val="3D67775D"/>
    <w:rsid w:val="3D742F47"/>
    <w:rsid w:val="3D7472E6"/>
    <w:rsid w:val="3D7818A7"/>
    <w:rsid w:val="3D8E2208"/>
    <w:rsid w:val="3D942C2D"/>
    <w:rsid w:val="3DBA2F72"/>
    <w:rsid w:val="3DBF7246"/>
    <w:rsid w:val="3DD11187"/>
    <w:rsid w:val="3DD24990"/>
    <w:rsid w:val="3DDA72BE"/>
    <w:rsid w:val="3DDD5141"/>
    <w:rsid w:val="3DEB7DF0"/>
    <w:rsid w:val="3E0F0A92"/>
    <w:rsid w:val="3E1A175E"/>
    <w:rsid w:val="3E342D2B"/>
    <w:rsid w:val="3E437171"/>
    <w:rsid w:val="3E4C7264"/>
    <w:rsid w:val="3E573CC7"/>
    <w:rsid w:val="3E6B0A5B"/>
    <w:rsid w:val="3E7C3D84"/>
    <w:rsid w:val="3E853B06"/>
    <w:rsid w:val="3E922D81"/>
    <w:rsid w:val="3E925346"/>
    <w:rsid w:val="3EA13BD4"/>
    <w:rsid w:val="3EA479C0"/>
    <w:rsid w:val="3EAA1205"/>
    <w:rsid w:val="3EB85E65"/>
    <w:rsid w:val="3EB979B6"/>
    <w:rsid w:val="3EBB3DB8"/>
    <w:rsid w:val="3EBD350C"/>
    <w:rsid w:val="3ECB37EE"/>
    <w:rsid w:val="3ED03255"/>
    <w:rsid w:val="3EE5366A"/>
    <w:rsid w:val="3EF37D1C"/>
    <w:rsid w:val="3F013747"/>
    <w:rsid w:val="3F1B552D"/>
    <w:rsid w:val="3F1F6901"/>
    <w:rsid w:val="3F346BEF"/>
    <w:rsid w:val="3F406C5C"/>
    <w:rsid w:val="3F450B68"/>
    <w:rsid w:val="3F5224ED"/>
    <w:rsid w:val="3F767D6E"/>
    <w:rsid w:val="3F841976"/>
    <w:rsid w:val="3F8A4AFC"/>
    <w:rsid w:val="3FA760BF"/>
    <w:rsid w:val="3FAF4AFD"/>
    <w:rsid w:val="3FE45141"/>
    <w:rsid w:val="3FF3101F"/>
    <w:rsid w:val="3FF577BC"/>
    <w:rsid w:val="3FFA3FE1"/>
    <w:rsid w:val="40062787"/>
    <w:rsid w:val="40191146"/>
    <w:rsid w:val="40373532"/>
    <w:rsid w:val="404C353A"/>
    <w:rsid w:val="405011BF"/>
    <w:rsid w:val="40534645"/>
    <w:rsid w:val="4067516C"/>
    <w:rsid w:val="406F44FF"/>
    <w:rsid w:val="4075759C"/>
    <w:rsid w:val="40774550"/>
    <w:rsid w:val="407E530A"/>
    <w:rsid w:val="407F1689"/>
    <w:rsid w:val="408E17DB"/>
    <w:rsid w:val="409450BD"/>
    <w:rsid w:val="40AB2CD3"/>
    <w:rsid w:val="40B10C66"/>
    <w:rsid w:val="40B226ED"/>
    <w:rsid w:val="40B314E0"/>
    <w:rsid w:val="40C16BB5"/>
    <w:rsid w:val="40DC37CD"/>
    <w:rsid w:val="40E2510E"/>
    <w:rsid w:val="40F46B6F"/>
    <w:rsid w:val="40F81409"/>
    <w:rsid w:val="41107DCB"/>
    <w:rsid w:val="41241327"/>
    <w:rsid w:val="41281CF8"/>
    <w:rsid w:val="414C4F00"/>
    <w:rsid w:val="415A4430"/>
    <w:rsid w:val="41781C04"/>
    <w:rsid w:val="417C0902"/>
    <w:rsid w:val="418C2047"/>
    <w:rsid w:val="41A74DDD"/>
    <w:rsid w:val="41AB4CBF"/>
    <w:rsid w:val="41C65137"/>
    <w:rsid w:val="41C725BB"/>
    <w:rsid w:val="41CF41EE"/>
    <w:rsid w:val="42014DC5"/>
    <w:rsid w:val="42120B8B"/>
    <w:rsid w:val="421342D1"/>
    <w:rsid w:val="4232436A"/>
    <w:rsid w:val="4233497D"/>
    <w:rsid w:val="423537FF"/>
    <w:rsid w:val="42362FAD"/>
    <w:rsid w:val="424D02F6"/>
    <w:rsid w:val="425617FC"/>
    <w:rsid w:val="425D37AF"/>
    <w:rsid w:val="425F4C38"/>
    <w:rsid w:val="42794A79"/>
    <w:rsid w:val="428224E4"/>
    <w:rsid w:val="4283777C"/>
    <w:rsid w:val="428A2FED"/>
    <w:rsid w:val="429502BC"/>
    <w:rsid w:val="42986299"/>
    <w:rsid w:val="42987557"/>
    <w:rsid w:val="429D755E"/>
    <w:rsid w:val="429E4E93"/>
    <w:rsid w:val="42A071D6"/>
    <w:rsid w:val="42A90A36"/>
    <w:rsid w:val="42AD0888"/>
    <w:rsid w:val="42C33793"/>
    <w:rsid w:val="42C4521F"/>
    <w:rsid w:val="42E32E52"/>
    <w:rsid w:val="42E7112A"/>
    <w:rsid w:val="42EB32B7"/>
    <w:rsid w:val="42F6484D"/>
    <w:rsid w:val="42F87A1A"/>
    <w:rsid w:val="430229EB"/>
    <w:rsid w:val="43090723"/>
    <w:rsid w:val="430F1F2C"/>
    <w:rsid w:val="432B54F7"/>
    <w:rsid w:val="43363C37"/>
    <w:rsid w:val="435C7005"/>
    <w:rsid w:val="4363612C"/>
    <w:rsid w:val="43652A31"/>
    <w:rsid w:val="437516CD"/>
    <w:rsid w:val="437C13B3"/>
    <w:rsid w:val="438C7140"/>
    <w:rsid w:val="43944C60"/>
    <w:rsid w:val="4395605A"/>
    <w:rsid w:val="43A328A3"/>
    <w:rsid w:val="43AE0B29"/>
    <w:rsid w:val="43BC6883"/>
    <w:rsid w:val="43E9154A"/>
    <w:rsid w:val="43EA077B"/>
    <w:rsid w:val="43F278DF"/>
    <w:rsid w:val="43FF7C22"/>
    <w:rsid w:val="44062C7E"/>
    <w:rsid w:val="440D5535"/>
    <w:rsid w:val="441E73DD"/>
    <w:rsid w:val="44216835"/>
    <w:rsid w:val="4424546D"/>
    <w:rsid w:val="442662EE"/>
    <w:rsid w:val="44425AE5"/>
    <w:rsid w:val="444637F5"/>
    <w:rsid w:val="44496FE5"/>
    <w:rsid w:val="446C0697"/>
    <w:rsid w:val="44714EE6"/>
    <w:rsid w:val="447D4F8E"/>
    <w:rsid w:val="4484096B"/>
    <w:rsid w:val="44877EA5"/>
    <w:rsid w:val="44902C8A"/>
    <w:rsid w:val="4491460C"/>
    <w:rsid w:val="44915E07"/>
    <w:rsid w:val="44932717"/>
    <w:rsid w:val="449974D6"/>
    <w:rsid w:val="449C7AAA"/>
    <w:rsid w:val="44BB1095"/>
    <w:rsid w:val="44BE1903"/>
    <w:rsid w:val="44CB0D83"/>
    <w:rsid w:val="44CB55F4"/>
    <w:rsid w:val="44D3729C"/>
    <w:rsid w:val="44D8644B"/>
    <w:rsid w:val="44E468D0"/>
    <w:rsid w:val="44F153E9"/>
    <w:rsid w:val="44F63199"/>
    <w:rsid w:val="44F6612F"/>
    <w:rsid w:val="44FA002B"/>
    <w:rsid w:val="44FF11A8"/>
    <w:rsid w:val="451C5EE9"/>
    <w:rsid w:val="45236D54"/>
    <w:rsid w:val="45493955"/>
    <w:rsid w:val="4551137D"/>
    <w:rsid w:val="455256F9"/>
    <w:rsid w:val="45550F10"/>
    <w:rsid w:val="456F52DC"/>
    <w:rsid w:val="45881ED5"/>
    <w:rsid w:val="458E5ABB"/>
    <w:rsid w:val="458E7A38"/>
    <w:rsid w:val="45A00A06"/>
    <w:rsid w:val="45AC23BE"/>
    <w:rsid w:val="45BA04A6"/>
    <w:rsid w:val="45BA3B67"/>
    <w:rsid w:val="45DC4A11"/>
    <w:rsid w:val="45DF7CDE"/>
    <w:rsid w:val="45E23695"/>
    <w:rsid w:val="45E84DEC"/>
    <w:rsid w:val="45EC316E"/>
    <w:rsid w:val="45FD73FE"/>
    <w:rsid w:val="46051531"/>
    <w:rsid w:val="46193B7F"/>
    <w:rsid w:val="46194009"/>
    <w:rsid w:val="461D7220"/>
    <w:rsid w:val="46207273"/>
    <w:rsid w:val="46255C09"/>
    <w:rsid w:val="46481187"/>
    <w:rsid w:val="46555CCF"/>
    <w:rsid w:val="46657AD5"/>
    <w:rsid w:val="46691867"/>
    <w:rsid w:val="46720BB9"/>
    <w:rsid w:val="46870F3C"/>
    <w:rsid w:val="469529FB"/>
    <w:rsid w:val="46983E25"/>
    <w:rsid w:val="46A63A93"/>
    <w:rsid w:val="46AE72F5"/>
    <w:rsid w:val="46BB6B6C"/>
    <w:rsid w:val="46C2754C"/>
    <w:rsid w:val="46C711B8"/>
    <w:rsid w:val="46EB6843"/>
    <w:rsid w:val="46FC66A4"/>
    <w:rsid w:val="46FD6985"/>
    <w:rsid w:val="47185681"/>
    <w:rsid w:val="471C2BE7"/>
    <w:rsid w:val="475D1F81"/>
    <w:rsid w:val="4767250F"/>
    <w:rsid w:val="476A7DC5"/>
    <w:rsid w:val="47736F75"/>
    <w:rsid w:val="477769ED"/>
    <w:rsid w:val="47891B00"/>
    <w:rsid w:val="47935515"/>
    <w:rsid w:val="4798718F"/>
    <w:rsid w:val="479D4C37"/>
    <w:rsid w:val="47A27CE9"/>
    <w:rsid w:val="47A4640F"/>
    <w:rsid w:val="47C15B58"/>
    <w:rsid w:val="47DD2B1A"/>
    <w:rsid w:val="47F33BDB"/>
    <w:rsid w:val="480E5AD0"/>
    <w:rsid w:val="48125652"/>
    <w:rsid w:val="481A4703"/>
    <w:rsid w:val="481B6995"/>
    <w:rsid w:val="481C54EA"/>
    <w:rsid w:val="482E191E"/>
    <w:rsid w:val="48354638"/>
    <w:rsid w:val="48521144"/>
    <w:rsid w:val="4874098B"/>
    <w:rsid w:val="48784CB0"/>
    <w:rsid w:val="48812A32"/>
    <w:rsid w:val="48836294"/>
    <w:rsid w:val="48842B44"/>
    <w:rsid w:val="48982ACE"/>
    <w:rsid w:val="489E5D87"/>
    <w:rsid w:val="48CF36D3"/>
    <w:rsid w:val="48D63754"/>
    <w:rsid w:val="48ED7849"/>
    <w:rsid w:val="48EF0DAF"/>
    <w:rsid w:val="49065220"/>
    <w:rsid w:val="492105F9"/>
    <w:rsid w:val="49232B73"/>
    <w:rsid w:val="49242EF8"/>
    <w:rsid w:val="492A663C"/>
    <w:rsid w:val="493278EB"/>
    <w:rsid w:val="49351D82"/>
    <w:rsid w:val="493E6C7A"/>
    <w:rsid w:val="49653DE4"/>
    <w:rsid w:val="496F5F44"/>
    <w:rsid w:val="497D0ACC"/>
    <w:rsid w:val="49823BC8"/>
    <w:rsid w:val="498D6587"/>
    <w:rsid w:val="499B5B3B"/>
    <w:rsid w:val="499C1CD4"/>
    <w:rsid w:val="49AE52F6"/>
    <w:rsid w:val="49D1301B"/>
    <w:rsid w:val="49EA539F"/>
    <w:rsid w:val="4A026E4E"/>
    <w:rsid w:val="4A1F234B"/>
    <w:rsid w:val="4A23724C"/>
    <w:rsid w:val="4A325B3A"/>
    <w:rsid w:val="4A3B40DE"/>
    <w:rsid w:val="4A3E0BBB"/>
    <w:rsid w:val="4A3E64BE"/>
    <w:rsid w:val="4A4E2AB0"/>
    <w:rsid w:val="4A4F6BFC"/>
    <w:rsid w:val="4A5754E5"/>
    <w:rsid w:val="4A5D5CA9"/>
    <w:rsid w:val="4A681A6A"/>
    <w:rsid w:val="4A8D7337"/>
    <w:rsid w:val="4A94310B"/>
    <w:rsid w:val="4A99106F"/>
    <w:rsid w:val="4AB0716E"/>
    <w:rsid w:val="4AB62B48"/>
    <w:rsid w:val="4AB87F18"/>
    <w:rsid w:val="4ACA5B3D"/>
    <w:rsid w:val="4ACC6D43"/>
    <w:rsid w:val="4AE5151E"/>
    <w:rsid w:val="4AE72BC2"/>
    <w:rsid w:val="4AE803BC"/>
    <w:rsid w:val="4AEB4D53"/>
    <w:rsid w:val="4B0211CB"/>
    <w:rsid w:val="4B0D23B4"/>
    <w:rsid w:val="4B0E4224"/>
    <w:rsid w:val="4B204583"/>
    <w:rsid w:val="4B2D4289"/>
    <w:rsid w:val="4B3023E9"/>
    <w:rsid w:val="4B367760"/>
    <w:rsid w:val="4B3923BD"/>
    <w:rsid w:val="4B4B7046"/>
    <w:rsid w:val="4B522173"/>
    <w:rsid w:val="4B5C17A4"/>
    <w:rsid w:val="4B5D085A"/>
    <w:rsid w:val="4B5F6315"/>
    <w:rsid w:val="4B655A13"/>
    <w:rsid w:val="4BA46210"/>
    <w:rsid w:val="4BB06DD5"/>
    <w:rsid w:val="4BB26A2E"/>
    <w:rsid w:val="4BB52112"/>
    <w:rsid w:val="4BBB7D52"/>
    <w:rsid w:val="4BD23C77"/>
    <w:rsid w:val="4BD3538B"/>
    <w:rsid w:val="4BDC66A1"/>
    <w:rsid w:val="4C18236A"/>
    <w:rsid w:val="4C1874AD"/>
    <w:rsid w:val="4C192E53"/>
    <w:rsid w:val="4C3D22B6"/>
    <w:rsid w:val="4C447DFC"/>
    <w:rsid w:val="4C452555"/>
    <w:rsid w:val="4C4907B4"/>
    <w:rsid w:val="4C502F2F"/>
    <w:rsid w:val="4C6679A5"/>
    <w:rsid w:val="4C70680D"/>
    <w:rsid w:val="4C8B75FD"/>
    <w:rsid w:val="4C96155E"/>
    <w:rsid w:val="4CA45B9D"/>
    <w:rsid w:val="4CA921FB"/>
    <w:rsid w:val="4CBD0A0E"/>
    <w:rsid w:val="4CC30814"/>
    <w:rsid w:val="4CD00A6D"/>
    <w:rsid w:val="4CD218A0"/>
    <w:rsid w:val="4CD87BCC"/>
    <w:rsid w:val="4CDB0A14"/>
    <w:rsid w:val="4CDE7FA6"/>
    <w:rsid w:val="4CDF5061"/>
    <w:rsid w:val="4CEA41D7"/>
    <w:rsid w:val="4D1B0BC4"/>
    <w:rsid w:val="4D395B1D"/>
    <w:rsid w:val="4D3A45FE"/>
    <w:rsid w:val="4D425F95"/>
    <w:rsid w:val="4D560742"/>
    <w:rsid w:val="4D5C4F2F"/>
    <w:rsid w:val="4D63268E"/>
    <w:rsid w:val="4D6A222B"/>
    <w:rsid w:val="4D6B3FA5"/>
    <w:rsid w:val="4D6E32D0"/>
    <w:rsid w:val="4D786813"/>
    <w:rsid w:val="4D79525A"/>
    <w:rsid w:val="4D90635F"/>
    <w:rsid w:val="4D944415"/>
    <w:rsid w:val="4DAE69FE"/>
    <w:rsid w:val="4DBC00EF"/>
    <w:rsid w:val="4DD0591C"/>
    <w:rsid w:val="4DE524F9"/>
    <w:rsid w:val="4DFF250E"/>
    <w:rsid w:val="4E0B38F8"/>
    <w:rsid w:val="4E2254A6"/>
    <w:rsid w:val="4E355D9C"/>
    <w:rsid w:val="4E4A7687"/>
    <w:rsid w:val="4E6379B3"/>
    <w:rsid w:val="4E6A035F"/>
    <w:rsid w:val="4E7E6BDD"/>
    <w:rsid w:val="4E8151F4"/>
    <w:rsid w:val="4E963E22"/>
    <w:rsid w:val="4EAE287C"/>
    <w:rsid w:val="4EB9397B"/>
    <w:rsid w:val="4EBF3426"/>
    <w:rsid w:val="4EC91A49"/>
    <w:rsid w:val="4ED77B02"/>
    <w:rsid w:val="4EE03C43"/>
    <w:rsid w:val="4EE75A00"/>
    <w:rsid w:val="4F1B0D73"/>
    <w:rsid w:val="4F200FC8"/>
    <w:rsid w:val="4F352C62"/>
    <w:rsid w:val="4F3C79EF"/>
    <w:rsid w:val="4F3D4F8D"/>
    <w:rsid w:val="4F3D61B3"/>
    <w:rsid w:val="4F5E5366"/>
    <w:rsid w:val="4F67495C"/>
    <w:rsid w:val="4F701188"/>
    <w:rsid w:val="4F7736D3"/>
    <w:rsid w:val="4F79053D"/>
    <w:rsid w:val="4F8427E8"/>
    <w:rsid w:val="4F9543EB"/>
    <w:rsid w:val="4FC31CAF"/>
    <w:rsid w:val="4FFE34F1"/>
    <w:rsid w:val="500670FD"/>
    <w:rsid w:val="50076F52"/>
    <w:rsid w:val="50102C30"/>
    <w:rsid w:val="50170404"/>
    <w:rsid w:val="50467AFE"/>
    <w:rsid w:val="5051630B"/>
    <w:rsid w:val="506A3B51"/>
    <w:rsid w:val="507D3DF2"/>
    <w:rsid w:val="508F573E"/>
    <w:rsid w:val="5093188E"/>
    <w:rsid w:val="509E4769"/>
    <w:rsid w:val="50B63152"/>
    <w:rsid w:val="50B77E2C"/>
    <w:rsid w:val="50B87E90"/>
    <w:rsid w:val="50BF6CCB"/>
    <w:rsid w:val="50D0265C"/>
    <w:rsid w:val="50D555D4"/>
    <w:rsid w:val="50E81936"/>
    <w:rsid w:val="50ED5ECF"/>
    <w:rsid w:val="50EF1F25"/>
    <w:rsid w:val="5100295F"/>
    <w:rsid w:val="51052C56"/>
    <w:rsid w:val="51054ADF"/>
    <w:rsid w:val="51151042"/>
    <w:rsid w:val="511E3C67"/>
    <w:rsid w:val="512639D6"/>
    <w:rsid w:val="51285E6E"/>
    <w:rsid w:val="51286668"/>
    <w:rsid w:val="512C0481"/>
    <w:rsid w:val="51396B98"/>
    <w:rsid w:val="513C6BCB"/>
    <w:rsid w:val="514315AE"/>
    <w:rsid w:val="514A08E3"/>
    <w:rsid w:val="51504678"/>
    <w:rsid w:val="51570BBA"/>
    <w:rsid w:val="515C73A9"/>
    <w:rsid w:val="516B3E6F"/>
    <w:rsid w:val="519033FF"/>
    <w:rsid w:val="51A44777"/>
    <w:rsid w:val="51AD74A6"/>
    <w:rsid w:val="51B66D80"/>
    <w:rsid w:val="51BB6474"/>
    <w:rsid w:val="51C56DE0"/>
    <w:rsid w:val="51DB1FE9"/>
    <w:rsid w:val="51DB6609"/>
    <w:rsid w:val="51E410D0"/>
    <w:rsid w:val="51F144E3"/>
    <w:rsid w:val="5218059A"/>
    <w:rsid w:val="523F2F51"/>
    <w:rsid w:val="526173BC"/>
    <w:rsid w:val="52647470"/>
    <w:rsid w:val="52706B73"/>
    <w:rsid w:val="52834930"/>
    <w:rsid w:val="528646FA"/>
    <w:rsid w:val="529F2787"/>
    <w:rsid w:val="52AE6E4A"/>
    <w:rsid w:val="52AF1732"/>
    <w:rsid w:val="52AF7451"/>
    <w:rsid w:val="52B26956"/>
    <w:rsid w:val="52C86C3A"/>
    <w:rsid w:val="52CE2A36"/>
    <w:rsid w:val="52D528FD"/>
    <w:rsid w:val="52E53878"/>
    <w:rsid w:val="53066290"/>
    <w:rsid w:val="532301C7"/>
    <w:rsid w:val="532B0632"/>
    <w:rsid w:val="534F299E"/>
    <w:rsid w:val="53556852"/>
    <w:rsid w:val="536550DE"/>
    <w:rsid w:val="53871B5A"/>
    <w:rsid w:val="538B5CD8"/>
    <w:rsid w:val="53AA0464"/>
    <w:rsid w:val="53C07DE4"/>
    <w:rsid w:val="53C95AC3"/>
    <w:rsid w:val="53CA292E"/>
    <w:rsid w:val="53D46890"/>
    <w:rsid w:val="53D8365C"/>
    <w:rsid w:val="54173EE6"/>
    <w:rsid w:val="54535016"/>
    <w:rsid w:val="54660B01"/>
    <w:rsid w:val="54775EF9"/>
    <w:rsid w:val="547F57D0"/>
    <w:rsid w:val="548338C7"/>
    <w:rsid w:val="54880291"/>
    <w:rsid w:val="54B84D73"/>
    <w:rsid w:val="54C42674"/>
    <w:rsid w:val="54D84ED4"/>
    <w:rsid w:val="54FD2E0E"/>
    <w:rsid w:val="54FD4063"/>
    <w:rsid w:val="55233368"/>
    <w:rsid w:val="552B3B8D"/>
    <w:rsid w:val="554918F4"/>
    <w:rsid w:val="554A3225"/>
    <w:rsid w:val="554D003B"/>
    <w:rsid w:val="555035C2"/>
    <w:rsid w:val="555A45EE"/>
    <w:rsid w:val="555F1917"/>
    <w:rsid w:val="55601DFD"/>
    <w:rsid w:val="557F1BBD"/>
    <w:rsid w:val="55913843"/>
    <w:rsid w:val="55AF475E"/>
    <w:rsid w:val="56051191"/>
    <w:rsid w:val="56270448"/>
    <w:rsid w:val="563173A7"/>
    <w:rsid w:val="56541A8B"/>
    <w:rsid w:val="56543780"/>
    <w:rsid w:val="56663316"/>
    <w:rsid w:val="56701C19"/>
    <w:rsid w:val="567E609E"/>
    <w:rsid w:val="5688444F"/>
    <w:rsid w:val="56B231E8"/>
    <w:rsid w:val="56B84EE3"/>
    <w:rsid w:val="56C05702"/>
    <w:rsid w:val="56C97A7E"/>
    <w:rsid w:val="56CC546C"/>
    <w:rsid w:val="56CF3FF4"/>
    <w:rsid w:val="56EB4D46"/>
    <w:rsid w:val="56EC26FD"/>
    <w:rsid w:val="56F534E0"/>
    <w:rsid w:val="571E4DE1"/>
    <w:rsid w:val="573C0748"/>
    <w:rsid w:val="57445810"/>
    <w:rsid w:val="574B7060"/>
    <w:rsid w:val="574C3E33"/>
    <w:rsid w:val="5763594C"/>
    <w:rsid w:val="57785623"/>
    <w:rsid w:val="577A0541"/>
    <w:rsid w:val="57B93807"/>
    <w:rsid w:val="57BA5B36"/>
    <w:rsid w:val="57C52B92"/>
    <w:rsid w:val="57C83C95"/>
    <w:rsid w:val="57D82399"/>
    <w:rsid w:val="57D84C9B"/>
    <w:rsid w:val="580544F3"/>
    <w:rsid w:val="580E4E24"/>
    <w:rsid w:val="583A0428"/>
    <w:rsid w:val="58525A5E"/>
    <w:rsid w:val="58604ECA"/>
    <w:rsid w:val="5867280B"/>
    <w:rsid w:val="587838E4"/>
    <w:rsid w:val="587F07CD"/>
    <w:rsid w:val="5885580C"/>
    <w:rsid w:val="58AC5E69"/>
    <w:rsid w:val="58C4331B"/>
    <w:rsid w:val="58F60A88"/>
    <w:rsid w:val="592064EA"/>
    <w:rsid w:val="5932030A"/>
    <w:rsid w:val="593F1DC0"/>
    <w:rsid w:val="59403352"/>
    <w:rsid w:val="594B412F"/>
    <w:rsid w:val="59540C4E"/>
    <w:rsid w:val="597A098B"/>
    <w:rsid w:val="598C3866"/>
    <w:rsid w:val="599B3114"/>
    <w:rsid w:val="59A4681E"/>
    <w:rsid w:val="59B76A3C"/>
    <w:rsid w:val="59C03215"/>
    <w:rsid w:val="59C36838"/>
    <w:rsid w:val="59DE5902"/>
    <w:rsid w:val="59E00E42"/>
    <w:rsid w:val="59F175B5"/>
    <w:rsid w:val="59FE35EB"/>
    <w:rsid w:val="59FF40F6"/>
    <w:rsid w:val="5A021E8E"/>
    <w:rsid w:val="5A1519DC"/>
    <w:rsid w:val="5A167536"/>
    <w:rsid w:val="5A1D12F4"/>
    <w:rsid w:val="5A366488"/>
    <w:rsid w:val="5A3B5978"/>
    <w:rsid w:val="5A426403"/>
    <w:rsid w:val="5A4C14CF"/>
    <w:rsid w:val="5A4E0DA9"/>
    <w:rsid w:val="5A5B4DBD"/>
    <w:rsid w:val="5A5D7EE5"/>
    <w:rsid w:val="5A6668BF"/>
    <w:rsid w:val="5A8200F3"/>
    <w:rsid w:val="5A95028E"/>
    <w:rsid w:val="5AD47CA4"/>
    <w:rsid w:val="5AE3564F"/>
    <w:rsid w:val="5AEA22FF"/>
    <w:rsid w:val="5AF16E00"/>
    <w:rsid w:val="5B036836"/>
    <w:rsid w:val="5B142B45"/>
    <w:rsid w:val="5B157498"/>
    <w:rsid w:val="5B3812D7"/>
    <w:rsid w:val="5B3D3FC6"/>
    <w:rsid w:val="5B49043E"/>
    <w:rsid w:val="5B623C90"/>
    <w:rsid w:val="5B92325F"/>
    <w:rsid w:val="5B9466B7"/>
    <w:rsid w:val="5BA01C36"/>
    <w:rsid w:val="5BA800EC"/>
    <w:rsid w:val="5BAC75B3"/>
    <w:rsid w:val="5BB47689"/>
    <w:rsid w:val="5BC20BCD"/>
    <w:rsid w:val="5BCC1E50"/>
    <w:rsid w:val="5BEA5E05"/>
    <w:rsid w:val="5BF02E07"/>
    <w:rsid w:val="5BFC2116"/>
    <w:rsid w:val="5C102F62"/>
    <w:rsid w:val="5C2047AB"/>
    <w:rsid w:val="5C233D0C"/>
    <w:rsid w:val="5C387501"/>
    <w:rsid w:val="5C4E484A"/>
    <w:rsid w:val="5C556D5E"/>
    <w:rsid w:val="5C5D004D"/>
    <w:rsid w:val="5C631558"/>
    <w:rsid w:val="5C70543B"/>
    <w:rsid w:val="5CA00793"/>
    <w:rsid w:val="5CA22120"/>
    <w:rsid w:val="5CB71C8F"/>
    <w:rsid w:val="5CBD1979"/>
    <w:rsid w:val="5CDC3CD3"/>
    <w:rsid w:val="5CE82AE1"/>
    <w:rsid w:val="5D0774F4"/>
    <w:rsid w:val="5D0D0145"/>
    <w:rsid w:val="5D0D168D"/>
    <w:rsid w:val="5D160EA1"/>
    <w:rsid w:val="5D1A0405"/>
    <w:rsid w:val="5D2A2F5F"/>
    <w:rsid w:val="5D30448C"/>
    <w:rsid w:val="5D314146"/>
    <w:rsid w:val="5D322538"/>
    <w:rsid w:val="5D4E6C2D"/>
    <w:rsid w:val="5D545139"/>
    <w:rsid w:val="5D583CAF"/>
    <w:rsid w:val="5D5934C4"/>
    <w:rsid w:val="5D5D621A"/>
    <w:rsid w:val="5D6160DE"/>
    <w:rsid w:val="5D797C6F"/>
    <w:rsid w:val="5D7B58F8"/>
    <w:rsid w:val="5D7E0564"/>
    <w:rsid w:val="5D8835D6"/>
    <w:rsid w:val="5D9967D5"/>
    <w:rsid w:val="5D9A0C6C"/>
    <w:rsid w:val="5DA25C07"/>
    <w:rsid w:val="5DAE7837"/>
    <w:rsid w:val="5DD05DC4"/>
    <w:rsid w:val="5DDF56A8"/>
    <w:rsid w:val="5DE70890"/>
    <w:rsid w:val="5DE86133"/>
    <w:rsid w:val="5DF847E0"/>
    <w:rsid w:val="5E1362E8"/>
    <w:rsid w:val="5E2669F6"/>
    <w:rsid w:val="5E275483"/>
    <w:rsid w:val="5E400826"/>
    <w:rsid w:val="5E452239"/>
    <w:rsid w:val="5E6678B5"/>
    <w:rsid w:val="5E7115BC"/>
    <w:rsid w:val="5E800AC8"/>
    <w:rsid w:val="5E8237F6"/>
    <w:rsid w:val="5E8440D4"/>
    <w:rsid w:val="5E8A0D24"/>
    <w:rsid w:val="5E930DC7"/>
    <w:rsid w:val="5EB85950"/>
    <w:rsid w:val="5EB86AC5"/>
    <w:rsid w:val="5EF82192"/>
    <w:rsid w:val="5F056BBB"/>
    <w:rsid w:val="5F0E30FB"/>
    <w:rsid w:val="5F201BC5"/>
    <w:rsid w:val="5F394B6C"/>
    <w:rsid w:val="5F4317FE"/>
    <w:rsid w:val="5F4352E7"/>
    <w:rsid w:val="5F463384"/>
    <w:rsid w:val="5F556582"/>
    <w:rsid w:val="5F581A1E"/>
    <w:rsid w:val="5F63221A"/>
    <w:rsid w:val="5F851F6E"/>
    <w:rsid w:val="5FA5389D"/>
    <w:rsid w:val="5FBB1877"/>
    <w:rsid w:val="5FCA15F2"/>
    <w:rsid w:val="5FD512DF"/>
    <w:rsid w:val="5FEA5EFE"/>
    <w:rsid w:val="5FF47CAA"/>
    <w:rsid w:val="60026F57"/>
    <w:rsid w:val="60105856"/>
    <w:rsid w:val="601B3170"/>
    <w:rsid w:val="6022781E"/>
    <w:rsid w:val="60311EE8"/>
    <w:rsid w:val="60320824"/>
    <w:rsid w:val="60357EE1"/>
    <w:rsid w:val="60476D7D"/>
    <w:rsid w:val="605A37C5"/>
    <w:rsid w:val="60841111"/>
    <w:rsid w:val="60843018"/>
    <w:rsid w:val="60BF2BF8"/>
    <w:rsid w:val="60CC298A"/>
    <w:rsid w:val="60D61427"/>
    <w:rsid w:val="60DF146F"/>
    <w:rsid w:val="60DF4855"/>
    <w:rsid w:val="60FF56DB"/>
    <w:rsid w:val="610802AC"/>
    <w:rsid w:val="61080CE7"/>
    <w:rsid w:val="61087B0E"/>
    <w:rsid w:val="610B46B1"/>
    <w:rsid w:val="610F5996"/>
    <w:rsid w:val="61172923"/>
    <w:rsid w:val="613C73DF"/>
    <w:rsid w:val="61433040"/>
    <w:rsid w:val="615004B6"/>
    <w:rsid w:val="6164475B"/>
    <w:rsid w:val="61687F2C"/>
    <w:rsid w:val="61710276"/>
    <w:rsid w:val="61923DBE"/>
    <w:rsid w:val="61946948"/>
    <w:rsid w:val="619B3B80"/>
    <w:rsid w:val="61A7179B"/>
    <w:rsid w:val="61AE66B2"/>
    <w:rsid w:val="61B502E0"/>
    <w:rsid w:val="61B56D37"/>
    <w:rsid w:val="61C4514C"/>
    <w:rsid w:val="61D822FE"/>
    <w:rsid w:val="61E45801"/>
    <w:rsid w:val="61E76D09"/>
    <w:rsid w:val="61F7307C"/>
    <w:rsid w:val="620E1FEB"/>
    <w:rsid w:val="62167EBD"/>
    <w:rsid w:val="62226282"/>
    <w:rsid w:val="62527EF8"/>
    <w:rsid w:val="62551E4D"/>
    <w:rsid w:val="625A484F"/>
    <w:rsid w:val="625D3DA7"/>
    <w:rsid w:val="62777EAB"/>
    <w:rsid w:val="628645E0"/>
    <w:rsid w:val="62872880"/>
    <w:rsid w:val="62955261"/>
    <w:rsid w:val="62A02737"/>
    <w:rsid w:val="62C902CE"/>
    <w:rsid w:val="62C914A1"/>
    <w:rsid w:val="62E52E7B"/>
    <w:rsid w:val="62E96FA0"/>
    <w:rsid w:val="63072D76"/>
    <w:rsid w:val="633344F5"/>
    <w:rsid w:val="635E488D"/>
    <w:rsid w:val="636074B5"/>
    <w:rsid w:val="63632E4E"/>
    <w:rsid w:val="637413BA"/>
    <w:rsid w:val="63816A38"/>
    <w:rsid w:val="639249B5"/>
    <w:rsid w:val="639F119B"/>
    <w:rsid w:val="63A72FD5"/>
    <w:rsid w:val="63A84DB4"/>
    <w:rsid w:val="63B409D0"/>
    <w:rsid w:val="63D11604"/>
    <w:rsid w:val="63D13DA0"/>
    <w:rsid w:val="63D161DF"/>
    <w:rsid w:val="63E246FE"/>
    <w:rsid w:val="63E544BA"/>
    <w:rsid w:val="63EF59EB"/>
    <w:rsid w:val="63F6597A"/>
    <w:rsid w:val="640212C0"/>
    <w:rsid w:val="640F79F0"/>
    <w:rsid w:val="64120F52"/>
    <w:rsid w:val="641747E8"/>
    <w:rsid w:val="64213C06"/>
    <w:rsid w:val="642F5EF2"/>
    <w:rsid w:val="64304C14"/>
    <w:rsid w:val="643C7B65"/>
    <w:rsid w:val="645746E2"/>
    <w:rsid w:val="647441AB"/>
    <w:rsid w:val="64767529"/>
    <w:rsid w:val="64895D90"/>
    <w:rsid w:val="64B24A9B"/>
    <w:rsid w:val="64BF0E3E"/>
    <w:rsid w:val="64C851A7"/>
    <w:rsid w:val="64D12C12"/>
    <w:rsid w:val="652700A7"/>
    <w:rsid w:val="65297EF8"/>
    <w:rsid w:val="65443AE7"/>
    <w:rsid w:val="65452CB5"/>
    <w:rsid w:val="654A1249"/>
    <w:rsid w:val="655142B5"/>
    <w:rsid w:val="656C095F"/>
    <w:rsid w:val="6581092B"/>
    <w:rsid w:val="65995DF8"/>
    <w:rsid w:val="659D3EDA"/>
    <w:rsid w:val="65AC428E"/>
    <w:rsid w:val="65C028A6"/>
    <w:rsid w:val="65D34FB8"/>
    <w:rsid w:val="65FD4205"/>
    <w:rsid w:val="6613210E"/>
    <w:rsid w:val="662F60FA"/>
    <w:rsid w:val="663555D2"/>
    <w:rsid w:val="663E57DF"/>
    <w:rsid w:val="66647392"/>
    <w:rsid w:val="669412CA"/>
    <w:rsid w:val="66A06950"/>
    <w:rsid w:val="66C942CB"/>
    <w:rsid w:val="67053C7C"/>
    <w:rsid w:val="671800C5"/>
    <w:rsid w:val="672B3CC7"/>
    <w:rsid w:val="672C2E6D"/>
    <w:rsid w:val="673176D0"/>
    <w:rsid w:val="674D7567"/>
    <w:rsid w:val="676F6C9B"/>
    <w:rsid w:val="677E7E23"/>
    <w:rsid w:val="677F5BD1"/>
    <w:rsid w:val="678559A9"/>
    <w:rsid w:val="678D10F1"/>
    <w:rsid w:val="67B90328"/>
    <w:rsid w:val="67BA657C"/>
    <w:rsid w:val="67BB26E6"/>
    <w:rsid w:val="67D4527C"/>
    <w:rsid w:val="67D95BFA"/>
    <w:rsid w:val="67D962DE"/>
    <w:rsid w:val="67E44BDF"/>
    <w:rsid w:val="67F15B10"/>
    <w:rsid w:val="68000412"/>
    <w:rsid w:val="68112FFC"/>
    <w:rsid w:val="6818204F"/>
    <w:rsid w:val="6821629E"/>
    <w:rsid w:val="68312D0C"/>
    <w:rsid w:val="68396F4A"/>
    <w:rsid w:val="684A4B26"/>
    <w:rsid w:val="685C4935"/>
    <w:rsid w:val="686964D1"/>
    <w:rsid w:val="687B3882"/>
    <w:rsid w:val="687C605D"/>
    <w:rsid w:val="68820E26"/>
    <w:rsid w:val="68AB0C07"/>
    <w:rsid w:val="68B7562F"/>
    <w:rsid w:val="68C572F7"/>
    <w:rsid w:val="68DA75D9"/>
    <w:rsid w:val="68F6302A"/>
    <w:rsid w:val="68F66432"/>
    <w:rsid w:val="68F8163B"/>
    <w:rsid w:val="68F82E01"/>
    <w:rsid w:val="69100BB3"/>
    <w:rsid w:val="69197887"/>
    <w:rsid w:val="692D6CB4"/>
    <w:rsid w:val="697C4102"/>
    <w:rsid w:val="699D049C"/>
    <w:rsid w:val="69A43DD4"/>
    <w:rsid w:val="69AF21AC"/>
    <w:rsid w:val="69C501CC"/>
    <w:rsid w:val="69D866AC"/>
    <w:rsid w:val="69E823D4"/>
    <w:rsid w:val="6A063E9A"/>
    <w:rsid w:val="6A0660CE"/>
    <w:rsid w:val="6A0F285B"/>
    <w:rsid w:val="6A245004"/>
    <w:rsid w:val="6A29702E"/>
    <w:rsid w:val="6A2A3126"/>
    <w:rsid w:val="6A3E7B46"/>
    <w:rsid w:val="6A4C3BF5"/>
    <w:rsid w:val="6A5F6ED8"/>
    <w:rsid w:val="6A601A36"/>
    <w:rsid w:val="6A6E6909"/>
    <w:rsid w:val="6A7040C0"/>
    <w:rsid w:val="6A766E9C"/>
    <w:rsid w:val="6A7B0E04"/>
    <w:rsid w:val="6A813B4D"/>
    <w:rsid w:val="6A9713AE"/>
    <w:rsid w:val="6AA71DF5"/>
    <w:rsid w:val="6ABF6E16"/>
    <w:rsid w:val="6AC02FAB"/>
    <w:rsid w:val="6ADA3BF8"/>
    <w:rsid w:val="6AEE06E6"/>
    <w:rsid w:val="6AF7713C"/>
    <w:rsid w:val="6AFD25AF"/>
    <w:rsid w:val="6B037819"/>
    <w:rsid w:val="6B1D6B34"/>
    <w:rsid w:val="6B20711D"/>
    <w:rsid w:val="6B2D1B01"/>
    <w:rsid w:val="6B351BB1"/>
    <w:rsid w:val="6B500716"/>
    <w:rsid w:val="6B586808"/>
    <w:rsid w:val="6BB67061"/>
    <w:rsid w:val="6BBA1AA3"/>
    <w:rsid w:val="6BBE5427"/>
    <w:rsid w:val="6BCB7AF9"/>
    <w:rsid w:val="6BCC2F5E"/>
    <w:rsid w:val="6BD2099B"/>
    <w:rsid w:val="6BFF5265"/>
    <w:rsid w:val="6C076DAC"/>
    <w:rsid w:val="6C0E4945"/>
    <w:rsid w:val="6C1A464A"/>
    <w:rsid w:val="6C2943B6"/>
    <w:rsid w:val="6C3438F3"/>
    <w:rsid w:val="6C781ED9"/>
    <w:rsid w:val="6C79395C"/>
    <w:rsid w:val="6C7947A0"/>
    <w:rsid w:val="6CAE7EAD"/>
    <w:rsid w:val="6CB72AFA"/>
    <w:rsid w:val="6CBC7470"/>
    <w:rsid w:val="6CCF4339"/>
    <w:rsid w:val="6CE21D53"/>
    <w:rsid w:val="6CF07A54"/>
    <w:rsid w:val="6D063841"/>
    <w:rsid w:val="6D115E68"/>
    <w:rsid w:val="6D1B53F4"/>
    <w:rsid w:val="6D2F21A6"/>
    <w:rsid w:val="6D2F7C5C"/>
    <w:rsid w:val="6D337751"/>
    <w:rsid w:val="6D4843E2"/>
    <w:rsid w:val="6D4B53DF"/>
    <w:rsid w:val="6D562DEA"/>
    <w:rsid w:val="6D5D3354"/>
    <w:rsid w:val="6D6141D8"/>
    <w:rsid w:val="6D6B439C"/>
    <w:rsid w:val="6D7365BE"/>
    <w:rsid w:val="6D8C2314"/>
    <w:rsid w:val="6D9E6E70"/>
    <w:rsid w:val="6DA433C5"/>
    <w:rsid w:val="6DAC271B"/>
    <w:rsid w:val="6DB44979"/>
    <w:rsid w:val="6DC33EE4"/>
    <w:rsid w:val="6DC96F79"/>
    <w:rsid w:val="6DCD5D6B"/>
    <w:rsid w:val="6DDB4EB9"/>
    <w:rsid w:val="6DE13FCA"/>
    <w:rsid w:val="6DE97AB1"/>
    <w:rsid w:val="6DEF4454"/>
    <w:rsid w:val="6E272270"/>
    <w:rsid w:val="6E2A05FC"/>
    <w:rsid w:val="6E395CC2"/>
    <w:rsid w:val="6E3B204E"/>
    <w:rsid w:val="6E47780F"/>
    <w:rsid w:val="6E55344A"/>
    <w:rsid w:val="6E577AEB"/>
    <w:rsid w:val="6E594FD8"/>
    <w:rsid w:val="6E5D2F2B"/>
    <w:rsid w:val="6E5E38E2"/>
    <w:rsid w:val="6E5F2FB1"/>
    <w:rsid w:val="6E6A49D0"/>
    <w:rsid w:val="6E6A659F"/>
    <w:rsid w:val="6E6E01F0"/>
    <w:rsid w:val="6E7C6785"/>
    <w:rsid w:val="6E8A0BA1"/>
    <w:rsid w:val="6E9F329D"/>
    <w:rsid w:val="6E9F4F7D"/>
    <w:rsid w:val="6EAB656F"/>
    <w:rsid w:val="6EAD750D"/>
    <w:rsid w:val="6EB047DE"/>
    <w:rsid w:val="6EDB1441"/>
    <w:rsid w:val="6EE300F1"/>
    <w:rsid w:val="6EE91152"/>
    <w:rsid w:val="6F060A80"/>
    <w:rsid w:val="6F287811"/>
    <w:rsid w:val="6F2D006B"/>
    <w:rsid w:val="6F323C77"/>
    <w:rsid w:val="6F375CF6"/>
    <w:rsid w:val="6F402946"/>
    <w:rsid w:val="6F4E3D1D"/>
    <w:rsid w:val="6F4E59E3"/>
    <w:rsid w:val="6F4F5081"/>
    <w:rsid w:val="6F670A99"/>
    <w:rsid w:val="6F6A17AA"/>
    <w:rsid w:val="6F955B95"/>
    <w:rsid w:val="6FB11A65"/>
    <w:rsid w:val="6FB76711"/>
    <w:rsid w:val="6FC21CF8"/>
    <w:rsid w:val="6FC64BBF"/>
    <w:rsid w:val="6FD13A52"/>
    <w:rsid w:val="6FD50506"/>
    <w:rsid w:val="6FDC34DF"/>
    <w:rsid w:val="6FF07C74"/>
    <w:rsid w:val="701119C3"/>
    <w:rsid w:val="70130772"/>
    <w:rsid w:val="702B1A8B"/>
    <w:rsid w:val="702E04E5"/>
    <w:rsid w:val="704F607D"/>
    <w:rsid w:val="70562668"/>
    <w:rsid w:val="705E33EE"/>
    <w:rsid w:val="70844767"/>
    <w:rsid w:val="70846B5B"/>
    <w:rsid w:val="70920F63"/>
    <w:rsid w:val="70A12B0E"/>
    <w:rsid w:val="70AB0BD7"/>
    <w:rsid w:val="70C07711"/>
    <w:rsid w:val="70D02CC9"/>
    <w:rsid w:val="70E44160"/>
    <w:rsid w:val="70E96D83"/>
    <w:rsid w:val="70EB30F4"/>
    <w:rsid w:val="70FC51EF"/>
    <w:rsid w:val="71010592"/>
    <w:rsid w:val="711D0647"/>
    <w:rsid w:val="7120025C"/>
    <w:rsid w:val="712145CD"/>
    <w:rsid w:val="71541E1C"/>
    <w:rsid w:val="71764140"/>
    <w:rsid w:val="718B2F6F"/>
    <w:rsid w:val="718D4F4F"/>
    <w:rsid w:val="71A754AC"/>
    <w:rsid w:val="71B81B80"/>
    <w:rsid w:val="71F57809"/>
    <w:rsid w:val="71F96BE6"/>
    <w:rsid w:val="720106DF"/>
    <w:rsid w:val="721A316B"/>
    <w:rsid w:val="724D790E"/>
    <w:rsid w:val="726F0CDE"/>
    <w:rsid w:val="72790DE1"/>
    <w:rsid w:val="72A54F2F"/>
    <w:rsid w:val="72E04548"/>
    <w:rsid w:val="7309549F"/>
    <w:rsid w:val="731C77F7"/>
    <w:rsid w:val="732C70F2"/>
    <w:rsid w:val="73403DF6"/>
    <w:rsid w:val="73425AA0"/>
    <w:rsid w:val="73431FDB"/>
    <w:rsid w:val="734D7CB8"/>
    <w:rsid w:val="73504C65"/>
    <w:rsid w:val="735C0FE7"/>
    <w:rsid w:val="735E7690"/>
    <w:rsid w:val="73620AD2"/>
    <w:rsid w:val="7375368E"/>
    <w:rsid w:val="7376722C"/>
    <w:rsid w:val="737F74E1"/>
    <w:rsid w:val="73A54CBC"/>
    <w:rsid w:val="73A9011E"/>
    <w:rsid w:val="73AE4B2E"/>
    <w:rsid w:val="73B55EB5"/>
    <w:rsid w:val="73B83BE7"/>
    <w:rsid w:val="73BF58F7"/>
    <w:rsid w:val="73CF05BD"/>
    <w:rsid w:val="73E221BB"/>
    <w:rsid w:val="73E43029"/>
    <w:rsid w:val="73EE2B8E"/>
    <w:rsid w:val="742612CF"/>
    <w:rsid w:val="74303570"/>
    <w:rsid w:val="74470BE4"/>
    <w:rsid w:val="744F147A"/>
    <w:rsid w:val="747649B4"/>
    <w:rsid w:val="74790AE6"/>
    <w:rsid w:val="747C4A2E"/>
    <w:rsid w:val="748D6228"/>
    <w:rsid w:val="74914566"/>
    <w:rsid w:val="74987A7B"/>
    <w:rsid w:val="74B17156"/>
    <w:rsid w:val="74C75828"/>
    <w:rsid w:val="74EE1C68"/>
    <w:rsid w:val="74FD52BB"/>
    <w:rsid w:val="751C2411"/>
    <w:rsid w:val="753A2DE7"/>
    <w:rsid w:val="753A323B"/>
    <w:rsid w:val="7541586B"/>
    <w:rsid w:val="75454299"/>
    <w:rsid w:val="7555011E"/>
    <w:rsid w:val="75674849"/>
    <w:rsid w:val="75674AE5"/>
    <w:rsid w:val="756F055B"/>
    <w:rsid w:val="75942161"/>
    <w:rsid w:val="75997B33"/>
    <w:rsid w:val="759B604C"/>
    <w:rsid w:val="75EE4541"/>
    <w:rsid w:val="75F84A0C"/>
    <w:rsid w:val="75FB6568"/>
    <w:rsid w:val="761972CC"/>
    <w:rsid w:val="76226C25"/>
    <w:rsid w:val="762B6CF9"/>
    <w:rsid w:val="763766D9"/>
    <w:rsid w:val="76444F98"/>
    <w:rsid w:val="76476D2A"/>
    <w:rsid w:val="764A1931"/>
    <w:rsid w:val="765562FE"/>
    <w:rsid w:val="766318D5"/>
    <w:rsid w:val="766969CD"/>
    <w:rsid w:val="769F3076"/>
    <w:rsid w:val="76B92760"/>
    <w:rsid w:val="76D14090"/>
    <w:rsid w:val="76FD07F1"/>
    <w:rsid w:val="77055EB2"/>
    <w:rsid w:val="77135F63"/>
    <w:rsid w:val="7713705E"/>
    <w:rsid w:val="772C6427"/>
    <w:rsid w:val="772D7EF5"/>
    <w:rsid w:val="774B7827"/>
    <w:rsid w:val="776B20FF"/>
    <w:rsid w:val="777C1182"/>
    <w:rsid w:val="777F1BCA"/>
    <w:rsid w:val="77872563"/>
    <w:rsid w:val="778C525B"/>
    <w:rsid w:val="779C27E2"/>
    <w:rsid w:val="779F5503"/>
    <w:rsid w:val="77AC069B"/>
    <w:rsid w:val="77AE6086"/>
    <w:rsid w:val="77DA638D"/>
    <w:rsid w:val="77DE2B2B"/>
    <w:rsid w:val="77F30D02"/>
    <w:rsid w:val="780E2AF2"/>
    <w:rsid w:val="78362A07"/>
    <w:rsid w:val="78492EAC"/>
    <w:rsid w:val="78514985"/>
    <w:rsid w:val="7852181C"/>
    <w:rsid w:val="78535ADC"/>
    <w:rsid w:val="785B0234"/>
    <w:rsid w:val="786419B2"/>
    <w:rsid w:val="786D071C"/>
    <w:rsid w:val="787C62CE"/>
    <w:rsid w:val="78953FAB"/>
    <w:rsid w:val="789C4E04"/>
    <w:rsid w:val="78AA4048"/>
    <w:rsid w:val="78C10076"/>
    <w:rsid w:val="78D1000F"/>
    <w:rsid w:val="78EB2DE4"/>
    <w:rsid w:val="78F51829"/>
    <w:rsid w:val="78F76800"/>
    <w:rsid w:val="790C7A96"/>
    <w:rsid w:val="79395C63"/>
    <w:rsid w:val="794764C2"/>
    <w:rsid w:val="7957500C"/>
    <w:rsid w:val="796E44E1"/>
    <w:rsid w:val="79731A2B"/>
    <w:rsid w:val="79992563"/>
    <w:rsid w:val="79A84CF3"/>
    <w:rsid w:val="79C05011"/>
    <w:rsid w:val="79C2117B"/>
    <w:rsid w:val="79D461A6"/>
    <w:rsid w:val="79EA54E6"/>
    <w:rsid w:val="7A0378CE"/>
    <w:rsid w:val="7A193ABC"/>
    <w:rsid w:val="7A2942DD"/>
    <w:rsid w:val="7A312C48"/>
    <w:rsid w:val="7A34188F"/>
    <w:rsid w:val="7A3B38DE"/>
    <w:rsid w:val="7A3F628A"/>
    <w:rsid w:val="7A452243"/>
    <w:rsid w:val="7A7E74AA"/>
    <w:rsid w:val="7AB64DBF"/>
    <w:rsid w:val="7ABD7C98"/>
    <w:rsid w:val="7ACF72C8"/>
    <w:rsid w:val="7AD326A0"/>
    <w:rsid w:val="7AD37F08"/>
    <w:rsid w:val="7AD52DA3"/>
    <w:rsid w:val="7AE16703"/>
    <w:rsid w:val="7AF00EBE"/>
    <w:rsid w:val="7B066848"/>
    <w:rsid w:val="7B0824E6"/>
    <w:rsid w:val="7B0C28B2"/>
    <w:rsid w:val="7B19708E"/>
    <w:rsid w:val="7B1E0BCB"/>
    <w:rsid w:val="7B1F578D"/>
    <w:rsid w:val="7B201D36"/>
    <w:rsid w:val="7B3B6FAF"/>
    <w:rsid w:val="7B5231CC"/>
    <w:rsid w:val="7B534B39"/>
    <w:rsid w:val="7B563A7E"/>
    <w:rsid w:val="7B642FAC"/>
    <w:rsid w:val="7B830204"/>
    <w:rsid w:val="7B90553E"/>
    <w:rsid w:val="7B973DAE"/>
    <w:rsid w:val="7B990FE6"/>
    <w:rsid w:val="7BA508A8"/>
    <w:rsid w:val="7BA74C29"/>
    <w:rsid w:val="7BAA6762"/>
    <w:rsid w:val="7BBA6BD1"/>
    <w:rsid w:val="7BBD1651"/>
    <w:rsid w:val="7BD3392B"/>
    <w:rsid w:val="7BD52F9B"/>
    <w:rsid w:val="7BEA38EB"/>
    <w:rsid w:val="7BF94B28"/>
    <w:rsid w:val="7C08546F"/>
    <w:rsid w:val="7C1725FA"/>
    <w:rsid w:val="7C2F19C2"/>
    <w:rsid w:val="7C3116BA"/>
    <w:rsid w:val="7C331A31"/>
    <w:rsid w:val="7C506688"/>
    <w:rsid w:val="7C5F05EC"/>
    <w:rsid w:val="7C6B1E0B"/>
    <w:rsid w:val="7C760223"/>
    <w:rsid w:val="7C8B1C6D"/>
    <w:rsid w:val="7CBE47DD"/>
    <w:rsid w:val="7CC030B3"/>
    <w:rsid w:val="7CC574CC"/>
    <w:rsid w:val="7CD23FEB"/>
    <w:rsid w:val="7CE1309F"/>
    <w:rsid w:val="7CEF4406"/>
    <w:rsid w:val="7D0F1EDD"/>
    <w:rsid w:val="7D1C71B9"/>
    <w:rsid w:val="7D2631F5"/>
    <w:rsid w:val="7D362E4F"/>
    <w:rsid w:val="7D6900CD"/>
    <w:rsid w:val="7D6E3E84"/>
    <w:rsid w:val="7D71551D"/>
    <w:rsid w:val="7D762E72"/>
    <w:rsid w:val="7D8C50D6"/>
    <w:rsid w:val="7D9516DA"/>
    <w:rsid w:val="7D9A2F18"/>
    <w:rsid w:val="7D9F3DDA"/>
    <w:rsid w:val="7DB509CD"/>
    <w:rsid w:val="7DB703EA"/>
    <w:rsid w:val="7DBD3D3F"/>
    <w:rsid w:val="7DBF4193"/>
    <w:rsid w:val="7DDA4050"/>
    <w:rsid w:val="7DF24A83"/>
    <w:rsid w:val="7E2A4034"/>
    <w:rsid w:val="7E317FEB"/>
    <w:rsid w:val="7E360BC2"/>
    <w:rsid w:val="7E383ABE"/>
    <w:rsid w:val="7E4115B6"/>
    <w:rsid w:val="7E455ECE"/>
    <w:rsid w:val="7E4A1CF7"/>
    <w:rsid w:val="7E4E7846"/>
    <w:rsid w:val="7E7D6F23"/>
    <w:rsid w:val="7E855AEC"/>
    <w:rsid w:val="7E8B6695"/>
    <w:rsid w:val="7EA434BC"/>
    <w:rsid w:val="7EC235CF"/>
    <w:rsid w:val="7EC94C83"/>
    <w:rsid w:val="7ECE063C"/>
    <w:rsid w:val="7EDB4F54"/>
    <w:rsid w:val="7EF16B8A"/>
    <w:rsid w:val="7EFE3E15"/>
    <w:rsid w:val="7F006438"/>
    <w:rsid w:val="7F25389C"/>
    <w:rsid w:val="7F254BC4"/>
    <w:rsid w:val="7F30747F"/>
    <w:rsid w:val="7F62792C"/>
    <w:rsid w:val="7F951F48"/>
    <w:rsid w:val="7F9B03EA"/>
    <w:rsid w:val="7F9F0CE4"/>
    <w:rsid w:val="7FA44C24"/>
    <w:rsid w:val="7FB54615"/>
    <w:rsid w:val="7FC3166B"/>
    <w:rsid w:val="7FD10253"/>
    <w:rsid w:val="7FF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kern w:val="0"/>
      <w:sz w:val="20"/>
      <w:szCs w:val="21"/>
    </w:rPr>
  </w:style>
  <w:style w:type="paragraph" w:styleId="4">
    <w:name w:val="Normal Indent"/>
    <w:basedOn w:val="1"/>
    <w:next w:val="1"/>
    <w:qFormat/>
    <w:uiPriority w:val="0"/>
    <w:pPr>
      <w:ind w:firstLine="20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99"/>
    <w:pPr>
      <w:spacing w:line="640" w:lineRule="exact"/>
      <w:jc w:val="center"/>
      <w:outlineLvl w:val="0"/>
    </w:pPr>
    <w:rPr>
      <w:rFonts w:ascii="Cambria" w:hAnsi="Cambria" w:eastAsia="华文中宋" w:cs="Times New Roman"/>
      <w:b/>
      <w:bCs/>
      <w:kern w:val="0"/>
      <w:sz w:val="32"/>
      <w:szCs w:val="32"/>
    </w:rPr>
  </w:style>
  <w:style w:type="character" w:styleId="10">
    <w:name w:val="page number"/>
    <w:basedOn w:val="9"/>
    <w:qFormat/>
    <w:uiPriority w:val="0"/>
  </w:style>
  <w:style w:type="character" w:customStyle="1" w:styleId="11">
    <w:name w:val="font01"/>
    <w:basedOn w:val="9"/>
    <w:qFormat/>
    <w:uiPriority w:val="0"/>
    <w:rPr>
      <w:rFonts w:hint="eastAsia" w:ascii="宋体" w:hAnsi="宋体" w:eastAsia="宋体" w:cs="宋体"/>
      <w:color w:val="000000"/>
      <w:sz w:val="18"/>
      <w:szCs w:val="18"/>
      <w:u w:val="none"/>
    </w:rPr>
  </w:style>
  <w:style w:type="character" w:customStyle="1" w:styleId="12">
    <w:name w:val="font11"/>
    <w:basedOn w:val="9"/>
    <w:qFormat/>
    <w:uiPriority w:val="0"/>
    <w:rPr>
      <w:rFonts w:hint="eastAsia" w:ascii="宋体" w:hAnsi="宋体" w:eastAsia="宋体" w:cs="宋体"/>
      <w:color w:val="000000"/>
      <w:sz w:val="18"/>
      <w:szCs w:val="18"/>
      <w:u w:val="none"/>
    </w:rPr>
  </w:style>
  <w:style w:type="character" w:customStyle="1" w:styleId="13">
    <w:name w:val="font8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2023-01-29T07:56:00Z</dcterms:created>
  <dc:creator>无名</dc:creator>
  <cp:lastModifiedBy>XYSD</cp:lastModifiedBy>
  <cp:lastPrinted>2024-08-30T08:39:44Z</cp:lastPrinted>
  <dcterms:modified xsi:type="dcterms:W3CDTF">2024-08-30T09:09:58Z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