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北京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金融街服务局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/>
          <w:b/>
          <w:sz w:val="44"/>
          <w:szCs w:val="44"/>
        </w:rPr>
        <w:t>年部门决算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b/>
          <w:bCs/>
          <w:sz w:val="32"/>
          <w:szCs w:val="32"/>
        </w:rPr>
        <w:t>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决算说</w:t>
      </w:r>
      <w:r>
        <w:rPr>
          <w:rFonts w:hint="eastAsia" w:ascii="仿宋_GB2312" w:eastAsia="仿宋_GB2312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年部门“三公”经费财政拨款支出情况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（四）重点绩效评价结果等预算绩效情况说明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（六）国有资本经营预算拨款收支情况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政府性基金预算情况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第二部分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年政府购买服务支出情况表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年一般公共预算财政拨款支出情况表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年一般公共预算财政拨款基本支出情况表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年政府性基金预算财政拨款收支情况表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年政府性基金预算财政拨款基本支出情况表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决算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textAlignment w:val="auto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北京金融街服务局</w:t>
      </w:r>
      <w:r>
        <w:rPr>
          <w:rFonts w:hint="eastAsia" w:ascii="仿宋_GB2312" w:eastAsia="仿宋_GB2312"/>
          <w:sz w:val="32"/>
          <w:szCs w:val="32"/>
        </w:rPr>
        <w:t>,主要负责全区金融产业发展、金融服务、金融环境建设与统筹区域协调发展。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金融街服务局</w:t>
      </w:r>
      <w:r>
        <w:rPr>
          <w:rFonts w:hint="eastAsia" w:ascii="仿宋_GB2312" w:eastAsia="仿宋_GB2312"/>
          <w:sz w:val="32"/>
          <w:szCs w:val="32"/>
        </w:rPr>
        <w:t>内设7个处室，下设1个事业单位。主要职责包括：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1.贯彻落实国家关于金融的法律、法规、规章、政策和北京市的相关规定。研究制定本区金融业发展规划以及产业促进政策、措施，并组织协调实施。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2.根据市政府授权，统筹推进国家金融管理中心建设发展，组织编制区域发展规划，会同相关部门制定交通、市政和环境景观等专项规划，协调区域地方管理与服务事项，负责做好国家金融管理中心服务工作。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3.牵头落实国家服务业扩大开放综合示范区建设金融工作任务，促进京津冀金融领域协调发展。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4.负责服务对接金融监管部门、金融街区域内相关机构。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5.负责研究分析金融街与本区金融业发展形势和发展规律，监测金融街与本区金融业发展情况。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6.负责开展本区金融机构引进和产业配置工作，推动本区金融市场建设发展。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7.统筹协调本区融资服务体系及金融战略合作关系的建立完善。负责本区上市企业培育，组织推进本区企业上市、挂牌服务工作。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8.研究制定本区金融人才服务政策并组织实施。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9.负责金融街的对外合作交流、宣传推介和品牌价值提升工作。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10.按照“管行业必须管安全、管业务必须管安全、管生产经营必须管安全”的要求，承担相关安全生产工作职责。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11.承办市委市政府、区委区政府交办的其他任务。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编制预算期间，金融街服务局行政实有人数31人，事业实有人数12人，合计实有人数43人。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</w:rPr>
        <w:t>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2" w:leftChars="263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算842,884,869.62元，比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426.53元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减少40,273,556.91 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降低4.56</w:t>
      </w:r>
      <w:r>
        <w:rPr>
          <w:rFonts w:hint="eastAsia" w:ascii="仿宋_GB2312" w:eastAsia="仿宋_GB2312"/>
          <w:sz w:val="32"/>
          <w:szCs w:val="32"/>
        </w:rPr>
        <w:t>%。其中：财政拨款842,884,869.62元，比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年883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426.53元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减少40,273,556.91 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降低4.56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算14,993,424.23元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963.34元相比增加515,460.89元，增长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主要原因是人员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增加，相应</w:t>
      </w:r>
      <w:r>
        <w:rPr>
          <w:rFonts w:hint="eastAsia" w:ascii="仿宋_GB2312" w:eastAsia="仿宋_GB2312"/>
          <w:sz w:val="32"/>
          <w:szCs w:val="32"/>
          <w:highlight w:val="none"/>
        </w:rPr>
        <w:t>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算827,891,445.39元，比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年868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463.2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减少40,789,017.81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降低4.70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年部门“三公”经费财政拨款支出情况说明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金融街服务局</w:t>
      </w:r>
      <w:r>
        <w:rPr>
          <w:rFonts w:hint="eastAsia" w:ascii="仿宋_GB2312" w:eastAsia="仿宋_GB2312"/>
          <w:sz w:val="32"/>
          <w:szCs w:val="32"/>
        </w:rPr>
        <w:t>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“三公”经费财政拨款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年因公出国（境）费财政拨款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较去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175,808.30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年公务接待费财政拨款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年公务用车购置及运行维护费财政拨款支出0元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</w:t>
      </w:r>
      <w:r>
        <w:rPr>
          <w:rFonts w:hint="eastAsia" w:ascii="仿宋_GB2312" w:eastAsia="仿宋_GB2312"/>
          <w:sz w:val="32"/>
          <w:szCs w:val="32"/>
        </w:rPr>
        <w:t>年持平。实有公务用车数量为0辆，财政拨款预算安排0元，其中公务用车购置费0元，公务用车运行维护费0元。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</w:t>
      </w:r>
      <w:r>
        <w:rPr>
          <w:rFonts w:hint="eastAsia" w:ascii="仿宋_GB2312" w:eastAsia="仿宋_GB2312"/>
          <w:sz w:val="32"/>
          <w:szCs w:val="32"/>
          <w:highlight w:val="none"/>
        </w:rPr>
        <w:t>行政运行经费</w:t>
      </w:r>
      <w:r>
        <w:rPr>
          <w:rFonts w:hint="eastAsia" w:ascii="仿宋_GB2312" w:eastAsia="仿宋_GB2312"/>
          <w:sz w:val="32"/>
          <w:szCs w:val="32"/>
        </w:rPr>
        <w:t>合计7,983,204.77元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机关运行经费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支出776,828.28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元，比2022年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600,144.24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元增加176,684.04元。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年政府采购支出金额1,548,980.00元，其中：政府采购货物支出9,980.00元，政府采购服务支出1,539,000.00元。授予中小企业合同金额1,548,980.00元，占政府采购支出的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%，其中：授予小微企业合同金额1,548,980.00元，占政府采购支出的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金额4,438,693.00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（四）重点绩效评价结果等预算绩效情况说明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年，开展部门支出绩效评价工作，对部门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项目支出进行绩效评价。经过部门综合评价，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年度部门预算支出绩效评价得分为99.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绩效评定等级为“优秀”。严格执行单位财务内控制度，不断规范工作流程，完善工作机制，健全制度体系，修订采购管理等制度及业务流程。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，本部门固定资产总额1,499,543.48元，其中：车辆0台，0万元；单位价值50万元以上的通用设备0台（套）、0万元，单位价值100万元以上的专用设备0台（套）、0万元。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）政府性基金预算情况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政府性基金预算拨款收支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outlineLvl w:val="1"/>
        <w:rPr>
          <w:rFonts w:hint="eastAsia" w:ascii="仿宋_GB2312" w:eastAsia="仿宋_GB2312"/>
          <w:b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outlineLvl w:val="1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第二部分 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</w:t>
      </w:r>
      <w:r>
        <w:rPr>
          <w:rFonts w:hint="eastAsia" w:ascii="仿宋_GB2312" w:eastAsia="仿宋_GB2312"/>
          <w:b/>
          <w:sz w:val="36"/>
          <w:szCs w:val="36"/>
        </w:rPr>
        <w:t>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表一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1413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1871"/>
        <w:gridCol w:w="1729"/>
        <w:gridCol w:w="3386"/>
        <w:gridCol w:w="1885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6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7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1,648,096.80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956,744.40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216,387,975.99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837,447,300.02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1,971,548.40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412,757,381.00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jc w:val="left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表二：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</w:p>
    <w:tbl>
      <w:tblPr>
        <w:tblStyle w:val="4"/>
        <w:tblW w:w="1419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636"/>
        <w:gridCol w:w="1701"/>
        <w:gridCol w:w="1701"/>
        <w:gridCol w:w="1360"/>
        <w:gridCol w:w="1063"/>
        <w:gridCol w:w="1228"/>
        <w:gridCol w:w="1048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424,689,919.02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424,689,919.02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11,047,662.93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11,047,662.93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金融部门其他行政支出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212,293,915.09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212,293,915.09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其他金融发展支出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212,293,915.09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212,293,915.09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9,080.00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9,080.00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right"/>
        </w:trPr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表三：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142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636"/>
        <w:gridCol w:w="1701"/>
        <w:gridCol w:w="1701"/>
        <w:gridCol w:w="1701"/>
        <w:gridCol w:w="1437"/>
        <w:gridCol w:w="1388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14,993,424.23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827,891,445.39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837,447,300.02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10,071,854.63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827,375,445.39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11,047,662.93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10,071,854.63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金融部门其他行政支出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9,080.00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表四： 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8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4"/>
        <w:gridCol w:w="4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1,548,980.00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1,548,980.000000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1．政府采购货物支出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9,980.000000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2．政府采购工程支出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3．政府采购服务支出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1,539,000.000000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1,548,980.00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其中：授予小微企业合同金额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1,548,980.000000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： </w:t>
      </w:r>
    </w:p>
    <w:p>
      <w:pPr>
        <w:ind w:firstLine="154" w:firstLineChars="48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年政府购买服务支出情况表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916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271"/>
        <w:gridCol w:w="3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4,438,693.00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1,895,139.00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社会治理服务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429,591.00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城乡维护服务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农业、林业和水利公共服务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1,465,548.00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2,543,554.00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1,743,554.00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/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</w:p>
    <w:tbl>
      <w:tblPr>
        <w:tblStyle w:val="4"/>
        <w:tblW w:w="15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642"/>
        <w:gridCol w:w="1571"/>
        <w:gridCol w:w="3320"/>
        <w:gridCol w:w="1361"/>
        <w:gridCol w:w="1214"/>
        <w:gridCol w:w="1272"/>
        <w:gridCol w:w="1157"/>
        <w:gridCol w:w="1157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10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国有资本经营预算财政拨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1,648,096.80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956,744.40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216,387,975.99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837,447,300.02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1,971,548.40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430,127,488.62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412,757,381.00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412,757,381.00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221,180,365.59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年一般公共预算财政拨款支出情况表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tbl>
      <w:tblPr>
        <w:tblStyle w:val="4"/>
        <w:tblW w:w="9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461"/>
        <w:gridCol w:w="3636"/>
        <w:gridCol w:w="1697"/>
        <w:gridCol w:w="169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842,884,869.62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14,993,424.23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827,891,445.39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1,648,326.80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873,819.20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222,925.20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837,447,300.02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10,071,854.63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827,375,445.39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11,047,662.93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10,071,854.63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975,808.30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7,467,204.77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2,604,649.86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金融部门其他行政支出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975,808.30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975,808.30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625,051,296.09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625,051,296.09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625,051,296.09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201,348,341.00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201,348,341.00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201,348,341.00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2,176,498.40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1,202,790.00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年一般公共预算财政拨款基本支出情况表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tbl>
      <w:tblPr>
        <w:tblStyle w:val="4"/>
        <w:tblW w:w="15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2936"/>
        <w:gridCol w:w="1736"/>
        <w:gridCol w:w="1888"/>
        <w:gridCol w:w="3829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14,215,895.95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776,828.28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1,742,494.10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94,856.06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房屋建筑物购建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6,573,379.00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688,970.00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伙食补助费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基础设施建设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绩效工资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1,322,060.00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大型修缮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1,098,731.20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549,365.60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物资储备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1,096,744.40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土地补偿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安置补助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80,197.25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27,778.00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地上附着物和青苗补偿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964,628.40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因公出国（境）费用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拆迁补偿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8,590.00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99,326.00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其他交通工具购置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文物和陈列品购置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离休费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无形资产购置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其他资本性支出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退职（役）费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抚恤金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资本金注入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生活补助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政府投资基金股权投资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救济费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费用补贴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270,900.00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利息补贴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助学金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131,503.68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其他对企业补助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奖励金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144,813.79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个人农业生产补贴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国家赔偿费用支出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代缴社会保险费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对民间非营利组织和群众性自治组织补贴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经常性赠与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98,386.75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资本性赠与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国内债务付息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国外债务付息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国内债务发行费用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国外债务发行费用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14,216,595.95</w:t>
            </w:r>
          </w:p>
        </w:tc>
        <w:tc>
          <w:tcPr>
            <w:tcW w:w="7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776,828.28</w:t>
            </w:r>
          </w:p>
        </w:tc>
      </w:tr>
    </w:tbl>
    <w:p>
      <w:pPr>
        <w:jc w:val="center"/>
      </w:pPr>
    </w:p>
    <w:p/>
    <w:p/>
    <w:p/>
    <w:p/>
    <w:p/>
    <w:p/>
    <w:p/>
    <w:p/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年政府性基金预算财政拨款收支情况表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13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43"/>
        <w:gridCol w:w="783"/>
        <w:gridCol w:w="2132"/>
        <w:gridCol w:w="1094"/>
        <w:gridCol w:w="952"/>
        <w:gridCol w:w="915"/>
        <w:gridCol w:w="1085"/>
        <w:gridCol w:w="1186"/>
        <w:gridCol w:w="972"/>
        <w:gridCol w:w="996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3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年政府性基金预算财政拨款基本支出情况表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15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43"/>
        <w:gridCol w:w="3357"/>
        <w:gridCol w:w="2457"/>
        <w:gridCol w:w="3759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基本工资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房屋建筑物购建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津贴补贴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印刷费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办公设备购置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咨询费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专用设备购置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伙食补助费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手续费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基础设施建设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绩效工资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水费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大型修缮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电费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信息网络及软件购置更新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职业年金缴费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邮电费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物资储备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职工基本医疗保险缴费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取暖费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土地补偿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公务员医疗补助缴费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物业管理费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安置补助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其他社会保障缴费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差旅费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地上附着物和青苗补偿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因公出国（境）费用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拆迁补偿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维修（护）费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其他工资福利支出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租赁费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其他交通工具购置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会议费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文物和陈列品购置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离休费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培训费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无形资产购置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退休费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公务接待费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其他资本性支出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退职（役）费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专用材料费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抚恤金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被装购置费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资本金注入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生活补助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专用燃料费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政府投资基金股权投资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救济费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劳务费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费用补贴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医疗费补助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委托业务费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利息补贴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助学金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工会经费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其他对企业补助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奖励金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福利费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个人农业生产补贴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国家赔偿费用支出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代缴社会保险费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其他交通费用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对民间非营利组织和群众性自治组织补贴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其他对个人和家庭的补助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税金及附加费用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经常性赠与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其他商品和服务支出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资本性赠与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国内债务付息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国外债务付息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国内债务发行费用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国外债务发行费用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footerReference r:id="rId4" w:type="default"/>
          <w:pgSz w:w="16838" w:h="11906" w:orient="landscape"/>
          <w:pgMar w:top="1797" w:right="1134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9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413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sectPr>
          <w:pgSz w:w="16838" w:h="11906" w:orient="landscape"/>
          <w:pgMar w:top="1797" w:right="1134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4"/>
        </w:rPr>
        <w:t>单位:元</w:t>
      </w:r>
    </w:p>
    <w:tbl>
      <w:tblPr>
        <w:tblStyle w:val="4"/>
        <w:tblW w:w="157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5"/>
        <w:gridCol w:w="2115"/>
        <w:gridCol w:w="1898"/>
        <w:gridCol w:w="1465"/>
        <w:gridCol w:w="1465"/>
        <w:gridCol w:w="1465"/>
        <w:gridCol w:w="1465"/>
        <w:gridCol w:w="1465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“三公”经费财政拨款合计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公务用车加油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公务用车维修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公务用车保险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2023年预算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4,086.48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4,086.48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2023年决算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175,808.30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175,808.30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firstLine="420" w:firstLineChars="200"/>
        <w:jc w:val="right"/>
        <w:textAlignment w:val="auto"/>
      </w:pPr>
    </w:p>
    <w:sectPr>
      <w:pgSz w:w="16838" w:h="11906" w:orient="landscape"/>
      <w:pgMar w:top="1797" w:right="1134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029739D"/>
    <w:rsid w:val="03AC6180"/>
    <w:rsid w:val="03E34DFE"/>
    <w:rsid w:val="04C048E9"/>
    <w:rsid w:val="05B253F0"/>
    <w:rsid w:val="063254CD"/>
    <w:rsid w:val="07371628"/>
    <w:rsid w:val="076A4A09"/>
    <w:rsid w:val="07C1104B"/>
    <w:rsid w:val="08FF2FD8"/>
    <w:rsid w:val="095C4D1C"/>
    <w:rsid w:val="0B7671EE"/>
    <w:rsid w:val="0E2B14A4"/>
    <w:rsid w:val="0F85062C"/>
    <w:rsid w:val="0F9F539D"/>
    <w:rsid w:val="10BC77C0"/>
    <w:rsid w:val="12D30CF2"/>
    <w:rsid w:val="16E42F30"/>
    <w:rsid w:val="185973BC"/>
    <w:rsid w:val="1B1E113A"/>
    <w:rsid w:val="1C315CA1"/>
    <w:rsid w:val="1E7C4FE5"/>
    <w:rsid w:val="1EB152D4"/>
    <w:rsid w:val="1F64556F"/>
    <w:rsid w:val="20A00CCE"/>
    <w:rsid w:val="21B35427"/>
    <w:rsid w:val="22F01C91"/>
    <w:rsid w:val="25310DEE"/>
    <w:rsid w:val="267F6D84"/>
    <w:rsid w:val="27444118"/>
    <w:rsid w:val="2A5B4004"/>
    <w:rsid w:val="2B0023E9"/>
    <w:rsid w:val="2C9E5DE8"/>
    <w:rsid w:val="31227023"/>
    <w:rsid w:val="31AB6F2B"/>
    <w:rsid w:val="329B630A"/>
    <w:rsid w:val="32AF3D5F"/>
    <w:rsid w:val="33CB74FA"/>
    <w:rsid w:val="33D905B9"/>
    <w:rsid w:val="34521A58"/>
    <w:rsid w:val="34BA0CBC"/>
    <w:rsid w:val="36287858"/>
    <w:rsid w:val="36EC7BFA"/>
    <w:rsid w:val="36FA177B"/>
    <w:rsid w:val="3733163E"/>
    <w:rsid w:val="39204EFF"/>
    <w:rsid w:val="3ADD2FCE"/>
    <w:rsid w:val="3CD37757"/>
    <w:rsid w:val="3E007463"/>
    <w:rsid w:val="3F087EB5"/>
    <w:rsid w:val="41BF2AD5"/>
    <w:rsid w:val="42A96F60"/>
    <w:rsid w:val="458738E1"/>
    <w:rsid w:val="46122BD7"/>
    <w:rsid w:val="46B81C3E"/>
    <w:rsid w:val="477D5821"/>
    <w:rsid w:val="48A63A27"/>
    <w:rsid w:val="4B87136B"/>
    <w:rsid w:val="4BFE6BDA"/>
    <w:rsid w:val="4C88662F"/>
    <w:rsid w:val="4E2810F4"/>
    <w:rsid w:val="4E675E7E"/>
    <w:rsid w:val="4E8053CF"/>
    <w:rsid w:val="4FD61243"/>
    <w:rsid w:val="50923421"/>
    <w:rsid w:val="54C318D7"/>
    <w:rsid w:val="567710EF"/>
    <w:rsid w:val="57DB2F58"/>
    <w:rsid w:val="57DD3B57"/>
    <w:rsid w:val="57E409C2"/>
    <w:rsid w:val="58445940"/>
    <w:rsid w:val="5914657A"/>
    <w:rsid w:val="5A564A07"/>
    <w:rsid w:val="5B171373"/>
    <w:rsid w:val="5B44147B"/>
    <w:rsid w:val="5B742C73"/>
    <w:rsid w:val="606F72DB"/>
    <w:rsid w:val="60E3177A"/>
    <w:rsid w:val="619E72CC"/>
    <w:rsid w:val="626C40A2"/>
    <w:rsid w:val="63293B2D"/>
    <w:rsid w:val="638D7ACE"/>
    <w:rsid w:val="64C77912"/>
    <w:rsid w:val="678E0A84"/>
    <w:rsid w:val="682F7047"/>
    <w:rsid w:val="688838CC"/>
    <w:rsid w:val="6B4636FB"/>
    <w:rsid w:val="6D2531FB"/>
    <w:rsid w:val="6E294453"/>
    <w:rsid w:val="6ECA6537"/>
    <w:rsid w:val="6F981707"/>
    <w:rsid w:val="77F96F41"/>
    <w:rsid w:val="786D5D54"/>
    <w:rsid w:val="7A5C696D"/>
    <w:rsid w:val="7A6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6453</Words>
  <Characters>12828</Characters>
  <Lines>0</Lines>
  <Paragraphs>0</Paragraphs>
  <TotalTime>23</TotalTime>
  <ScaleCrop>false</ScaleCrop>
  <LinksUpToDate>false</LinksUpToDate>
  <CharactersWithSpaces>13181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小竹</cp:lastModifiedBy>
  <cp:lastPrinted>2022-08-31T07:25:00Z</cp:lastPrinted>
  <dcterms:modified xsi:type="dcterms:W3CDTF">2024-09-02T08:03:34Z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ABBD269421974C1EAFD5C4A2CF887138</vt:lpwstr>
  </property>
</Properties>
</file>