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93" w:afterLines="30"/>
        <w:jc w:val="center"/>
        <w:rPr>
          <w:rFonts w:cs="宋体" w:asciiTheme="majorEastAsia" w:hAnsiTheme="majorEastAsia" w:eastAsiaTheme="majorEastAsia"/>
          <w:b/>
          <w:kern w:val="0"/>
          <w:sz w:val="44"/>
          <w:szCs w:val="44"/>
        </w:rPr>
      </w:pPr>
      <w:bookmarkStart w:id="0" w:name="_GoBack"/>
      <w:r>
        <w:rPr>
          <w:rFonts w:hint="eastAsia" w:cs="宋体" w:asciiTheme="majorEastAsia" w:hAnsiTheme="majorEastAsia" w:eastAsiaTheme="majorEastAsia"/>
          <w:b/>
          <w:kern w:val="0"/>
          <w:sz w:val="44"/>
          <w:szCs w:val="44"/>
        </w:rPr>
        <w:t>2023年西城区生态环境保护综合执法检查（含双随机检查）任务计划</w:t>
      </w:r>
    </w:p>
    <w:bookmarkEnd w:id="0"/>
    <w:tbl>
      <w:tblPr>
        <w:tblStyle w:val="3"/>
        <w:tblW w:w="5211" w:type="pct"/>
        <w:tblInd w:w="-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8"/>
        <w:gridCol w:w="1333"/>
        <w:gridCol w:w="5733"/>
        <w:gridCol w:w="1528"/>
        <w:gridCol w:w="1557"/>
        <w:gridCol w:w="2412"/>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blHeader/>
        </w:trPr>
        <w:tc>
          <w:tcPr>
            <w:tcW w:w="2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黑体" w:hAnsi="黑体" w:eastAsia="黑体" w:cs="宋体"/>
                <w:sz w:val="28"/>
                <w:szCs w:val="28"/>
              </w:rPr>
            </w:pPr>
            <w:r>
              <w:rPr>
                <w:rFonts w:hint="eastAsia" w:ascii="黑体" w:hAnsi="黑体" w:eastAsia="黑体" w:cs="宋体"/>
                <w:kern w:val="0"/>
                <w:sz w:val="28"/>
                <w:szCs w:val="28"/>
              </w:rPr>
              <w:t>序号</w:t>
            </w:r>
          </w:p>
        </w:tc>
        <w:tc>
          <w:tcPr>
            <w:tcW w:w="4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黑体" w:hAnsi="黑体" w:eastAsia="黑体" w:cs="宋体"/>
                <w:sz w:val="28"/>
                <w:szCs w:val="28"/>
              </w:rPr>
            </w:pPr>
            <w:r>
              <w:rPr>
                <w:rFonts w:hint="eastAsia" w:ascii="黑体" w:hAnsi="黑体" w:eastAsia="黑体" w:cs="宋体"/>
                <w:kern w:val="0"/>
                <w:sz w:val="28"/>
                <w:szCs w:val="28"/>
              </w:rPr>
              <w:t>任务名称</w:t>
            </w:r>
          </w:p>
        </w:tc>
        <w:tc>
          <w:tcPr>
            <w:tcW w:w="196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黑体" w:hAnsi="黑体" w:eastAsia="黑体" w:cs="宋体"/>
                <w:sz w:val="28"/>
                <w:szCs w:val="28"/>
              </w:rPr>
            </w:pPr>
            <w:r>
              <w:rPr>
                <w:rFonts w:hint="eastAsia" w:ascii="黑体" w:hAnsi="黑体" w:eastAsia="黑体" w:cs="宋体"/>
                <w:kern w:val="0"/>
                <w:sz w:val="28"/>
                <w:szCs w:val="28"/>
              </w:rPr>
              <w:t>检查项目</w:t>
            </w:r>
          </w:p>
        </w:tc>
        <w:tc>
          <w:tcPr>
            <w:tcW w:w="52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黑体" w:hAnsi="黑体" w:eastAsia="黑体" w:cs="宋体"/>
                <w:kern w:val="0"/>
                <w:sz w:val="28"/>
                <w:szCs w:val="28"/>
              </w:rPr>
            </w:pPr>
            <w:r>
              <w:rPr>
                <w:rFonts w:hint="eastAsia" w:ascii="黑体" w:hAnsi="黑体" w:eastAsia="黑体" w:cs="宋体"/>
                <w:kern w:val="0"/>
                <w:sz w:val="28"/>
                <w:szCs w:val="28"/>
              </w:rPr>
              <w:t>检查方式</w:t>
            </w:r>
          </w:p>
        </w:tc>
        <w:tc>
          <w:tcPr>
            <w:tcW w:w="53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default" w:ascii="黑体" w:hAnsi="黑体" w:eastAsia="黑体" w:cs="宋体"/>
                <w:kern w:val="0"/>
                <w:sz w:val="28"/>
                <w:szCs w:val="28"/>
                <w:lang w:val="en-US" w:eastAsia="zh-CN"/>
              </w:rPr>
            </w:pPr>
            <w:r>
              <w:rPr>
                <w:rFonts w:hint="eastAsia" w:ascii="黑体" w:hAnsi="黑体" w:eastAsia="黑体" w:cs="宋体"/>
                <w:kern w:val="0"/>
                <w:sz w:val="28"/>
                <w:szCs w:val="28"/>
              </w:rPr>
              <w:t>检查基数</w:t>
            </w:r>
            <w:r>
              <w:rPr>
                <w:rFonts w:hint="eastAsia" w:ascii="黑体" w:hAnsi="黑体" w:eastAsia="黑体" w:cs="宋体"/>
                <w:kern w:val="0"/>
                <w:sz w:val="28"/>
                <w:szCs w:val="28"/>
                <w:lang w:eastAsia="zh-CN"/>
              </w:rPr>
              <w:t>（</w:t>
            </w:r>
            <w:r>
              <w:rPr>
                <w:rFonts w:hint="eastAsia" w:ascii="黑体" w:hAnsi="黑体" w:eastAsia="黑体" w:cs="宋体"/>
                <w:kern w:val="0"/>
                <w:sz w:val="28"/>
                <w:szCs w:val="28"/>
                <w:lang w:val="en-US" w:eastAsia="zh-CN"/>
              </w:rPr>
              <w:t>检查对象范围）</w:t>
            </w:r>
          </w:p>
        </w:tc>
        <w:tc>
          <w:tcPr>
            <w:tcW w:w="82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黑体" w:hAnsi="黑体" w:eastAsia="黑体" w:cs="宋体"/>
                <w:kern w:val="0"/>
                <w:sz w:val="28"/>
                <w:szCs w:val="28"/>
              </w:rPr>
            </w:pPr>
            <w:r>
              <w:rPr>
                <w:rFonts w:hint="eastAsia" w:ascii="黑体" w:hAnsi="黑体" w:eastAsia="黑体" w:cs="宋体"/>
                <w:kern w:val="0"/>
                <w:sz w:val="28"/>
                <w:szCs w:val="28"/>
              </w:rPr>
              <w:t>检查数量和比例</w:t>
            </w:r>
          </w:p>
        </w:tc>
        <w:tc>
          <w:tcPr>
            <w:tcW w:w="431"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黑体" w:hAnsi="黑体" w:eastAsia="黑体" w:cs="宋体"/>
                <w:kern w:val="0"/>
                <w:sz w:val="28"/>
                <w:szCs w:val="28"/>
              </w:rPr>
            </w:pPr>
            <w:r>
              <w:rPr>
                <w:rFonts w:hint="eastAsia" w:ascii="黑体" w:hAnsi="黑体" w:eastAsia="黑体" w:cs="宋体"/>
                <w:kern w:val="0"/>
                <w:sz w:val="28"/>
                <w:szCs w:val="28"/>
              </w:rPr>
              <w:t>检查主体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0" w:type="pct"/>
            <w:tcBorders>
              <w:top w:val="nil"/>
              <w:left w:val="single" w:color="auto" w:sz="4" w:space="0"/>
              <w:bottom w:val="nil"/>
              <w:right w:val="single" w:color="auto" w:sz="4" w:space="0"/>
            </w:tcBorders>
            <w:tcMar>
              <w:top w:w="15" w:type="dxa"/>
              <w:left w:w="15" w:type="dxa"/>
              <w:bottom w:w="0" w:type="dxa"/>
              <w:right w:w="15" w:type="dxa"/>
            </w:tcMar>
            <w:vAlign w:val="center"/>
          </w:tcPr>
          <w:p>
            <w:pPr>
              <w:widowControl/>
              <w:jc w:val="center"/>
              <w:textAlignment w:val="center"/>
              <w:rPr>
                <w:rFonts w:ascii="仿宋_GB2312" w:hAnsi="Arial" w:cs="Arial"/>
                <w:sz w:val="24"/>
              </w:rPr>
            </w:pPr>
            <w:r>
              <w:rPr>
                <w:rFonts w:hint="eastAsia" w:ascii="仿宋_GB2312" w:hAnsi="Arial" w:cs="Arial"/>
                <w:kern w:val="0"/>
                <w:sz w:val="24"/>
              </w:rPr>
              <w:t>1</w:t>
            </w:r>
          </w:p>
        </w:tc>
        <w:tc>
          <w:tcPr>
            <w:tcW w:w="4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hAnsi="仿宋_GB2312" w:cs="仿宋_GB2312"/>
                <w:color w:val="000000"/>
                <w:kern w:val="0"/>
                <w:sz w:val="24"/>
              </w:rPr>
              <w:t>餐饮行业执法</w:t>
            </w:r>
          </w:p>
          <w:p>
            <w:pPr>
              <w:widowControl/>
              <w:jc w:val="center"/>
              <w:textAlignment w:val="center"/>
              <w:rPr>
                <w:rFonts w:ascii="仿宋_GB2312" w:hAnsi="宋体" w:cs="宋体"/>
                <w:kern w:val="0"/>
                <w:sz w:val="24"/>
              </w:rPr>
            </w:pPr>
          </w:p>
        </w:tc>
        <w:tc>
          <w:tcPr>
            <w:tcW w:w="19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hAnsi="仿宋_GB2312" w:cs="仿宋_GB2312"/>
                <w:color w:val="000000"/>
                <w:kern w:val="0"/>
                <w:sz w:val="24"/>
              </w:rPr>
              <w:t>结合全时执法、“点穴式”执法等，对辖区至少1750家餐饮单位开展检查，除信访举报、重点时期和重要交办事项外，同一家餐饮单位原则上不开展重复检查；</w:t>
            </w:r>
          </w:p>
          <w:p>
            <w:pPr>
              <w:widowControl/>
              <w:jc w:val="left"/>
              <w:textAlignment w:val="center"/>
              <w:rPr>
                <w:rFonts w:hAnsi="仿宋_GB2312" w:cs="仿宋_GB2312"/>
                <w:color w:val="000000"/>
                <w:kern w:val="0"/>
                <w:sz w:val="24"/>
              </w:rPr>
            </w:pPr>
            <w:r>
              <w:rPr>
                <w:rFonts w:hint="eastAsia" w:hAnsi="仿宋_GB2312" w:cs="仿宋_GB2312"/>
                <w:color w:val="000000"/>
                <w:kern w:val="0"/>
                <w:sz w:val="24"/>
              </w:rPr>
              <w:t>2、对至少348家餐饮单位开展油烟抽测，结合信访投诉等，至少对10家餐饮单位开展排风设备噪声监测；加强餐饮油烟自动监控设备应用，</w:t>
            </w:r>
          </w:p>
          <w:p>
            <w:pPr>
              <w:widowControl/>
              <w:jc w:val="left"/>
              <w:textAlignment w:val="center"/>
              <w:rPr>
                <w:rFonts w:hAnsi="仿宋_GB2312" w:cs="仿宋_GB2312"/>
                <w:color w:val="000000"/>
                <w:kern w:val="0"/>
                <w:sz w:val="24"/>
              </w:rPr>
            </w:pPr>
            <w:r>
              <w:rPr>
                <w:rFonts w:hint="eastAsia" w:hAnsi="仿宋_GB2312" w:cs="仿宋_GB2312"/>
                <w:color w:val="000000"/>
                <w:kern w:val="0"/>
                <w:sz w:val="24"/>
              </w:rPr>
              <w:t>3、重点关注信访举报较多的区域，在信访集中时间段前，督促餐饮单位清洗、维护油烟净化设备。结合实际，加强帮扶指导，综合施策，引导餐饮单位主动加强油烟治理。</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双随机</w:t>
            </w:r>
          </w:p>
        </w:tc>
        <w:tc>
          <w:tcPr>
            <w:tcW w:w="53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3483家</w:t>
            </w:r>
          </w:p>
        </w:tc>
        <w:tc>
          <w:tcPr>
            <w:tcW w:w="82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hAnsi="仿宋_GB2312" w:cs="仿宋_GB2312"/>
                <w:color w:val="000000"/>
                <w:kern w:val="0"/>
                <w:sz w:val="24"/>
              </w:rPr>
              <w:t>1.检查任务量1750家，比例50%；</w:t>
            </w:r>
          </w:p>
          <w:p>
            <w:pPr>
              <w:widowControl/>
              <w:jc w:val="left"/>
              <w:textAlignment w:val="center"/>
              <w:rPr>
                <w:rFonts w:ascii="仿宋_GB2312" w:hAnsi="仿宋_GB2312" w:cs="仿宋_GB2312"/>
                <w:kern w:val="0"/>
                <w:sz w:val="24"/>
              </w:rPr>
            </w:pPr>
            <w:r>
              <w:rPr>
                <w:rFonts w:hint="eastAsia" w:hAnsi="仿宋_GB2312" w:cs="仿宋_GB2312"/>
                <w:color w:val="000000"/>
                <w:kern w:val="0"/>
                <w:sz w:val="24"/>
              </w:rPr>
              <w:t>2.监测任务量（气）348家，比例50%，监测任务量（噪声）10家，比例0.28%，</w:t>
            </w:r>
          </w:p>
        </w:tc>
        <w:tc>
          <w:tcPr>
            <w:tcW w:w="431"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ascii="仿宋_GB2312" w:hAnsi="仿宋_GB2312" w:cs="仿宋_GB2312"/>
                <w:bCs/>
                <w:color w:val="000000"/>
                <w:kern w:val="0"/>
                <w:sz w:val="24"/>
              </w:rPr>
              <w:t>西城区生态环境局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0" w:type="pct"/>
            <w:tcBorders>
              <w:top w:val="nil"/>
              <w:left w:val="single" w:color="auto" w:sz="4" w:space="0"/>
              <w:bottom w:val="nil"/>
              <w:right w:val="single" w:color="auto" w:sz="4" w:space="0"/>
            </w:tcBorders>
            <w:tcMar>
              <w:top w:w="15" w:type="dxa"/>
              <w:left w:w="15" w:type="dxa"/>
              <w:bottom w:w="0" w:type="dxa"/>
              <w:right w:w="15" w:type="dxa"/>
            </w:tcMar>
            <w:vAlign w:val="center"/>
          </w:tcPr>
          <w:p>
            <w:pPr>
              <w:widowControl/>
              <w:jc w:val="center"/>
              <w:textAlignment w:val="center"/>
              <w:rPr>
                <w:rFonts w:ascii="仿宋_GB2312" w:hAnsi="Arial" w:cs="Arial"/>
                <w:kern w:val="0"/>
                <w:sz w:val="24"/>
              </w:rPr>
            </w:pPr>
            <w:r>
              <w:rPr>
                <w:rFonts w:hint="eastAsia" w:ascii="仿宋_GB2312" w:hAnsi="Arial" w:cs="Arial"/>
                <w:kern w:val="0"/>
                <w:sz w:val="24"/>
              </w:rPr>
              <w:t>2</w:t>
            </w:r>
          </w:p>
        </w:tc>
        <w:tc>
          <w:tcPr>
            <w:tcW w:w="4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hAnsi="宋体" w:cs="宋体"/>
                <w:kern w:val="0"/>
                <w:sz w:val="24"/>
              </w:rPr>
            </w:pPr>
            <w:r>
              <w:rPr>
                <w:rFonts w:hint="eastAsia" w:hAnsi="仿宋_GB2312" w:cs="仿宋_GB2312"/>
                <w:color w:val="000000"/>
                <w:kern w:val="0"/>
                <w:sz w:val="24"/>
              </w:rPr>
              <w:t>加油站执法</w:t>
            </w:r>
          </w:p>
        </w:tc>
        <w:tc>
          <w:tcPr>
            <w:tcW w:w="19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hAnsi="仿宋_GB2312" w:cs="仿宋_GB2312"/>
                <w:color w:val="000000"/>
                <w:kern w:val="0"/>
                <w:sz w:val="24"/>
              </w:rPr>
              <w:t>1、对安装自动监控设备的加油站，每月至少开展1次非现场执法检查，</w:t>
            </w:r>
            <w:r>
              <w:rPr>
                <w:rFonts w:hAnsi="仿宋_GB2312" w:cs="仿宋_GB2312"/>
                <w:color w:val="000000"/>
                <w:kern w:val="0"/>
                <w:sz w:val="24"/>
              </w:rPr>
              <w:t>对问题线索及时现场核实</w:t>
            </w:r>
            <w:r>
              <w:rPr>
                <w:rFonts w:hint="eastAsia" w:hAnsi="仿宋_GB2312" w:cs="仿宋_GB2312"/>
                <w:color w:val="000000"/>
                <w:kern w:val="0"/>
                <w:sz w:val="24"/>
              </w:rPr>
              <w:t>；全年至少进行1次现场执法检查，同步对自动监控设备开展1次比对监测，重点检查加油站自动监控系统准确性，查处自动监控违法行为。每季度至少检测1次油气回收装置密闭性、液阻、气液比。</w:t>
            </w:r>
          </w:p>
          <w:p>
            <w:pPr>
              <w:widowControl/>
              <w:jc w:val="left"/>
              <w:textAlignment w:val="center"/>
              <w:rPr>
                <w:rFonts w:hAnsi="仿宋_GB2312" w:cs="仿宋_GB2312"/>
                <w:color w:val="000000"/>
                <w:kern w:val="0"/>
                <w:sz w:val="24"/>
              </w:rPr>
            </w:pPr>
            <w:r>
              <w:rPr>
                <w:rFonts w:hint="eastAsia" w:hAnsi="仿宋_GB2312" w:cs="仿宋_GB2312"/>
                <w:color w:val="000000"/>
                <w:kern w:val="0"/>
                <w:sz w:val="24"/>
              </w:rPr>
              <w:t>2、首次现场执法检查加油站时，要</w:t>
            </w:r>
            <w:r>
              <w:rPr>
                <w:rFonts w:hAnsi="仿宋_GB2312" w:cs="仿宋_GB2312"/>
                <w:color w:val="000000"/>
                <w:kern w:val="0"/>
                <w:sz w:val="24"/>
              </w:rPr>
              <w:t>开展地下水污染防治执法检查。</w:t>
            </w:r>
            <w:r>
              <w:rPr>
                <w:rFonts w:hint="eastAsia" w:hAnsi="仿宋_GB2312" w:cs="仿宋_GB2312"/>
                <w:color w:val="000000"/>
                <w:kern w:val="0"/>
                <w:sz w:val="24"/>
              </w:rPr>
              <w:t>同时，开展车用油品清净剂添加情况检查，对加油站车用汽油开展清净性模拟法检测，全年对辖区内不少于10%的社会加油站开展所有标号车用汽油的清净性抽测，对辖区内中石化、中石油加油站分别至少选择1家进行所有标号车用汽油的清净性抽测。</w:t>
            </w:r>
          </w:p>
          <w:p>
            <w:pPr>
              <w:widowControl/>
              <w:jc w:val="left"/>
              <w:textAlignment w:val="center"/>
              <w:rPr>
                <w:rFonts w:hAnsi="仿宋_GB2312" w:cs="仿宋_GB2312"/>
                <w:color w:val="000000"/>
                <w:kern w:val="0"/>
                <w:sz w:val="24"/>
              </w:rPr>
            </w:pP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日常/双随机</w:t>
            </w:r>
          </w:p>
        </w:tc>
        <w:tc>
          <w:tcPr>
            <w:tcW w:w="53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16家</w:t>
            </w:r>
          </w:p>
        </w:tc>
        <w:tc>
          <w:tcPr>
            <w:tcW w:w="82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hAnsi="仿宋_GB2312" w:cs="仿宋_GB2312"/>
                <w:color w:val="000000"/>
                <w:kern w:val="0"/>
                <w:sz w:val="24"/>
              </w:rPr>
              <w:t>共16家，全年至少进行1次现场执法检查，检查比例100%，每月至少开展1次非现场执法检查</w:t>
            </w:r>
          </w:p>
        </w:tc>
        <w:tc>
          <w:tcPr>
            <w:tcW w:w="431"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ascii="仿宋_GB2312" w:hAnsi="仿宋_GB2312" w:cs="仿宋_GB2312"/>
                <w:bCs/>
                <w:color w:val="000000"/>
                <w:kern w:val="0"/>
                <w:sz w:val="24"/>
              </w:rPr>
              <w:t>西城区生态环境局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0" w:type="pct"/>
            <w:tcBorders>
              <w:top w:val="nil"/>
              <w:left w:val="single" w:color="auto" w:sz="4" w:space="0"/>
              <w:bottom w:val="nil"/>
              <w:right w:val="single" w:color="auto" w:sz="4" w:space="0"/>
            </w:tcBorders>
            <w:tcMar>
              <w:top w:w="15" w:type="dxa"/>
              <w:left w:w="15" w:type="dxa"/>
              <w:bottom w:w="0" w:type="dxa"/>
              <w:right w:w="15" w:type="dxa"/>
            </w:tcMar>
            <w:vAlign w:val="center"/>
          </w:tcPr>
          <w:p>
            <w:pPr>
              <w:widowControl/>
              <w:jc w:val="center"/>
              <w:textAlignment w:val="center"/>
              <w:rPr>
                <w:rFonts w:ascii="仿宋_GB2312" w:hAnsi="Arial" w:cs="Arial"/>
                <w:kern w:val="0"/>
                <w:sz w:val="24"/>
              </w:rPr>
            </w:pPr>
            <w:r>
              <w:rPr>
                <w:rFonts w:hint="eastAsia" w:ascii="仿宋_GB2312" w:hAnsi="Arial" w:cs="Arial"/>
                <w:kern w:val="0"/>
                <w:sz w:val="24"/>
              </w:rPr>
              <w:t>3</w:t>
            </w:r>
          </w:p>
        </w:tc>
        <w:tc>
          <w:tcPr>
            <w:tcW w:w="4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hAnsi="宋体" w:cs="宋体"/>
                <w:kern w:val="0"/>
                <w:sz w:val="24"/>
              </w:rPr>
            </w:pPr>
            <w:r>
              <w:rPr>
                <w:rFonts w:hint="eastAsia" w:ascii="仿宋_GB2312" w:eastAsia="仿宋_GB2312"/>
                <w:szCs w:val="32"/>
              </w:rPr>
              <w:t>采暖季锅炉执法</w:t>
            </w:r>
          </w:p>
        </w:tc>
        <w:tc>
          <w:tcPr>
            <w:tcW w:w="19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hAnsi="仿宋_GB2312" w:cs="仿宋_GB2312"/>
                <w:color w:val="000000"/>
                <w:kern w:val="0"/>
                <w:sz w:val="24"/>
              </w:rPr>
              <w:t>以未开展低氮改造或改造目标为80mg/m3的燃气锅炉使用单位为重点，强化现场执法检查和监测。检查监测不少于25家次。同时，做好锅炉使用单位清洁能源和低氮改造信息的收集整理。</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双随机</w:t>
            </w:r>
          </w:p>
        </w:tc>
        <w:tc>
          <w:tcPr>
            <w:tcW w:w="53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ascii="仿宋_GB2312" w:hAnsi="宋体" w:cs="宋体"/>
                <w:kern w:val="0"/>
                <w:sz w:val="24"/>
              </w:rPr>
              <w:t>382家</w:t>
            </w:r>
          </w:p>
        </w:tc>
        <w:tc>
          <w:tcPr>
            <w:tcW w:w="82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hAnsi="仿宋_GB2312" w:cs="仿宋_GB2312"/>
                <w:color w:val="000000"/>
                <w:kern w:val="0"/>
                <w:sz w:val="24"/>
              </w:rPr>
              <w:t>检查监测不少于25家次；</w:t>
            </w:r>
          </w:p>
          <w:p>
            <w:pPr>
              <w:widowControl/>
              <w:jc w:val="left"/>
              <w:textAlignment w:val="center"/>
              <w:rPr>
                <w:rFonts w:hAnsi="仿宋_GB2312" w:cs="仿宋_GB2312"/>
                <w:color w:val="000000"/>
                <w:kern w:val="0"/>
                <w:sz w:val="24"/>
              </w:rPr>
            </w:pPr>
            <w:r>
              <w:rPr>
                <w:rFonts w:hint="eastAsia" w:hAnsi="仿宋_GB2312" w:cs="仿宋_GB2312"/>
                <w:color w:val="000000"/>
                <w:kern w:val="0"/>
                <w:sz w:val="24"/>
              </w:rPr>
              <w:t>采暖季每月检查比例≥3%</w:t>
            </w:r>
          </w:p>
        </w:tc>
        <w:tc>
          <w:tcPr>
            <w:tcW w:w="431"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ascii="仿宋_GB2312" w:hAnsi="仿宋_GB2312" w:cs="仿宋_GB2312"/>
                <w:bCs/>
                <w:color w:val="000000"/>
                <w:kern w:val="0"/>
                <w:sz w:val="24"/>
              </w:rPr>
              <w:t>西城区生态环境局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hAnsi="Arial" w:cs="Arial"/>
                <w:kern w:val="0"/>
                <w:sz w:val="24"/>
              </w:rPr>
            </w:pPr>
            <w:r>
              <w:rPr>
                <w:rFonts w:hint="eastAsia" w:ascii="仿宋_GB2312" w:hAnsi="Arial" w:cs="Arial"/>
                <w:kern w:val="0"/>
                <w:sz w:val="24"/>
              </w:rPr>
              <w:t>4</w:t>
            </w:r>
          </w:p>
        </w:tc>
        <w:tc>
          <w:tcPr>
            <w:tcW w:w="45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eastAsia="仿宋_GB2312"/>
                <w:szCs w:val="32"/>
              </w:rPr>
            </w:pPr>
            <w:r>
              <w:rPr>
                <w:rFonts w:hint="eastAsia" w:ascii="仿宋_GB2312" w:eastAsia="仿宋_GB2312"/>
                <w:szCs w:val="32"/>
              </w:rPr>
              <w:t>ODS执法</w:t>
            </w:r>
          </w:p>
        </w:tc>
        <w:tc>
          <w:tcPr>
            <w:tcW w:w="1966" w:type="pct"/>
            <w:tcBorders>
              <w:top w:val="single" w:color="auto" w:sz="4" w:space="0"/>
              <w:left w:val="nil"/>
              <w:bottom w:val="single" w:color="auto" w:sz="4" w:space="0"/>
              <w:right w:val="single" w:color="auto" w:sz="4" w:space="0"/>
            </w:tcBorders>
            <w:tcMar>
              <w:top w:w="15" w:type="dxa"/>
              <w:left w:w="15" w:type="dxa"/>
              <w:bottom w:w="0" w:type="dxa"/>
              <w:right w:w="15" w:type="dxa"/>
            </w:tcMar>
          </w:tcPr>
          <w:p>
            <w:pPr>
              <w:pStyle w:val="7"/>
              <w:spacing w:line="560" w:lineRule="exact"/>
              <w:ind w:firstLine="640"/>
              <w:rPr>
                <w:rFonts w:hAnsi="仿宋_GB2312" w:cs="仿宋_GB2312"/>
                <w:color w:val="000000"/>
                <w:kern w:val="0"/>
                <w:sz w:val="24"/>
              </w:rPr>
            </w:pPr>
            <w:r>
              <w:rPr>
                <w:rFonts w:hint="eastAsia" w:hAnsi="仿宋_GB2312" w:cs="仿宋_GB2312"/>
                <w:color w:val="000000"/>
                <w:kern w:val="0"/>
                <w:sz w:val="24"/>
              </w:rPr>
              <w:t>结合日常执法、全时执法等工作任务，加强对涉ODS企业日常监管，摸排企业备案情况，督促未备案企业依法限期备案。对生态环境部移交的ODS违法线索开展排查。</w:t>
            </w:r>
          </w:p>
          <w:p>
            <w:pPr>
              <w:pStyle w:val="7"/>
              <w:spacing w:line="560" w:lineRule="exact"/>
              <w:ind w:firstLine="640"/>
              <w:rPr>
                <w:rFonts w:hAnsi="仿宋_GB2312" w:cs="仿宋_GB2312"/>
                <w:color w:val="000000"/>
                <w:kern w:val="0"/>
                <w:sz w:val="24"/>
              </w:rPr>
            </w:pPr>
            <w:r>
              <w:rPr>
                <w:rFonts w:hint="eastAsia" w:hAnsi="仿宋_GB2312" w:cs="仿宋_GB2312"/>
                <w:color w:val="000000"/>
                <w:kern w:val="0"/>
                <w:sz w:val="24"/>
              </w:rPr>
              <w:t>7月底前，以专项“双随机”形式，对目前我区备案的ODS销售和使用单位进行检查；核验企业经营材料、追溯发泡剂采购来源，检查是否使用淘汰禁用物质，对应备未备、备案信息与实际生产经营不符的，依法查处。</w:t>
            </w:r>
          </w:p>
        </w:tc>
        <w:tc>
          <w:tcPr>
            <w:tcW w:w="52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双随机</w:t>
            </w:r>
          </w:p>
        </w:tc>
        <w:tc>
          <w:tcPr>
            <w:tcW w:w="53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17家</w:t>
            </w:r>
          </w:p>
        </w:tc>
        <w:tc>
          <w:tcPr>
            <w:tcW w:w="82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检查17家；</w:t>
            </w:r>
          </w:p>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检查比例100%</w:t>
            </w:r>
          </w:p>
        </w:tc>
        <w:tc>
          <w:tcPr>
            <w:tcW w:w="431"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ascii="仿宋_GB2312" w:hAnsi="仿宋_GB2312" w:cs="仿宋_GB2312"/>
                <w:bCs/>
                <w:color w:val="000000"/>
                <w:kern w:val="0"/>
                <w:sz w:val="24"/>
              </w:rPr>
              <w:t>西城区生态环境局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hAnsi="Arial" w:cs="Arial"/>
                <w:kern w:val="0"/>
                <w:sz w:val="24"/>
              </w:rPr>
            </w:pPr>
            <w:r>
              <w:rPr>
                <w:rFonts w:hint="eastAsia" w:ascii="仿宋_GB2312" w:hAnsi="Arial" w:cs="Arial"/>
                <w:kern w:val="0"/>
                <w:sz w:val="24"/>
              </w:rPr>
              <w:t>5</w:t>
            </w:r>
          </w:p>
        </w:tc>
        <w:tc>
          <w:tcPr>
            <w:tcW w:w="4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7"/>
              <w:spacing w:line="560" w:lineRule="exact"/>
              <w:ind w:firstLine="0"/>
              <w:jc w:val="left"/>
              <w:rPr>
                <w:rFonts w:hAnsi="仿宋_GB2312" w:cs="仿宋_GB2312"/>
                <w:color w:val="000000"/>
                <w:kern w:val="0"/>
                <w:sz w:val="24"/>
              </w:rPr>
            </w:pPr>
            <w:r>
              <w:rPr>
                <w:rFonts w:hAnsi="仿宋_GB2312" w:cs="仿宋_GB2312"/>
                <w:color w:val="000000"/>
                <w:kern w:val="0"/>
                <w:sz w:val="24"/>
              </w:rPr>
              <w:t>“双打”专项执法</w:t>
            </w:r>
          </w:p>
          <w:p>
            <w:pPr>
              <w:widowControl/>
              <w:jc w:val="center"/>
              <w:textAlignment w:val="center"/>
              <w:rPr>
                <w:rFonts w:hAnsi="仿宋_GB2312" w:cs="仿宋_GB2312"/>
                <w:color w:val="000000"/>
                <w:kern w:val="0"/>
                <w:sz w:val="24"/>
              </w:rPr>
            </w:pPr>
          </w:p>
        </w:tc>
        <w:tc>
          <w:tcPr>
            <w:tcW w:w="19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
              <w:adjustRightInd w:val="0"/>
              <w:snapToGrid w:val="0"/>
              <w:spacing w:after="0" w:line="560" w:lineRule="exact"/>
              <w:ind w:firstLine="480" w:firstLineChars="200"/>
              <w:rPr>
                <w:rFonts w:hAnsi="仿宋_GB2312" w:cs="仿宋_GB2312"/>
                <w:color w:val="000000"/>
                <w:kern w:val="0"/>
                <w:sz w:val="24"/>
              </w:rPr>
            </w:pPr>
            <w:r>
              <w:rPr>
                <w:rFonts w:hint="eastAsia" w:hAnsi="仿宋_GB2312" w:cs="仿宋_GB2312"/>
                <w:color w:val="000000"/>
                <w:kern w:val="0"/>
                <w:sz w:val="24"/>
              </w:rPr>
              <w:t>按照工作方案，联合公安、检察部门开展严厉打击危险废物环境违法犯罪和重点排污单位自动监测数据弄虚作假违法犯罪行为专项行动，紧盯重点行业、重点领域，强化行刑衔接，查办典型案件。</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专项</w:t>
            </w:r>
          </w:p>
        </w:tc>
        <w:tc>
          <w:tcPr>
            <w:tcW w:w="53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hAnsi="仿宋_GB2312" w:cs="仿宋_GB2312"/>
                <w:color w:val="000000"/>
                <w:kern w:val="0"/>
                <w:sz w:val="24"/>
              </w:rPr>
              <w:t>问题线索数量</w:t>
            </w:r>
          </w:p>
        </w:tc>
        <w:tc>
          <w:tcPr>
            <w:tcW w:w="82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依据问题线索开展；</w:t>
            </w:r>
          </w:p>
          <w:p>
            <w:pPr>
              <w:widowControl/>
              <w:jc w:val="center"/>
              <w:textAlignment w:val="center"/>
              <w:rPr>
                <w:rFonts w:hAnsi="仿宋_GB2312" w:cs="仿宋_GB2312"/>
                <w:color w:val="000000"/>
                <w:kern w:val="0"/>
                <w:sz w:val="24"/>
              </w:rPr>
            </w:pPr>
            <w:r>
              <w:rPr>
                <w:rFonts w:hint="eastAsia" w:ascii="仿宋_GB2312" w:hAnsi="宋体" w:cs="宋体"/>
                <w:kern w:val="0"/>
                <w:sz w:val="24"/>
              </w:rPr>
              <w:t>检查比例</w:t>
            </w:r>
            <w:r>
              <w:rPr>
                <w:rFonts w:hint="eastAsia" w:hAnsi="仿宋_GB2312" w:cs="仿宋_GB2312"/>
                <w:color w:val="000000"/>
                <w:kern w:val="0"/>
                <w:sz w:val="24"/>
              </w:rPr>
              <w:t>100%</w:t>
            </w:r>
          </w:p>
        </w:tc>
        <w:tc>
          <w:tcPr>
            <w:tcW w:w="43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ascii="仿宋_GB2312" w:hAnsi="仿宋_GB2312" w:cs="仿宋_GB2312"/>
                <w:bCs/>
                <w:color w:val="000000"/>
                <w:kern w:val="0"/>
                <w:sz w:val="24"/>
              </w:rPr>
              <w:t>西城区生态环境局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hAnsi="Arial" w:cs="Arial"/>
                <w:kern w:val="0"/>
                <w:sz w:val="24"/>
              </w:rPr>
            </w:pPr>
            <w:r>
              <w:rPr>
                <w:rFonts w:hint="eastAsia" w:ascii="仿宋_GB2312" w:hAnsi="Arial" w:cs="Arial"/>
                <w:kern w:val="0"/>
                <w:sz w:val="24"/>
              </w:rPr>
              <w:t>6</w:t>
            </w:r>
          </w:p>
        </w:tc>
        <w:tc>
          <w:tcPr>
            <w:tcW w:w="4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7"/>
              <w:spacing w:line="560" w:lineRule="exact"/>
              <w:ind w:firstLine="0"/>
              <w:rPr>
                <w:rFonts w:hAnsi="仿宋_GB2312" w:cs="仿宋_GB2312"/>
                <w:color w:val="000000"/>
                <w:kern w:val="0"/>
                <w:sz w:val="24"/>
              </w:rPr>
            </w:pPr>
            <w:r>
              <w:rPr>
                <w:rFonts w:hint="eastAsia" w:hAnsi="仿宋_GB2312" w:cs="仿宋_GB2312"/>
                <w:color w:val="000000"/>
                <w:kern w:val="0"/>
                <w:sz w:val="24"/>
              </w:rPr>
              <w:t>第三方环保服务机构专项执法</w:t>
            </w:r>
          </w:p>
        </w:tc>
        <w:tc>
          <w:tcPr>
            <w:tcW w:w="19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7"/>
              <w:spacing w:line="560" w:lineRule="exact"/>
              <w:ind w:firstLine="640"/>
              <w:rPr>
                <w:rFonts w:hAnsi="仿宋_GB2312" w:cs="仿宋_GB2312"/>
                <w:color w:val="000000"/>
                <w:kern w:val="0"/>
                <w:sz w:val="24"/>
              </w:rPr>
            </w:pPr>
            <w:r>
              <w:rPr>
                <w:rFonts w:hint="eastAsia" w:hAnsi="仿宋_GB2312" w:cs="仿宋_GB2312"/>
                <w:color w:val="000000"/>
                <w:kern w:val="0"/>
                <w:sz w:val="24"/>
              </w:rPr>
              <w:t>按照工作方案，联合市场监管、公安等部门持续加大对第三方环保服务机构的监管执法力度，聚焦重点领域，利用大数据等手段，深入摸排线索，依法严肃查处弄虚作假违法行为，强化行刑衔接，查办典型案件。</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双随机</w:t>
            </w:r>
          </w:p>
        </w:tc>
        <w:tc>
          <w:tcPr>
            <w:tcW w:w="53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5家</w:t>
            </w:r>
          </w:p>
        </w:tc>
        <w:tc>
          <w:tcPr>
            <w:tcW w:w="82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检查3家；</w:t>
            </w:r>
          </w:p>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检查比例60%</w:t>
            </w:r>
          </w:p>
        </w:tc>
        <w:tc>
          <w:tcPr>
            <w:tcW w:w="43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ascii="仿宋_GB2312" w:hAnsi="仿宋_GB2312" w:cs="仿宋_GB2312"/>
                <w:bCs/>
                <w:color w:val="000000"/>
                <w:kern w:val="0"/>
                <w:sz w:val="24"/>
              </w:rPr>
              <w:t>西城区生态环境局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0" w:type="pct"/>
            <w:tcBorders>
              <w:top w:val="single" w:color="auto" w:sz="4" w:space="0"/>
              <w:left w:val="single" w:color="auto" w:sz="4" w:space="0"/>
              <w:bottom w:val="nil"/>
              <w:right w:val="single" w:color="auto" w:sz="4" w:space="0"/>
            </w:tcBorders>
            <w:tcMar>
              <w:top w:w="15" w:type="dxa"/>
              <w:left w:w="15" w:type="dxa"/>
              <w:bottom w:w="0" w:type="dxa"/>
              <w:right w:w="15" w:type="dxa"/>
            </w:tcMar>
            <w:vAlign w:val="center"/>
          </w:tcPr>
          <w:p>
            <w:pPr>
              <w:widowControl/>
              <w:jc w:val="center"/>
              <w:textAlignment w:val="center"/>
              <w:rPr>
                <w:rFonts w:ascii="仿宋_GB2312" w:hAnsi="Arial" w:cs="Arial"/>
                <w:kern w:val="0"/>
                <w:sz w:val="24"/>
              </w:rPr>
            </w:pPr>
          </w:p>
          <w:p>
            <w:pPr>
              <w:widowControl/>
              <w:jc w:val="center"/>
              <w:textAlignment w:val="center"/>
              <w:rPr>
                <w:rFonts w:ascii="仿宋_GB2312" w:hAnsi="Arial" w:cs="Arial"/>
                <w:kern w:val="0"/>
                <w:sz w:val="24"/>
              </w:rPr>
            </w:pPr>
            <w:r>
              <w:rPr>
                <w:rFonts w:hint="eastAsia" w:ascii="仿宋_GB2312" w:hAnsi="Arial" w:cs="Arial"/>
                <w:kern w:val="0"/>
                <w:sz w:val="24"/>
              </w:rPr>
              <w:t>7</w:t>
            </w:r>
          </w:p>
        </w:tc>
        <w:tc>
          <w:tcPr>
            <w:tcW w:w="4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碳排放</w:t>
            </w:r>
          </w:p>
        </w:tc>
        <w:tc>
          <w:tcPr>
            <w:tcW w:w="19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7"/>
              <w:spacing w:line="560" w:lineRule="exact"/>
              <w:ind w:firstLine="0"/>
              <w:rPr>
                <w:rFonts w:hAnsi="仿宋_GB2312" w:cs="仿宋_GB2312"/>
                <w:color w:val="000000"/>
                <w:kern w:val="0"/>
                <w:sz w:val="24"/>
              </w:rPr>
            </w:pPr>
            <w:r>
              <w:rPr>
                <w:rFonts w:hint="eastAsia" w:hAnsi="仿宋_GB2312" w:cs="仿宋_GB2312"/>
                <w:color w:val="000000"/>
                <w:kern w:val="0"/>
                <w:sz w:val="24"/>
              </w:rPr>
              <w:t>配合局综合科</w:t>
            </w:r>
            <w:r>
              <w:rPr>
                <w:rFonts w:hAnsi="仿宋_GB2312" w:cs="仿宋_GB2312"/>
                <w:color w:val="000000"/>
                <w:kern w:val="0"/>
                <w:sz w:val="24"/>
              </w:rPr>
              <w:t>对接</w:t>
            </w:r>
            <w:r>
              <w:rPr>
                <w:rFonts w:hint="eastAsia" w:hAnsi="仿宋_GB2312" w:cs="仿宋_GB2312"/>
                <w:color w:val="000000"/>
                <w:kern w:val="0"/>
                <w:sz w:val="24"/>
              </w:rPr>
              <w:t>应对气候变化工作要求，组织开展碳排放权交易相关执法检查工作,依法查处超配额排放、未按要求报送碳排放报告和第三方核查报告等行为。</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hAnsi="仿宋_GB2312" w:cs="仿宋_GB2312"/>
                <w:color w:val="000000"/>
                <w:kern w:val="0"/>
                <w:sz w:val="24"/>
              </w:rPr>
              <w:t>专项/双随机</w:t>
            </w:r>
          </w:p>
        </w:tc>
        <w:tc>
          <w:tcPr>
            <w:tcW w:w="53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85家</w:t>
            </w:r>
          </w:p>
        </w:tc>
        <w:tc>
          <w:tcPr>
            <w:tcW w:w="82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hAnsi="宋体" w:cs="宋体"/>
                <w:kern w:val="0"/>
                <w:sz w:val="24"/>
              </w:rPr>
            </w:pPr>
            <w:r>
              <w:rPr>
                <w:rFonts w:hint="eastAsia" w:ascii="仿宋_GB2312" w:hAnsi="宋体" w:cs="宋体"/>
                <w:kern w:val="0"/>
                <w:sz w:val="24"/>
              </w:rPr>
              <w:t>按照北京市检查要求开展；</w:t>
            </w:r>
          </w:p>
          <w:p>
            <w:pPr>
              <w:widowControl/>
              <w:jc w:val="center"/>
              <w:textAlignment w:val="center"/>
              <w:rPr>
                <w:rFonts w:hAnsi="仿宋_GB2312" w:cs="仿宋_GB2312"/>
                <w:color w:val="000000"/>
                <w:kern w:val="0"/>
                <w:sz w:val="24"/>
              </w:rPr>
            </w:pPr>
            <w:r>
              <w:rPr>
                <w:rFonts w:hint="eastAsia" w:ascii="仿宋_GB2312" w:hAnsi="宋体" w:cs="宋体"/>
                <w:kern w:val="0"/>
                <w:sz w:val="24"/>
              </w:rPr>
              <w:t>检查比例</w:t>
            </w:r>
            <w:r>
              <w:rPr>
                <w:rFonts w:hint="eastAsia" w:hAnsi="仿宋_GB2312" w:cs="仿宋_GB2312"/>
                <w:color w:val="000000"/>
                <w:kern w:val="0"/>
                <w:sz w:val="24"/>
              </w:rPr>
              <w:t>≥</w:t>
            </w:r>
            <w:r>
              <w:rPr>
                <w:rFonts w:hint="eastAsia" w:ascii="仿宋_GB2312" w:hAnsi="宋体" w:cs="宋体"/>
                <w:kern w:val="0"/>
                <w:sz w:val="24"/>
              </w:rPr>
              <w:t>10%</w:t>
            </w:r>
          </w:p>
        </w:tc>
        <w:tc>
          <w:tcPr>
            <w:tcW w:w="43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ascii="仿宋_GB2312" w:hAnsi="仿宋_GB2312" w:cs="仿宋_GB2312"/>
                <w:bCs/>
                <w:color w:val="000000"/>
                <w:kern w:val="0"/>
                <w:sz w:val="24"/>
              </w:rPr>
              <w:t>西城区生态环境局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0" w:type="pct"/>
            <w:tcBorders>
              <w:top w:val="nil"/>
              <w:left w:val="single" w:color="auto" w:sz="4" w:space="0"/>
              <w:bottom w:val="nil"/>
              <w:right w:val="single" w:color="auto" w:sz="4" w:space="0"/>
            </w:tcBorders>
            <w:tcMar>
              <w:top w:w="15" w:type="dxa"/>
              <w:left w:w="15" w:type="dxa"/>
              <w:bottom w:w="0" w:type="dxa"/>
              <w:right w:w="15" w:type="dxa"/>
            </w:tcMar>
            <w:vAlign w:val="center"/>
          </w:tcPr>
          <w:p>
            <w:pPr>
              <w:widowControl/>
              <w:jc w:val="center"/>
              <w:textAlignment w:val="center"/>
              <w:rPr>
                <w:rFonts w:ascii="仿宋_GB2312" w:hAnsi="Arial" w:cs="Arial"/>
                <w:kern w:val="0"/>
                <w:sz w:val="24"/>
              </w:rPr>
            </w:pPr>
            <w:r>
              <w:rPr>
                <w:rFonts w:hint="eastAsia" w:ascii="仿宋_GB2312" w:hAnsi="Arial" w:cs="Arial"/>
                <w:kern w:val="0"/>
                <w:sz w:val="24"/>
              </w:rPr>
              <w:t>8</w:t>
            </w:r>
          </w:p>
        </w:tc>
        <w:tc>
          <w:tcPr>
            <w:tcW w:w="4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7"/>
              <w:spacing w:line="560" w:lineRule="exact"/>
              <w:ind w:firstLine="0"/>
              <w:rPr>
                <w:rFonts w:hAnsi="仿宋_GB2312" w:cs="仿宋_GB2312"/>
                <w:color w:val="000000"/>
                <w:kern w:val="0"/>
                <w:sz w:val="24"/>
              </w:rPr>
            </w:pPr>
            <w:r>
              <w:rPr>
                <w:rFonts w:hAnsi="仿宋_GB2312" w:cs="仿宋_GB2312"/>
                <w:color w:val="000000"/>
                <w:kern w:val="0"/>
                <w:sz w:val="24"/>
              </w:rPr>
              <w:t>生活垃圾收集再生资源利用单位和废弃危险化学品执法</w:t>
            </w:r>
          </w:p>
          <w:p>
            <w:pPr>
              <w:pStyle w:val="7"/>
              <w:spacing w:line="560" w:lineRule="exact"/>
              <w:ind w:firstLine="640"/>
              <w:rPr>
                <w:rFonts w:hAnsi="仿宋_GB2312" w:cs="仿宋_GB2312"/>
                <w:color w:val="000000"/>
                <w:kern w:val="0"/>
                <w:sz w:val="24"/>
              </w:rPr>
            </w:pPr>
          </w:p>
        </w:tc>
        <w:tc>
          <w:tcPr>
            <w:tcW w:w="19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7"/>
              <w:spacing w:line="560" w:lineRule="exact"/>
              <w:ind w:firstLine="0"/>
              <w:rPr>
                <w:rFonts w:hAnsi="仿宋_GB2312" w:cs="仿宋_GB2312"/>
                <w:color w:val="000000"/>
                <w:kern w:val="0"/>
                <w:sz w:val="24"/>
              </w:rPr>
            </w:pPr>
            <w:r>
              <w:rPr>
                <w:rFonts w:hAnsi="仿宋_GB2312" w:cs="仿宋_GB2312"/>
                <w:color w:val="000000"/>
                <w:kern w:val="0"/>
                <w:sz w:val="24"/>
              </w:rPr>
              <w:t>结合“点穴式”执法、流域执法、重点时期、日常执法等工作，对辖区30%以上的生活垃圾收集再生资源利用单位开展抽查；重点查处转移固体废物出市利用未备案，未依法及时公开固体废物污染防治信息，未采取相应防范措施造成扬撒、流失、渗漏或者其他环境污染行为，擅自收集、贮存、处置危险废物行为等。将废弃危险化学品及易燃易爆废弃危险化学品纳入日常双随机开展检查，依照职权，重点查处违反《危险化学品安全管理条例》和危险废物管理规定的行为。</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双随机</w:t>
            </w:r>
          </w:p>
        </w:tc>
        <w:tc>
          <w:tcPr>
            <w:tcW w:w="53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7"/>
              <w:spacing w:line="560" w:lineRule="exact"/>
              <w:ind w:firstLine="0"/>
              <w:jc w:val="center"/>
              <w:rPr>
                <w:rFonts w:hAnsi="仿宋_GB2312" w:cs="仿宋_GB2312"/>
                <w:color w:val="000000"/>
                <w:kern w:val="0"/>
                <w:sz w:val="24"/>
              </w:rPr>
            </w:pPr>
            <w:r>
              <w:rPr>
                <w:rFonts w:hint="eastAsia" w:hAnsi="仿宋_GB2312" w:cs="仿宋_GB2312"/>
                <w:color w:val="000000"/>
                <w:kern w:val="0"/>
                <w:sz w:val="24"/>
              </w:rPr>
              <w:t>22家</w:t>
            </w:r>
          </w:p>
        </w:tc>
        <w:tc>
          <w:tcPr>
            <w:tcW w:w="82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hAnsi="宋体" w:cs="宋体"/>
                <w:kern w:val="0"/>
                <w:sz w:val="24"/>
              </w:rPr>
            </w:pPr>
            <w:r>
              <w:rPr>
                <w:rFonts w:hint="eastAsia" w:ascii="仿宋_GB2312" w:hAnsi="宋体" w:cs="宋体"/>
                <w:kern w:val="0"/>
                <w:sz w:val="24"/>
              </w:rPr>
              <w:t>按照北京市检查要求开展；</w:t>
            </w:r>
          </w:p>
          <w:p>
            <w:pPr>
              <w:widowControl/>
              <w:jc w:val="center"/>
              <w:textAlignment w:val="center"/>
              <w:rPr>
                <w:rFonts w:hAnsi="仿宋_GB2312" w:cs="仿宋_GB2312"/>
                <w:color w:val="000000"/>
                <w:kern w:val="0"/>
                <w:sz w:val="24"/>
              </w:rPr>
            </w:pPr>
            <w:r>
              <w:rPr>
                <w:rFonts w:hint="eastAsia" w:ascii="仿宋_GB2312" w:hAnsi="宋体" w:cs="宋体"/>
                <w:kern w:val="0"/>
                <w:sz w:val="24"/>
              </w:rPr>
              <w:t>检查比例</w:t>
            </w:r>
            <w:r>
              <w:rPr>
                <w:rFonts w:hint="eastAsia" w:hAnsi="仿宋_GB2312" w:cs="仿宋_GB2312"/>
                <w:color w:val="000000"/>
                <w:kern w:val="0"/>
                <w:sz w:val="24"/>
              </w:rPr>
              <w:t>100%</w:t>
            </w:r>
          </w:p>
        </w:tc>
        <w:tc>
          <w:tcPr>
            <w:tcW w:w="43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ascii="仿宋_GB2312" w:hAnsi="仿宋_GB2312" w:cs="仿宋_GB2312"/>
                <w:bCs/>
                <w:color w:val="000000"/>
                <w:kern w:val="0"/>
                <w:sz w:val="24"/>
              </w:rPr>
              <w:t>西城区生态环境局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0" w:type="pct"/>
            <w:tcBorders>
              <w:top w:val="nil"/>
              <w:left w:val="single" w:color="auto" w:sz="4" w:space="0"/>
              <w:bottom w:val="nil"/>
              <w:right w:val="single" w:color="auto" w:sz="4" w:space="0"/>
            </w:tcBorders>
            <w:tcMar>
              <w:top w:w="15" w:type="dxa"/>
              <w:left w:w="15" w:type="dxa"/>
              <w:bottom w:w="0" w:type="dxa"/>
              <w:right w:w="15" w:type="dxa"/>
            </w:tcMar>
            <w:vAlign w:val="center"/>
          </w:tcPr>
          <w:p>
            <w:pPr>
              <w:widowControl/>
              <w:jc w:val="center"/>
              <w:textAlignment w:val="center"/>
              <w:rPr>
                <w:rFonts w:ascii="仿宋_GB2312" w:hAnsi="Arial" w:cs="Arial"/>
                <w:kern w:val="0"/>
                <w:sz w:val="24"/>
              </w:rPr>
            </w:pPr>
            <w:r>
              <w:rPr>
                <w:rFonts w:hint="eastAsia" w:ascii="仿宋_GB2312" w:hAnsi="Arial" w:cs="Arial"/>
                <w:kern w:val="0"/>
                <w:sz w:val="24"/>
              </w:rPr>
              <w:t>9</w:t>
            </w:r>
          </w:p>
        </w:tc>
        <w:tc>
          <w:tcPr>
            <w:tcW w:w="4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辐射执法</w:t>
            </w:r>
          </w:p>
        </w:tc>
        <w:tc>
          <w:tcPr>
            <w:tcW w:w="19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7"/>
              <w:spacing w:line="560" w:lineRule="exact"/>
              <w:ind w:firstLine="0"/>
              <w:rPr>
                <w:rFonts w:hAnsi="仿宋_GB2312" w:cs="仿宋_GB2312"/>
                <w:color w:val="000000"/>
                <w:kern w:val="0"/>
                <w:sz w:val="24"/>
              </w:rPr>
            </w:pPr>
            <w:r>
              <w:rPr>
                <w:rFonts w:hAnsi="仿宋_GB2312" w:cs="仿宋_GB2312"/>
                <w:color w:val="000000"/>
                <w:kern w:val="0"/>
                <w:sz w:val="24"/>
              </w:rPr>
              <w:t>配合环境安全管理科对移交的涉嫌违法的辐射工作单位进行调查，填写“辐射执法清单”。巩固核与辐射安全隐患排查三年行动成果，继续加强对高风险辐射活动现场监督检查。对电磁建设项目“三同时”及自主验收进行事中、事后现场检查，填写“建设项目执法清单”。</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日常检查</w:t>
            </w:r>
          </w:p>
        </w:tc>
        <w:tc>
          <w:tcPr>
            <w:tcW w:w="53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7"/>
              <w:spacing w:line="560" w:lineRule="exact"/>
              <w:ind w:firstLine="0"/>
              <w:rPr>
                <w:rFonts w:hAnsi="仿宋_GB2312" w:cs="仿宋_GB2312"/>
                <w:color w:val="000000"/>
                <w:kern w:val="0"/>
                <w:sz w:val="24"/>
              </w:rPr>
            </w:pPr>
            <w:r>
              <w:rPr>
                <w:rFonts w:hAnsi="仿宋_GB2312" w:cs="仿宋_GB2312"/>
                <w:color w:val="000000"/>
                <w:kern w:val="0"/>
                <w:sz w:val="24"/>
              </w:rPr>
              <w:t>移交涉嫌违法</w:t>
            </w:r>
            <w:r>
              <w:rPr>
                <w:rFonts w:hint="eastAsia" w:hAnsi="仿宋_GB2312" w:cs="仿宋_GB2312"/>
                <w:color w:val="000000"/>
                <w:kern w:val="0"/>
                <w:sz w:val="24"/>
              </w:rPr>
              <w:t>问题线索</w:t>
            </w:r>
          </w:p>
        </w:tc>
        <w:tc>
          <w:tcPr>
            <w:tcW w:w="82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hAnsi="宋体" w:cs="宋体"/>
                <w:kern w:val="0"/>
                <w:sz w:val="24"/>
              </w:rPr>
            </w:pPr>
            <w:r>
              <w:rPr>
                <w:rFonts w:hint="eastAsia" w:ascii="仿宋_GB2312" w:hAnsi="宋体" w:cs="宋体"/>
                <w:kern w:val="0"/>
                <w:sz w:val="24"/>
              </w:rPr>
              <w:t>按照北京市检查要求开展；</w:t>
            </w:r>
          </w:p>
          <w:p>
            <w:pPr>
              <w:widowControl/>
              <w:jc w:val="center"/>
              <w:textAlignment w:val="center"/>
              <w:rPr>
                <w:rFonts w:hAnsi="仿宋_GB2312" w:cs="仿宋_GB2312"/>
                <w:color w:val="000000"/>
                <w:kern w:val="0"/>
                <w:sz w:val="24"/>
              </w:rPr>
            </w:pPr>
            <w:r>
              <w:rPr>
                <w:rFonts w:hint="eastAsia" w:ascii="仿宋_GB2312" w:hAnsi="宋体" w:cs="宋体"/>
                <w:kern w:val="0"/>
                <w:sz w:val="24"/>
              </w:rPr>
              <w:t>检查比例</w:t>
            </w:r>
            <w:r>
              <w:rPr>
                <w:rFonts w:hint="eastAsia" w:hAnsi="仿宋_GB2312" w:cs="仿宋_GB2312"/>
                <w:color w:val="000000"/>
                <w:kern w:val="0"/>
                <w:sz w:val="24"/>
              </w:rPr>
              <w:t>100%</w:t>
            </w:r>
          </w:p>
        </w:tc>
        <w:tc>
          <w:tcPr>
            <w:tcW w:w="43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ascii="仿宋_GB2312" w:hAnsi="仿宋_GB2312" w:cs="仿宋_GB2312"/>
                <w:bCs/>
                <w:color w:val="000000"/>
                <w:kern w:val="0"/>
                <w:sz w:val="24"/>
              </w:rPr>
              <w:t>西城区生态环境局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hAnsi="Arial" w:cs="Arial"/>
                <w:kern w:val="0"/>
                <w:sz w:val="24"/>
              </w:rPr>
            </w:pPr>
            <w:r>
              <w:rPr>
                <w:rFonts w:hint="eastAsia" w:ascii="仿宋_GB2312" w:hAnsi="Arial" w:cs="Arial"/>
                <w:kern w:val="0"/>
                <w:sz w:val="24"/>
              </w:rPr>
              <w:t>10</w:t>
            </w:r>
          </w:p>
        </w:tc>
        <w:tc>
          <w:tcPr>
            <w:tcW w:w="4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7"/>
              <w:spacing w:line="560" w:lineRule="exact"/>
              <w:ind w:firstLine="0"/>
              <w:jc w:val="center"/>
              <w:rPr>
                <w:rFonts w:hAnsi="仿宋_GB2312" w:cs="仿宋_GB2312"/>
                <w:color w:val="000000"/>
                <w:kern w:val="0"/>
                <w:sz w:val="24"/>
              </w:rPr>
            </w:pPr>
            <w:r>
              <w:rPr>
                <w:rFonts w:hAnsi="仿宋_GB2312" w:cs="仿宋_GB2312"/>
                <w:color w:val="000000"/>
                <w:kern w:val="0"/>
                <w:sz w:val="24"/>
              </w:rPr>
              <w:t>扬尘检查</w:t>
            </w:r>
          </w:p>
        </w:tc>
        <w:tc>
          <w:tcPr>
            <w:tcW w:w="19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Ansi="仿宋_GB2312" w:cs="仿宋_GB2312"/>
                <w:color w:val="000000"/>
                <w:kern w:val="0"/>
                <w:sz w:val="24"/>
              </w:rPr>
              <w:t>结合“点穴”、热点网格预警、重污染应对、重大活动保障等工作开展扬尘检查，参与行业主管部门组织的联合执法，重点检查非道路移动机械、渣土车尾气排放情况、涉气工序大气治理设施运行情况和六个“百分百”落实情况等。</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日常检查</w:t>
            </w:r>
          </w:p>
        </w:tc>
        <w:tc>
          <w:tcPr>
            <w:tcW w:w="53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hAnsi="仿宋_GB2312" w:cs="仿宋_GB2312"/>
                <w:color w:val="000000"/>
                <w:kern w:val="0"/>
                <w:sz w:val="24"/>
              </w:rPr>
              <w:t>全区扬尘污染源</w:t>
            </w:r>
          </w:p>
        </w:tc>
        <w:tc>
          <w:tcPr>
            <w:tcW w:w="82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hAnsi="宋体" w:cs="宋体"/>
                <w:kern w:val="0"/>
                <w:sz w:val="24"/>
              </w:rPr>
            </w:pPr>
            <w:r>
              <w:rPr>
                <w:rFonts w:hint="eastAsia" w:ascii="仿宋_GB2312" w:hAnsi="宋体" w:cs="宋体"/>
                <w:kern w:val="0"/>
                <w:sz w:val="24"/>
              </w:rPr>
              <w:t>按照北京市检查要求开展；</w:t>
            </w:r>
          </w:p>
          <w:p>
            <w:pPr>
              <w:widowControl/>
              <w:jc w:val="center"/>
              <w:textAlignment w:val="center"/>
              <w:rPr>
                <w:rFonts w:hAnsi="仿宋_GB2312" w:cs="仿宋_GB2312"/>
                <w:color w:val="000000"/>
                <w:kern w:val="0"/>
                <w:sz w:val="24"/>
              </w:rPr>
            </w:pPr>
            <w:r>
              <w:rPr>
                <w:rFonts w:hint="eastAsia" w:ascii="仿宋_GB2312" w:hAnsi="宋体" w:cs="宋体"/>
                <w:kern w:val="0"/>
                <w:sz w:val="24"/>
              </w:rPr>
              <w:t>检查比例</w:t>
            </w:r>
            <w:r>
              <w:rPr>
                <w:rFonts w:hint="eastAsia" w:hAnsi="仿宋_GB2312" w:cs="仿宋_GB2312"/>
                <w:color w:val="000000"/>
                <w:kern w:val="0"/>
                <w:sz w:val="24"/>
              </w:rPr>
              <w:t>≥</w:t>
            </w:r>
            <w:r>
              <w:rPr>
                <w:rFonts w:hint="eastAsia" w:ascii="仿宋_GB2312" w:hAnsi="宋体" w:cs="宋体"/>
                <w:kern w:val="0"/>
                <w:sz w:val="24"/>
              </w:rPr>
              <w:t>执法人员与扬尘源1：10</w:t>
            </w:r>
          </w:p>
        </w:tc>
        <w:tc>
          <w:tcPr>
            <w:tcW w:w="43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ascii="仿宋_GB2312" w:eastAsia="仿宋_GB2312"/>
                <w:szCs w:val="32"/>
              </w:rPr>
            </w:pPr>
            <w:r>
              <w:rPr>
                <w:rFonts w:hint="eastAsia" w:ascii="仿宋_GB2312" w:hAnsi="仿宋_GB2312" w:cs="仿宋_GB2312"/>
                <w:bCs/>
                <w:color w:val="000000"/>
                <w:kern w:val="0"/>
                <w:sz w:val="24"/>
              </w:rPr>
              <w:t>西城区生态环境局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hAnsi="Arial" w:cs="Arial"/>
                <w:kern w:val="0"/>
                <w:sz w:val="24"/>
              </w:rPr>
            </w:pPr>
            <w:r>
              <w:rPr>
                <w:rFonts w:hint="eastAsia" w:ascii="仿宋_GB2312" w:hAnsi="Arial" w:cs="Arial"/>
                <w:kern w:val="0"/>
                <w:sz w:val="24"/>
              </w:rPr>
              <w:t>11</w:t>
            </w:r>
          </w:p>
        </w:tc>
        <w:tc>
          <w:tcPr>
            <w:tcW w:w="4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eastAsia="仿宋_GB2312"/>
                <w:szCs w:val="32"/>
              </w:rPr>
            </w:pPr>
            <w:r>
              <w:rPr>
                <w:rFonts w:hAnsi="仿宋_GB2312" w:cs="仿宋_GB2312"/>
                <w:color w:val="000000"/>
                <w:kern w:val="0"/>
                <w:sz w:val="24"/>
              </w:rPr>
              <w:t>市内重点道路执法</w:t>
            </w:r>
          </w:p>
        </w:tc>
        <w:tc>
          <w:tcPr>
            <w:tcW w:w="19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Ansi="仿宋_GB2312" w:cs="仿宋_GB2312"/>
                <w:color w:val="000000"/>
                <w:kern w:val="0"/>
                <w:sz w:val="24"/>
              </w:rPr>
              <w:t>按照“环保检测、公安处罚”模式，以检测尾气排放为重点，在市内重点道路对上路行驶车辆开展执法检查，全年完成不少于2.9万辆次重型柴油车、重型燃气车人工检查任务（含氮氧化物排放人工检查）。加大对污染控制装置、车载排放诊断系统、远程排放管理车载终端等设备和装置的执法检查力度；结合夜间车辆行驶特点，设置点位加大夜间执法检查力度。加强对低速货车的检查。</w:t>
            </w:r>
          </w:p>
          <w:p>
            <w:pPr>
              <w:widowControl/>
              <w:jc w:val="left"/>
              <w:textAlignment w:val="center"/>
              <w:rPr>
                <w:rFonts w:hAnsi="仿宋_GB2312" w:cs="仿宋_GB2312"/>
                <w:color w:val="000000"/>
                <w:kern w:val="0"/>
                <w:sz w:val="24"/>
              </w:rPr>
            </w:pP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日常检查</w:t>
            </w:r>
          </w:p>
        </w:tc>
        <w:tc>
          <w:tcPr>
            <w:tcW w:w="53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ascii="仿宋_GB2312" w:hAnsi="宋体" w:cs="宋体"/>
                <w:kern w:val="0"/>
                <w:sz w:val="24"/>
              </w:rPr>
              <w:t>全区重型柴油车（含过境车辆）</w:t>
            </w:r>
          </w:p>
        </w:tc>
        <w:tc>
          <w:tcPr>
            <w:tcW w:w="82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Ansi="仿宋_GB2312" w:cs="仿宋_GB2312"/>
                <w:color w:val="000000"/>
                <w:kern w:val="0"/>
                <w:sz w:val="24"/>
              </w:rPr>
              <w:t>2.9万辆次</w:t>
            </w:r>
            <w:r>
              <w:rPr>
                <w:rFonts w:hint="eastAsia" w:hAnsi="仿宋_GB2312" w:cs="仿宋_GB2312"/>
                <w:color w:val="000000"/>
                <w:kern w:val="0"/>
                <w:sz w:val="24"/>
              </w:rPr>
              <w:t>；</w:t>
            </w:r>
          </w:p>
          <w:p>
            <w:pPr>
              <w:widowControl/>
              <w:jc w:val="center"/>
              <w:textAlignment w:val="center"/>
              <w:rPr>
                <w:rFonts w:hAnsi="仿宋_GB2312" w:cs="仿宋_GB2312"/>
                <w:color w:val="000000"/>
                <w:kern w:val="0"/>
                <w:sz w:val="24"/>
              </w:rPr>
            </w:pPr>
            <w:r>
              <w:rPr>
                <w:rFonts w:hint="eastAsia" w:ascii="仿宋_GB2312" w:hAnsi="宋体" w:cs="宋体"/>
                <w:kern w:val="0"/>
                <w:sz w:val="24"/>
              </w:rPr>
              <w:t>每日检查比例</w:t>
            </w:r>
            <w:r>
              <w:rPr>
                <w:rFonts w:hint="eastAsia" w:hAnsi="仿宋_GB2312" w:cs="仿宋_GB2312"/>
                <w:color w:val="000000"/>
                <w:kern w:val="0"/>
                <w:sz w:val="24"/>
              </w:rPr>
              <w:t>≥</w:t>
            </w:r>
            <w:r>
              <w:rPr>
                <w:rFonts w:hint="eastAsia" w:ascii="仿宋_GB2312" w:hAnsi="宋体" w:cs="宋体"/>
                <w:kern w:val="0"/>
                <w:sz w:val="24"/>
              </w:rPr>
              <w:t>执法人员与重型柴油车1：1</w:t>
            </w:r>
          </w:p>
        </w:tc>
        <w:tc>
          <w:tcPr>
            <w:tcW w:w="43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eastAsia="仿宋_GB2312"/>
                <w:szCs w:val="32"/>
              </w:rPr>
            </w:pPr>
            <w:r>
              <w:rPr>
                <w:rFonts w:hint="eastAsia" w:ascii="仿宋_GB2312" w:hAnsi="仿宋_GB2312" w:cs="仿宋_GB2312"/>
                <w:bCs/>
                <w:color w:val="000000"/>
                <w:kern w:val="0"/>
                <w:sz w:val="24"/>
              </w:rPr>
              <w:t>西城区生态环境局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hAnsi="Arial" w:cs="Arial"/>
                <w:kern w:val="0"/>
                <w:sz w:val="24"/>
              </w:rPr>
            </w:pPr>
            <w:r>
              <w:rPr>
                <w:rFonts w:hint="eastAsia" w:ascii="仿宋_GB2312" w:hAnsi="Arial" w:cs="Arial"/>
                <w:kern w:val="0"/>
                <w:sz w:val="24"/>
              </w:rPr>
              <w:t>12</w:t>
            </w:r>
          </w:p>
        </w:tc>
        <w:tc>
          <w:tcPr>
            <w:tcW w:w="4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Ansi="仿宋_GB2312" w:cs="仿宋_GB2312"/>
                <w:color w:val="000000"/>
                <w:kern w:val="0"/>
                <w:sz w:val="24"/>
              </w:rPr>
              <w:t>入户执法</w:t>
            </w:r>
          </w:p>
        </w:tc>
        <w:tc>
          <w:tcPr>
            <w:tcW w:w="19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Ansi="仿宋_GB2312" w:cs="仿宋_GB2312"/>
                <w:color w:val="000000"/>
                <w:kern w:val="0"/>
                <w:sz w:val="24"/>
              </w:rPr>
              <w:t>重点对注册车辆10辆及以上的用车大户和重型车（重型柴油车、重型燃气车）集中停放地（含混凝土搅拌站、矿山、旅游客车集散地、物流园区等）开展检查，全年完成不少于1.2万辆次重型车人工检查任务，完成不少于1万辆次重型车氮氧化物排放人工检查任务。加大车辆的尾气排放、污染控制装置、车载排放诊断系统、远程排放管理车载终端等设备和装置的执法检查力度。在综合执法平台建立并动态更新经营性汽油车、重型车用车大户和集中停放地台账，督促指导用车大户、集中停放地管理方制定机动车排放污染防治责任制度，建立车辆信息、维护保养和车用尿素使用等台账。</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专项</w:t>
            </w:r>
          </w:p>
        </w:tc>
        <w:tc>
          <w:tcPr>
            <w:tcW w:w="53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ascii="仿宋_GB2312" w:hAnsi="宋体" w:cs="宋体"/>
                <w:kern w:val="0"/>
                <w:sz w:val="24"/>
              </w:rPr>
              <w:t>全区重型柴油车</w:t>
            </w:r>
          </w:p>
        </w:tc>
        <w:tc>
          <w:tcPr>
            <w:tcW w:w="82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1.2</w:t>
            </w:r>
            <w:r>
              <w:rPr>
                <w:rFonts w:hAnsi="仿宋_GB2312" w:cs="仿宋_GB2312"/>
                <w:color w:val="000000"/>
                <w:kern w:val="0"/>
                <w:sz w:val="24"/>
              </w:rPr>
              <w:t>万辆次</w:t>
            </w:r>
            <w:r>
              <w:rPr>
                <w:rFonts w:hint="eastAsia" w:hAnsi="仿宋_GB2312" w:cs="仿宋_GB2312"/>
                <w:color w:val="000000"/>
                <w:kern w:val="0"/>
                <w:sz w:val="24"/>
              </w:rPr>
              <w:t>；</w:t>
            </w:r>
          </w:p>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车辆企业大户每月检查比例≥5‰</w:t>
            </w:r>
          </w:p>
        </w:tc>
        <w:tc>
          <w:tcPr>
            <w:tcW w:w="43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eastAsia="仿宋_GB2312"/>
                <w:szCs w:val="32"/>
              </w:rPr>
            </w:pPr>
            <w:r>
              <w:rPr>
                <w:rFonts w:hint="eastAsia" w:ascii="仿宋_GB2312" w:hAnsi="仿宋_GB2312" w:cs="仿宋_GB2312"/>
                <w:bCs/>
                <w:color w:val="000000"/>
                <w:kern w:val="0"/>
                <w:sz w:val="24"/>
              </w:rPr>
              <w:t>西城区生态环境局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hAnsi="Arial" w:cs="Arial"/>
                <w:kern w:val="0"/>
                <w:sz w:val="24"/>
              </w:rPr>
            </w:pPr>
            <w:r>
              <w:rPr>
                <w:rFonts w:hint="eastAsia" w:ascii="仿宋_GB2312" w:hAnsi="Arial" w:cs="Arial"/>
                <w:kern w:val="0"/>
                <w:sz w:val="24"/>
              </w:rPr>
              <w:t>13</w:t>
            </w:r>
          </w:p>
        </w:tc>
        <w:tc>
          <w:tcPr>
            <w:tcW w:w="4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非道路移动机械入户执法</w:t>
            </w:r>
          </w:p>
          <w:p>
            <w:pPr>
              <w:widowControl/>
              <w:jc w:val="center"/>
              <w:textAlignment w:val="center"/>
              <w:rPr>
                <w:rFonts w:hAnsi="仿宋_GB2312" w:cs="仿宋_GB2312"/>
                <w:color w:val="000000"/>
                <w:kern w:val="0"/>
                <w:sz w:val="24"/>
              </w:rPr>
            </w:pPr>
          </w:p>
        </w:tc>
        <w:tc>
          <w:tcPr>
            <w:tcW w:w="19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Ansi="仿宋_GB2312" w:cs="仿宋_GB2312"/>
                <w:color w:val="000000"/>
                <w:kern w:val="0"/>
                <w:sz w:val="24"/>
              </w:rPr>
              <w:t>在综合执法平台建立并动态更新非道路移动机械台账，利用好“京环保”小程序，重点对5台及以上的非道路移动柴油机械大户开展检查。全年完成不少于650台次非道路移动柴油机械人工检查任务；其中，尾气排放检测量不低于任务量的50%，对国Ⅲ及以下非道路移动柴油机械逢查必测，国Ⅳ非道路移动机械要用好在线线索。对施工工地、物流园、工业园、货物集散地（含铁路货场）等场所全覆盖，加强非道路移动机械排放和编码登记等违法行为查处力度。按照市政府关于划定禁止使用高排放非道路移动机械区域的通告要求，加强七类机械排放超标查处力度。</w:t>
            </w:r>
          </w:p>
          <w:p>
            <w:pPr>
              <w:widowControl/>
              <w:jc w:val="center"/>
              <w:textAlignment w:val="center"/>
              <w:rPr>
                <w:rFonts w:hAnsi="仿宋_GB2312" w:cs="仿宋_GB2312"/>
                <w:color w:val="000000"/>
                <w:kern w:val="0"/>
                <w:sz w:val="24"/>
              </w:rPr>
            </w:pPr>
            <w:r>
              <w:rPr>
                <w:rFonts w:hAnsi="仿宋_GB2312" w:cs="仿宋_GB2312"/>
                <w:color w:val="000000"/>
                <w:kern w:val="0"/>
                <w:sz w:val="24"/>
              </w:rPr>
              <w:t>开展非道路移动机械和黑加油站点、流动加油车专项执法，重点检查非道路移动机械排放和编码登记等情况，日常执法发现相关问题线索及时移送公安部门。</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日常检查</w:t>
            </w:r>
          </w:p>
        </w:tc>
        <w:tc>
          <w:tcPr>
            <w:tcW w:w="53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hAnsi="仿宋_GB2312" w:cs="仿宋_GB2312"/>
                <w:color w:val="000000"/>
                <w:kern w:val="0"/>
                <w:sz w:val="24"/>
              </w:rPr>
              <w:t>全区非道路移动机械</w:t>
            </w:r>
          </w:p>
        </w:tc>
        <w:tc>
          <w:tcPr>
            <w:tcW w:w="82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检查650台次</w:t>
            </w:r>
          </w:p>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监测325台次</w:t>
            </w:r>
          </w:p>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每月检查比例≥5‰</w:t>
            </w:r>
          </w:p>
        </w:tc>
        <w:tc>
          <w:tcPr>
            <w:tcW w:w="43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eastAsia="仿宋_GB2312"/>
                <w:szCs w:val="32"/>
              </w:rPr>
            </w:pPr>
            <w:r>
              <w:rPr>
                <w:rFonts w:hint="eastAsia" w:ascii="仿宋_GB2312" w:hAnsi="仿宋_GB2312" w:cs="仿宋_GB2312"/>
                <w:bCs/>
                <w:color w:val="000000"/>
                <w:kern w:val="0"/>
                <w:sz w:val="24"/>
              </w:rPr>
              <w:t>西城区生态环境局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hAnsi="Arial" w:cs="Arial"/>
                <w:kern w:val="0"/>
                <w:sz w:val="24"/>
              </w:rPr>
            </w:pPr>
            <w:r>
              <w:rPr>
                <w:rFonts w:hint="eastAsia" w:ascii="仿宋_GB2312" w:hAnsi="Arial" w:cs="Arial"/>
                <w:kern w:val="0"/>
                <w:sz w:val="24"/>
              </w:rPr>
              <w:t>14</w:t>
            </w:r>
          </w:p>
        </w:tc>
        <w:tc>
          <w:tcPr>
            <w:tcW w:w="4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Ansi="仿宋_GB2312" w:cs="仿宋_GB2312"/>
                <w:color w:val="000000"/>
                <w:kern w:val="0"/>
                <w:sz w:val="24"/>
              </w:rPr>
              <w:t>饮用水水源</w:t>
            </w:r>
            <w:r>
              <w:rPr>
                <w:rFonts w:hint="eastAsia" w:hAnsi="仿宋_GB2312" w:cs="仿宋_GB2312"/>
                <w:color w:val="000000"/>
                <w:kern w:val="0"/>
                <w:sz w:val="24"/>
              </w:rPr>
              <w:t>保护区</w:t>
            </w:r>
            <w:r>
              <w:rPr>
                <w:rFonts w:hAnsi="仿宋_GB2312" w:cs="仿宋_GB2312"/>
                <w:color w:val="000000"/>
                <w:kern w:val="0"/>
                <w:sz w:val="24"/>
              </w:rPr>
              <w:t>执法</w:t>
            </w:r>
          </w:p>
        </w:tc>
        <w:tc>
          <w:tcPr>
            <w:tcW w:w="19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开展地下水型（含应急）饮用水水源保护区执法检查，全年至少开展1次执法检查，重点查处新、改、扩建设项目，倾倒垃圾、废渣等固废，排放污水、废液等有毒有害化学物品等环境违法行为。</w:t>
            </w:r>
          </w:p>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结合信访举报线索、人工巡查等方式对饮用水水源保护区定期开展巡查，填写巡查清单，重点检查违法排污口、建设项目、</w:t>
            </w:r>
            <w:r>
              <w:rPr>
                <w:rFonts w:hAnsi="仿宋_GB2312" w:cs="仿宋_GB2312"/>
                <w:color w:val="000000"/>
                <w:kern w:val="0"/>
                <w:sz w:val="24"/>
              </w:rPr>
              <w:t>垃圾</w:t>
            </w:r>
            <w:r>
              <w:rPr>
                <w:rFonts w:hint="eastAsia" w:hAnsi="仿宋_GB2312" w:cs="仿宋_GB2312"/>
                <w:color w:val="000000"/>
                <w:kern w:val="0"/>
                <w:sz w:val="24"/>
              </w:rPr>
              <w:t>堆放等。</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日常检查</w:t>
            </w:r>
          </w:p>
        </w:tc>
        <w:tc>
          <w:tcPr>
            <w:tcW w:w="53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16</w:t>
            </w:r>
          </w:p>
        </w:tc>
        <w:tc>
          <w:tcPr>
            <w:tcW w:w="82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hAnsi="仿宋_GB2312" w:cs="仿宋_GB2312"/>
                <w:color w:val="000000"/>
                <w:kern w:val="0"/>
                <w:sz w:val="24"/>
              </w:rPr>
              <w:t>检查16家次；</w:t>
            </w:r>
          </w:p>
          <w:p>
            <w:pPr>
              <w:widowControl/>
              <w:jc w:val="left"/>
              <w:textAlignment w:val="center"/>
              <w:rPr>
                <w:rFonts w:hAnsi="仿宋_GB2312" w:cs="仿宋_GB2312"/>
                <w:color w:val="000000"/>
                <w:kern w:val="0"/>
                <w:sz w:val="24"/>
              </w:rPr>
            </w:pPr>
            <w:r>
              <w:rPr>
                <w:rFonts w:hint="eastAsia" w:hAnsi="仿宋_GB2312" w:cs="仿宋_GB2312"/>
                <w:color w:val="000000"/>
                <w:kern w:val="0"/>
                <w:sz w:val="24"/>
              </w:rPr>
              <w:t>检查比例100%</w:t>
            </w:r>
          </w:p>
        </w:tc>
        <w:tc>
          <w:tcPr>
            <w:tcW w:w="43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eastAsia="仿宋_GB2312"/>
                <w:szCs w:val="32"/>
              </w:rPr>
            </w:pPr>
            <w:r>
              <w:rPr>
                <w:rFonts w:hint="eastAsia" w:ascii="仿宋_GB2312" w:hAnsi="仿宋_GB2312" w:cs="仿宋_GB2312"/>
                <w:bCs/>
                <w:color w:val="000000"/>
                <w:kern w:val="0"/>
                <w:sz w:val="24"/>
              </w:rPr>
              <w:t>西城区生态环境局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hAnsi="Arial" w:cs="Arial"/>
                <w:kern w:val="0"/>
                <w:sz w:val="24"/>
              </w:rPr>
            </w:pPr>
            <w:r>
              <w:rPr>
                <w:rFonts w:hint="eastAsia" w:ascii="仿宋_GB2312" w:hAnsi="Arial" w:cs="Arial"/>
                <w:kern w:val="0"/>
                <w:sz w:val="24"/>
              </w:rPr>
              <w:t>15</w:t>
            </w:r>
          </w:p>
        </w:tc>
        <w:tc>
          <w:tcPr>
            <w:tcW w:w="4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“点穴式”执法</w:t>
            </w:r>
          </w:p>
        </w:tc>
        <w:tc>
          <w:tcPr>
            <w:tcW w:w="19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自4月起，根据空气质量排名和重点工作安排，每季度选取辖区内空气质量排名靠后的3个街道，开展执法检查。每个街道分别选取2个报警网格或高值点位重点排查，原则上每个网格排查污染源不少于4个，每个街道每轮“点穴”至少检查30个点位。集中查处以大气类问题为主的各类生态环境违法行为，督促属地落实监管责任，帮扶指导街道提升精细化管理水平。</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“点穴式”执法</w:t>
            </w:r>
          </w:p>
        </w:tc>
        <w:tc>
          <w:tcPr>
            <w:tcW w:w="53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hAnsi="仿宋_GB2312" w:cs="仿宋_GB2312"/>
                <w:color w:val="000000"/>
                <w:kern w:val="0"/>
                <w:sz w:val="24"/>
              </w:rPr>
              <w:t>全区污染源</w:t>
            </w:r>
          </w:p>
        </w:tc>
        <w:tc>
          <w:tcPr>
            <w:tcW w:w="82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270家次</w:t>
            </w:r>
          </w:p>
          <w:p>
            <w:pPr>
              <w:widowControl/>
              <w:jc w:val="center"/>
              <w:textAlignment w:val="center"/>
              <w:rPr>
                <w:rFonts w:hAnsi="仿宋_GB2312" w:cs="仿宋_GB2312"/>
                <w:color w:val="000000"/>
                <w:kern w:val="0"/>
                <w:sz w:val="24"/>
              </w:rPr>
            </w:pPr>
            <w:r>
              <w:rPr>
                <w:rFonts w:hint="eastAsia" w:ascii="仿宋_GB2312" w:hAnsi="宋体" w:cs="宋体"/>
                <w:kern w:val="0"/>
                <w:sz w:val="24"/>
              </w:rPr>
              <w:t>检查比例</w:t>
            </w:r>
            <w:r>
              <w:rPr>
                <w:rFonts w:hint="eastAsia" w:hAnsi="仿宋_GB2312" w:cs="仿宋_GB2312"/>
                <w:color w:val="000000"/>
                <w:kern w:val="0"/>
                <w:sz w:val="24"/>
              </w:rPr>
              <w:t>≥</w:t>
            </w:r>
            <w:r>
              <w:rPr>
                <w:rFonts w:hint="eastAsia" w:ascii="仿宋_GB2312" w:hAnsi="宋体" w:cs="宋体"/>
                <w:kern w:val="0"/>
                <w:sz w:val="24"/>
              </w:rPr>
              <w:t>执法人员与被抽查单位1：1</w:t>
            </w:r>
          </w:p>
        </w:tc>
        <w:tc>
          <w:tcPr>
            <w:tcW w:w="43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eastAsia="仿宋_GB2312"/>
                <w:szCs w:val="32"/>
              </w:rPr>
            </w:pPr>
            <w:r>
              <w:rPr>
                <w:rFonts w:hint="eastAsia" w:ascii="仿宋_GB2312" w:hAnsi="仿宋_GB2312" w:cs="仿宋_GB2312"/>
                <w:bCs/>
                <w:color w:val="000000"/>
                <w:kern w:val="0"/>
                <w:sz w:val="24"/>
              </w:rPr>
              <w:t>西城区生态环境局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hAnsi="Arial" w:cs="Arial"/>
                <w:kern w:val="0"/>
                <w:sz w:val="24"/>
              </w:rPr>
            </w:pPr>
            <w:r>
              <w:rPr>
                <w:rFonts w:hint="eastAsia" w:ascii="仿宋_GB2312" w:hAnsi="Arial" w:cs="Arial"/>
                <w:kern w:val="0"/>
                <w:sz w:val="24"/>
              </w:rPr>
              <w:t>16</w:t>
            </w:r>
          </w:p>
        </w:tc>
        <w:tc>
          <w:tcPr>
            <w:tcW w:w="4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涉水执法</w:t>
            </w:r>
          </w:p>
        </w:tc>
        <w:tc>
          <w:tcPr>
            <w:tcW w:w="19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西城区属于城市河湖，暂不涉及流域执法，围绕辖区水体不能稳定达标、汛期水污染物（因子超标）变化较大的断面。联合水务部门对入河排污口、涉水排污单位、污水处理设施等单位（点位）开展检查，</w:t>
            </w:r>
            <w:r>
              <w:rPr>
                <w:rFonts w:hAnsi="仿宋_GB2312" w:cs="仿宋_GB2312"/>
                <w:color w:val="000000"/>
                <w:kern w:val="0"/>
                <w:sz w:val="24"/>
              </w:rPr>
              <w:t>对发现的问题，依据职责及时移送相关部门。</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日常检查</w:t>
            </w:r>
          </w:p>
        </w:tc>
        <w:tc>
          <w:tcPr>
            <w:tcW w:w="53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7"/>
              <w:spacing w:line="560" w:lineRule="exact"/>
              <w:ind w:firstLine="0"/>
              <w:rPr>
                <w:rFonts w:hAnsi="仿宋_GB2312" w:cs="仿宋_GB2312"/>
                <w:color w:val="000000"/>
                <w:kern w:val="0"/>
                <w:sz w:val="24"/>
              </w:rPr>
            </w:pPr>
            <w:r>
              <w:rPr>
                <w:rFonts w:hint="eastAsia" w:hAnsi="仿宋_GB2312" w:cs="仿宋_GB2312"/>
                <w:color w:val="000000"/>
                <w:kern w:val="0"/>
                <w:sz w:val="24"/>
              </w:rPr>
              <w:t>全区涉水污染源</w:t>
            </w:r>
          </w:p>
        </w:tc>
        <w:tc>
          <w:tcPr>
            <w:tcW w:w="82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hAnsi="宋体" w:cs="宋体"/>
                <w:kern w:val="0"/>
                <w:sz w:val="24"/>
              </w:rPr>
            </w:pPr>
            <w:r>
              <w:rPr>
                <w:rFonts w:hint="eastAsia" w:ascii="仿宋_GB2312" w:hAnsi="宋体" w:cs="宋体"/>
                <w:kern w:val="0"/>
                <w:sz w:val="24"/>
              </w:rPr>
              <w:t>按照北京市检查要求开展；</w:t>
            </w:r>
          </w:p>
          <w:p>
            <w:pPr>
              <w:widowControl/>
              <w:jc w:val="center"/>
              <w:textAlignment w:val="center"/>
              <w:rPr>
                <w:rFonts w:hAnsi="仿宋_GB2312" w:cs="仿宋_GB2312"/>
                <w:color w:val="000000"/>
                <w:kern w:val="0"/>
                <w:sz w:val="24"/>
              </w:rPr>
            </w:pPr>
            <w:r>
              <w:rPr>
                <w:rFonts w:hint="eastAsia" w:ascii="仿宋_GB2312" w:hAnsi="宋体" w:cs="宋体"/>
                <w:kern w:val="0"/>
                <w:sz w:val="24"/>
              </w:rPr>
              <w:t>检查比例</w:t>
            </w:r>
            <w:r>
              <w:rPr>
                <w:rFonts w:hint="eastAsia" w:hAnsi="仿宋_GB2312" w:cs="仿宋_GB2312"/>
                <w:color w:val="000000"/>
                <w:kern w:val="0"/>
                <w:sz w:val="24"/>
              </w:rPr>
              <w:t>≥</w:t>
            </w:r>
            <w:r>
              <w:rPr>
                <w:rFonts w:hint="eastAsia" w:ascii="仿宋_GB2312" w:hAnsi="宋体" w:cs="宋体"/>
                <w:kern w:val="0"/>
                <w:sz w:val="24"/>
              </w:rPr>
              <w:t>执法人员与被检查单位1：1</w:t>
            </w:r>
          </w:p>
        </w:tc>
        <w:tc>
          <w:tcPr>
            <w:tcW w:w="43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eastAsia="仿宋_GB2312"/>
                <w:szCs w:val="32"/>
              </w:rPr>
            </w:pPr>
            <w:r>
              <w:rPr>
                <w:rFonts w:hint="eastAsia" w:ascii="仿宋_GB2312" w:hAnsi="仿宋_GB2312" w:cs="仿宋_GB2312"/>
                <w:bCs/>
                <w:color w:val="000000"/>
                <w:kern w:val="0"/>
                <w:sz w:val="24"/>
              </w:rPr>
              <w:t>西城区生态环境局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hAnsi="Arial" w:cs="Arial"/>
                <w:kern w:val="0"/>
                <w:sz w:val="24"/>
              </w:rPr>
            </w:pPr>
            <w:r>
              <w:rPr>
                <w:rFonts w:hint="eastAsia" w:ascii="仿宋_GB2312" w:hAnsi="Arial" w:cs="Arial"/>
                <w:kern w:val="0"/>
                <w:sz w:val="24"/>
              </w:rPr>
              <w:t>17</w:t>
            </w:r>
          </w:p>
        </w:tc>
        <w:tc>
          <w:tcPr>
            <w:tcW w:w="45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开展中高考期间噪声执法</w:t>
            </w:r>
          </w:p>
        </w:tc>
        <w:tc>
          <w:tcPr>
            <w:tcW w:w="196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在中高考时期，采取联合执法、全时执法等方式，配合公安、城管执法等部门做好消夏夜市、广场舞、装修扰民等社会生活噪声和学校、考点周边的施工噪声检查,检查不少于30家次，履行生态环境执法职责，对发现的问题及时移交相关职能部门。</w:t>
            </w:r>
          </w:p>
        </w:tc>
        <w:tc>
          <w:tcPr>
            <w:tcW w:w="5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日常/专项</w:t>
            </w:r>
          </w:p>
        </w:tc>
        <w:tc>
          <w:tcPr>
            <w:tcW w:w="53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Ansi="仿宋_GB2312" w:cs="仿宋_GB2312"/>
                <w:color w:val="000000"/>
                <w:kern w:val="0"/>
                <w:sz w:val="24"/>
              </w:rPr>
            </w:pPr>
            <w:r>
              <w:rPr>
                <w:rFonts w:hint="eastAsia" w:ascii="仿宋_GB2312" w:hAnsi="宋体" w:cs="宋体"/>
                <w:kern w:val="0"/>
                <w:sz w:val="24"/>
              </w:rPr>
              <w:t>全区噪声污染源</w:t>
            </w:r>
          </w:p>
        </w:tc>
        <w:tc>
          <w:tcPr>
            <w:tcW w:w="82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Ansi="仿宋_GB2312" w:cs="仿宋_GB2312"/>
                <w:color w:val="000000"/>
                <w:kern w:val="0"/>
                <w:sz w:val="24"/>
              </w:rPr>
            </w:pPr>
            <w:r>
              <w:rPr>
                <w:rFonts w:hint="eastAsia" w:hAnsi="仿宋_GB2312" w:cs="仿宋_GB2312"/>
                <w:color w:val="000000"/>
                <w:kern w:val="0"/>
                <w:sz w:val="24"/>
              </w:rPr>
              <w:t>30家次；</w:t>
            </w:r>
          </w:p>
          <w:p>
            <w:pPr>
              <w:widowControl/>
              <w:jc w:val="center"/>
              <w:textAlignment w:val="center"/>
              <w:rPr>
                <w:rFonts w:hAnsi="仿宋_GB2312" w:cs="仿宋_GB2312"/>
                <w:color w:val="000000"/>
                <w:kern w:val="0"/>
                <w:sz w:val="24"/>
              </w:rPr>
            </w:pPr>
            <w:r>
              <w:rPr>
                <w:rFonts w:hint="eastAsia" w:ascii="仿宋_GB2312" w:hAnsi="宋体" w:cs="宋体"/>
                <w:kern w:val="0"/>
                <w:sz w:val="24"/>
              </w:rPr>
              <w:t>检查比例</w:t>
            </w:r>
            <w:r>
              <w:rPr>
                <w:rFonts w:hint="eastAsia" w:hAnsi="仿宋_GB2312" w:cs="仿宋_GB2312"/>
                <w:color w:val="000000"/>
                <w:kern w:val="0"/>
                <w:sz w:val="24"/>
              </w:rPr>
              <w:t>≥</w:t>
            </w:r>
            <w:r>
              <w:rPr>
                <w:rFonts w:hint="eastAsia" w:ascii="仿宋_GB2312" w:hAnsi="宋体" w:cs="宋体"/>
                <w:kern w:val="0"/>
                <w:sz w:val="24"/>
              </w:rPr>
              <w:t>执法人员与被检查单位1：1</w:t>
            </w:r>
          </w:p>
        </w:tc>
        <w:tc>
          <w:tcPr>
            <w:tcW w:w="43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仿宋_GB2312" w:eastAsia="仿宋_GB2312"/>
                <w:szCs w:val="32"/>
              </w:rPr>
            </w:pPr>
            <w:r>
              <w:rPr>
                <w:rFonts w:hint="eastAsia" w:ascii="仿宋_GB2312" w:hAnsi="仿宋_GB2312" w:cs="仿宋_GB2312"/>
                <w:bCs/>
                <w:color w:val="000000"/>
                <w:kern w:val="0"/>
                <w:sz w:val="24"/>
              </w:rPr>
              <w:t>西城区生态环境局</w:t>
            </w:r>
          </w:p>
        </w:tc>
      </w:tr>
    </w:tbl>
    <w:p>
      <w:pPr>
        <w:pStyle w:val="6"/>
        <w:spacing w:line="560" w:lineRule="exact"/>
        <w:ind w:firstLine="0" w:firstLineChars="0"/>
        <w:rPr>
          <w:rFonts w:ascii="黑体" w:hAnsi="黑体" w:eastAsia="黑体" w:cs="黑体"/>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01ADAC-6BC2-4BA2-8869-3A17070AFF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6C2B025-32BD-45ED-9569-0FBF5F67E0F7}"/>
  </w:font>
  <w:font w:name="仿宋_GB2312">
    <w:altName w:val="仿宋"/>
    <w:panose1 w:val="00000000000000000000"/>
    <w:charset w:val="86"/>
    <w:family w:val="modern"/>
    <w:pitch w:val="default"/>
    <w:sig w:usb0="00000000" w:usb1="00000000" w:usb2="00000000" w:usb3="00000000" w:csb0="00040000" w:csb1="00000000"/>
    <w:embedRegular r:id="rId3" w:fontKey="{D922474B-DCE3-4809-951E-B3793C23E588}"/>
  </w:font>
  <w:font w:name="Arial">
    <w:panose1 w:val="020B0604020202020204"/>
    <w:charset w:val="00"/>
    <w:family w:val="swiss"/>
    <w:pitch w:val="default"/>
    <w:sig w:usb0="E0002EFF" w:usb1="C000785B" w:usb2="00000009" w:usb3="00000000" w:csb0="400001FF" w:csb1="FFFF0000"/>
    <w:embedRegular r:id="rId4" w:fontKey="{9C7428F8-5791-4F5B-8810-875CDAB99E1C}"/>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YjQ0YmYyZjFiMWQzYmMzMjQ2Njc3ZjZlYWE5NDMifQ=="/>
  </w:docVars>
  <w:rsids>
    <w:rsidRoot w:val="00944996"/>
    <w:rsid w:val="00015E60"/>
    <w:rsid w:val="001973D9"/>
    <w:rsid w:val="002604B0"/>
    <w:rsid w:val="00482E64"/>
    <w:rsid w:val="00575B96"/>
    <w:rsid w:val="00706DB1"/>
    <w:rsid w:val="00827CA4"/>
    <w:rsid w:val="008C0E97"/>
    <w:rsid w:val="00944996"/>
    <w:rsid w:val="009E6064"/>
    <w:rsid w:val="00A45EBB"/>
    <w:rsid w:val="00CD5879"/>
    <w:rsid w:val="00F94653"/>
    <w:rsid w:val="048A1780"/>
    <w:rsid w:val="30C15062"/>
    <w:rsid w:val="34E6283D"/>
    <w:rsid w:val="42E3216A"/>
    <w:rsid w:val="474B4782"/>
    <w:rsid w:val="58103AAF"/>
    <w:rsid w:val="61FB7AAA"/>
    <w:rsid w:val="73430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qFormat/>
    <w:uiPriority w:val="99"/>
    <w:pPr>
      <w:spacing w:after="120"/>
    </w:pPr>
  </w:style>
  <w:style w:type="character" w:customStyle="1" w:styleId="5">
    <w:name w:val="正文文本 Char"/>
    <w:basedOn w:val="4"/>
    <w:link w:val="2"/>
    <w:qFormat/>
    <w:uiPriority w:val="99"/>
    <w:rPr>
      <w:rFonts w:ascii="Calibri" w:hAnsi="Calibri" w:eastAsia="宋体" w:cs="Times New Roman"/>
      <w:szCs w:val="24"/>
    </w:rPr>
  </w:style>
  <w:style w:type="paragraph" w:customStyle="1" w:styleId="6">
    <w:name w:val="正文首行缩进 21"/>
    <w:basedOn w:val="1"/>
    <w:qFormat/>
    <w:uiPriority w:val="0"/>
    <w:pPr>
      <w:spacing w:line="360" w:lineRule="auto"/>
      <w:ind w:firstLine="420" w:firstLineChars="200"/>
    </w:pPr>
    <w:rPr>
      <w:sz w:val="28"/>
      <w:szCs w:val="20"/>
    </w:rPr>
  </w:style>
  <w:style w:type="paragraph" w:customStyle="1" w:styleId="7">
    <w:name w:val="BodyText1I2"/>
    <w:basedOn w:val="1"/>
    <w:qFormat/>
    <w:uiPriority w:val="0"/>
    <w:pPr>
      <w:ind w:firstLine="420"/>
      <w:textAlignment w:val="baseline"/>
    </w:pPr>
    <w:rPr>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3539</Words>
  <Characters>3651</Characters>
  <Lines>27</Lines>
  <Paragraphs>7</Paragraphs>
  <TotalTime>0</TotalTime>
  <ScaleCrop>false</ScaleCrop>
  <LinksUpToDate>false</LinksUpToDate>
  <CharactersWithSpaces>3651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2023-11-23T07:18:00Z</dcterms:created>
  <dc:creator>dell</dc:creator>
  <cp:lastModifiedBy>其实都没有</cp:lastModifiedBy>
  <dcterms:modified xsi:type="dcterms:W3CDTF">2024-09-04T06:13:23Z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B2054E47BF8B43AE8B0F37152D555015_13</vt:lpwstr>
  </property>
</Properties>
</file>