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Times New Roman"/>
          <w:b/>
          <w:sz w:val="44"/>
          <w:szCs w:val="44"/>
        </w:rPr>
      </w:pPr>
      <w:r>
        <w:rPr>
          <w:rFonts w:hint="eastAsia" w:ascii="仿宋_GB2312" w:hAnsi="Times New Roman"/>
          <w:b/>
          <w:sz w:val="44"/>
          <w:szCs w:val="44"/>
        </w:rPr>
        <w:t>202</w:t>
      </w:r>
      <w:r>
        <w:rPr>
          <w:rFonts w:hint="eastAsia" w:ascii="仿宋_GB2312" w:hAnsi="Times New Roman"/>
          <w:b/>
          <w:sz w:val="44"/>
          <w:szCs w:val="44"/>
          <w:lang w:val="en-US" w:eastAsia="zh-CN"/>
        </w:rPr>
        <w:t>3</w:t>
      </w:r>
      <w:r>
        <w:rPr>
          <w:rFonts w:hint="eastAsia" w:ascii="仿宋_GB2312" w:hAnsi="Times New Roman"/>
          <w:b/>
          <w:sz w:val="44"/>
          <w:szCs w:val="44"/>
        </w:rPr>
        <w:t>年编制说明</w:t>
      </w:r>
    </w:p>
    <w:p>
      <w:pPr>
        <w:jc w:val="center"/>
        <w:rPr>
          <w:rFonts w:ascii="仿宋_GB2312" w:hAnsi="Times New Roman"/>
          <w:b/>
          <w:sz w:val="44"/>
          <w:szCs w:val="44"/>
        </w:rPr>
      </w:pPr>
    </w:p>
    <w:p>
      <w:pPr>
        <w:ind w:firstLine="720" w:firstLineChars="225"/>
        <w:rPr>
          <w:rFonts w:ascii="仿宋" w:hAnsi="仿宋" w:eastAsia="仿宋"/>
          <w:sz w:val="32"/>
          <w:szCs w:val="32"/>
        </w:rPr>
      </w:pPr>
      <w:r>
        <w:rPr>
          <w:rFonts w:hint="eastAsia" w:ascii="仿宋" w:hAnsi="仿宋" w:eastAsia="仿宋"/>
          <w:sz w:val="32"/>
          <w:szCs w:val="32"/>
        </w:rPr>
        <w:t>一、主要职责及机构设置情况</w:t>
      </w:r>
    </w:p>
    <w:p>
      <w:pPr>
        <w:ind w:firstLine="720" w:firstLineChars="225"/>
        <w:rPr>
          <w:rFonts w:ascii="仿宋" w:hAnsi="仿宋" w:eastAsia="仿宋"/>
          <w:sz w:val="32"/>
          <w:szCs w:val="32"/>
        </w:rPr>
      </w:pPr>
      <w:r>
        <w:rPr>
          <w:rFonts w:hint="eastAsia" w:ascii="仿宋" w:hAnsi="仿宋" w:eastAsia="仿宋"/>
          <w:sz w:val="32"/>
          <w:szCs w:val="32"/>
        </w:rPr>
        <w:t>（一）机构设置、职责</w:t>
      </w:r>
    </w:p>
    <w:p>
      <w:pPr>
        <w:ind w:firstLine="720" w:firstLineChars="225"/>
        <w:rPr>
          <w:rFonts w:ascii="仿宋" w:hAnsi="仿宋" w:eastAsia="仿宋"/>
          <w:sz w:val="32"/>
          <w:szCs w:val="32"/>
        </w:rPr>
      </w:pPr>
      <w:r>
        <w:rPr>
          <w:rFonts w:hint="eastAsia" w:ascii="仿宋" w:hAnsi="仿宋" w:eastAsia="仿宋"/>
          <w:sz w:val="32"/>
          <w:szCs w:val="32"/>
        </w:rPr>
        <w:t>北京市西城区残疾人</w:t>
      </w:r>
      <w:r>
        <w:rPr>
          <w:rFonts w:hint="eastAsia" w:ascii="仿宋" w:hAnsi="仿宋" w:eastAsia="仿宋"/>
          <w:sz w:val="32"/>
          <w:szCs w:val="32"/>
          <w:lang w:eastAsia="zh-CN"/>
        </w:rPr>
        <w:t>综合服务</w:t>
      </w:r>
      <w:r>
        <w:rPr>
          <w:rFonts w:hint="eastAsia" w:ascii="仿宋" w:hAnsi="仿宋" w:eastAsia="仿宋"/>
          <w:sz w:val="32"/>
          <w:szCs w:val="32"/>
        </w:rPr>
        <w:t>中心为北京市西城区残疾人联合会的下属事业单位。</w:t>
      </w:r>
    </w:p>
    <w:p>
      <w:pPr>
        <w:ind w:firstLine="720" w:firstLineChars="225"/>
        <w:rPr>
          <w:rFonts w:ascii="仿宋" w:hAnsi="仿宋" w:eastAsia="仿宋"/>
          <w:sz w:val="32"/>
          <w:szCs w:val="32"/>
        </w:rPr>
      </w:pPr>
      <w:r>
        <w:rPr>
          <w:rFonts w:hint="eastAsia" w:ascii="仿宋" w:hAnsi="仿宋" w:eastAsia="仿宋"/>
          <w:sz w:val="32"/>
          <w:szCs w:val="32"/>
        </w:rPr>
        <w:t>主要工作职责：</w:t>
      </w:r>
    </w:p>
    <w:p>
      <w:pPr>
        <w:ind w:firstLine="720" w:firstLineChars="225"/>
        <w:rPr>
          <w:rFonts w:hint="eastAsia" w:ascii="仿宋" w:hAnsi="仿宋" w:eastAsia="仿宋"/>
          <w:sz w:val="32"/>
          <w:szCs w:val="32"/>
          <w:lang w:eastAsia="zh-CN"/>
        </w:rPr>
      </w:pPr>
      <w:r>
        <w:rPr>
          <w:rFonts w:hint="eastAsia" w:ascii="仿宋" w:hAnsi="仿宋" w:eastAsia="仿宋"/>
          <w:sz w:val="32"/>
          <w:szCs w:val="32"/>
          <w:lang w:eastAsia="zh-CN"/>
        </w:rPr>
        <w:t>提供适应残疾人特殊需求的公共文化服务和产品，组织开展残疾人群众性文化体育和娱乐活动，参与并举办各项赛事，承担残疾人文艺体育团队建设和服务管理工作，承担残疾人事业宣传和思想文化建设相关事务性工作，组织开展残疾人居家无障碍改造，无障碍设施使用体验、宣传推广等工作，承担信息化和后勤服务保障工作。</w:t>
      </w:r>
    </w:p>
    <w:p>
      <w:pPr>
        <w:ind w:firstLine="720" w:firstLineChars="225"/>
        <w:rPr>
          <w:rFonts w:ascii="仿宋" w:hAnsi="仿宋" w:eastAsia="仿宋"/>
          <w:sz w:val="32"/>
          <w:szCs w:val="32"/>
        </w:rPr>
      </w:pPr>
      <w:r>
        <w:rPr>
          <w:rFonts w:hint="eastAsia" w:ascii="仿宋" w:hAnsi="仿宋" w:eastAsia="仿宋"/>
          <w:sz w:val="32"/>
          <w:szCs w:val="32"/>
        </w:rPr>
        <w:t>（二）人员构成情况</w:t>
      </w:r>
    </w:p>
    <w:p>
      <w:pPr>
        <w:ind w:firstLine="720" w:firstLineChars="225"/>
        <w:rPr>
          <w:rFonts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t>事业编制1</w:t>
      </w: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人；退休人员2人。</w:t>
      </w:r>
    </w:p>
    <w:p>
      <w:pPr>
        <w:ind w:firstLine="645"/>
        <w:rPr>
          <w:rFonts w:ascii="仿宋" w:hAnsi="仿宋" w:eastAsia="仿宋"/>
          <w:sz w:val="32"/>
          <w:szCs w:val="32"/>
        </w:rPr>
      </w:pPr>
      <w:r>
        <w:rPr>
          <w:rFonts w:hint="eastAsia" w:ascii="仿宋" w:hAnsi="仿宋" w:eastAsia="仿宋"/>
          <w:sz w:val="32"/>
          <w:szCs w:val="32"/>
        </w:rPr>
        <w:t>二、202</w:t>
      </w:r>
      <w:r>
        <w:rPr>
          <w:rFonts w:hint="eastAsia" w:ascii="仿宋" w:hAnsi="仿宋" w:eastAsia="仿宋"/>
          <w:sz w:val="32"/>
          <w:szCs w:val="32"/>
          <w:lang w:val="en-US" w:eastAsia="zh-CN"/>
        </w:rPr>
        <w:t>3</w:t>
      </w:r>
      <w:r>
        <w:rPr>
          <w:rFonts w:hint="eastAsia" w:ascii="仿宋" w:hAnsi="仿宋" w:eastAsia="仿宋"/>
          <w:sz w:val="32"/>
          <w:szCs w:val="32"/>
        </w:rPr>
        <w:t>年决算收支及增减变化情况说明及主要支出。</w:t>
      </w:r>
    </w:p>
    <w:p>
      <w:pPr>
        <w:rPr>
          <w:rFonts w:ascii="仿宋" w:hAnsi="仿宋" w:eastAsia="仿宋"/>
          <w:sz w:val="32"/>
          <w:szCs w:val="32"/>
        </w:rPr>
      </w:pPr>
      <w:r>
        <w:rPr>
          <w:rFonts w:hint="eastAsia" w:ascii="仿宋" w:hAnsi="仿宋" w:eastAsia="仿宋"/>
          <w:sz w:val="32"/>
          <w:szCs w:val="32"/>
        </w:rPr>
        <w:t>（一）收入决算说明</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年决算</w:t>
      </w:r>
      <w:r>
        <w:rPr>
          <w:rFonts w:hint="eastAsia" w:ascii="仿宋" w:hAnsi="仿宋" w:eastAsia="仿宋"/>
          <w:sz w:val="32"/>
          <w:szCs w:val="32"/>
          <w:lang w:val="en-US" w:eastAsia="zh-CN"/>
        </w:rPr>
        <w:t>9706247.79</w:t>
      </w:r>
      <w:r>
        <w:rPr>
          <w:rFonts w:hint="eastAsia" w:ascii="仿宋" w:hAnsi="仿宋" w:eastAsia="仿宋"/>
          <w:sz w:val="32"/>
          <w:szCs w:val="32"/>
        </w:rPr>
        <w:t>元。其中：财政拨款</w:t>
      </w:r>
      <w:r>
        <w:rPr>
          <w:rFonts w:hint="eastAsia" w:ascii="仿宋" w:hAnsi="仿宋" w:eastAsia="仿宋"/>
          <w:sz w:val="32"/>
          <w:szCs w:val="32"/>
          <w:lang w:val="en-US" w:eastAsia="zh-CN"/>
        </w:rPr>
        <w:t>9706247.79</w:t>
      </w:r>
      <w:r>
        <w:rPr>
          <w:rFonts w:hint="eastAsia" w:ascii="仿宋" w:hAnsi="仿宋" w:eastAsia="仿宋"/>
          <w:sz w:val="32"/>
          <w:szCs w:val="32"/>
        </w:rPr>
        <w:t>元。2022全年收入决算4714696.10元。其中：财政拨款4714696.10元。202</w:t>
      </w:r>
      <w:r>
        <w:rPr>
          <w:rFonts w:hint="eastAsia" w:ascii="仿宋" w:hAnsi="仿宋" w:eastAsia="仿宋"/>
          <w:sz w:val="32"/>
          <w:szCs w:val="32"/>
          <w:lang w:val="en-US" w:eastAsia="zh-CN"/>
        </w:rPr>
        <w:t>3</w:t>
      </w:r>
      <w:r>
        <w:rPr>
          <w:rFonts w:hint="eastAsia" w:ascii="仿宋" w:hAnsi="仿宋" w:eastAsia="仿宋"/>
          <w:sz w:val="32"/>
          <w:szCs w:val="32"/>
        </w:rPr>
        <w:t>年较202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eastAsia="zh-CN"/>
        </w:rPr>
        <w:t>增加</w:t>
      </w:r>
      <w:r>
        <w:rPr>
          <w:rFonts w:hint="eastAsia" w:ascii="仿宋" w:hAnsi="仿宋" w:eastAsia="仿宋"/>
          <w:sz w:val="32"/>
          <w:szCs w:val="32"/>
        </w:rPr>
        <w:t>了</w:t>
      </w:r>
      <w:r>
        <w:rPr>
          <w:rFonts w:hint="eastAsia" w:ascii="仿宋" w:hAnsi="仿宋" w:eastAsia="仿宋"/>
          <w:sz w:val="32"/>
          <w:szCs w:val="32"/>
          <w:lang w:val="en-US" w:eastAsia="zh-CN"/>
        </w:rPr>
        <w:t>4991551.69</w:t>
      </w:r>
      <w:r>
        <w:rPr>
          <w:rFonts w:hint="eastAsia" w:ascii="仿宋" w:hAnsi="仿宋" w:eastAsia="仿宋"/>
          <w:sz w:val="32"/>
          <w:szCs w:val="32"/>
        </w:rPr>
        <w:t>元。</w:t>
      </w:r>
    </w:p>
    <w:p>
      <w:pPr>
        <w:rPr>
          <w:rFonts w:ascii="仿宋" w:hAnsi="仿宋" w:eastAsia="仿宋"/>
          <w:sz w:val="32"/>
          <w:szCs w:val="32"/>
        </w:rPr>
      </w:pPr>
      <w:r>
        <w:rPr>
          <w:rFonts w:hint="eastAsia" w:ascii="仿宋" w:hAnsi="仿宋" w:eastAsia="仿宋"/>
          <w:sz w:val="32"/>
          <w:szCs w:val="32"/>
        </w:rPr>
        <w:t>（二）支出决算说明</w:t>
      </w:r>
    </w:p>
    <w:p>
      <w:pPr>
        <w:ind w:firstLine="800" w:firstLineChars="25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支出决算按用途划分：</w:t>
      </w:r>
    </w:p>
    <w:p>
      <w:pPr>
        <w:ind w:firstLine="800" w:firstLineChars="250"/>
        <w:rPr>
          <w:rFonts w:ascii="仿宋" w:hAnsi="仿宋" w:eastAsia="仿宋"/>
          <w:sz w:val="32"/>
          <w:szCs w:val="32"/>
        </w:rPr>
      </w:pPr>
      <w:r>
        <w:rPr>
          <w:rFonts w:hint="eastAsia" w:ascii="仿宋" w:hAnsi="仿宋" w:eastAsia="仿宋"/>
          <w:sz w:val="32"/>
          <w:szCs w:val="32"/>
        </w:rPr>
        <w:t>1、202</w:t>
      </w:r>
      <w:r>
        <w:rPr>
          <w:rFonts w:hint="eastAsia" w:ascii="仿宋" w:hAnsi="仿宋" w:eastAsia="仿宋"/>
          <w:sz w:val="32"/>
          <w:szCs w:val="32"/>
          <w:lang w:val="en-US" w:eastAsia="zh-CN"/>
        </w:rPr>
        <w:t>3</w:t>
      </w:r>
      <w:r>
        <w:rPr>
          <w:rFonts w:hint="eastAsia" w:ascii="仿宋" w:hAnsi="仿宋" w:eastAsia="仿宋"/>
          <w:sz w:val="32"/>
          <w:szCs w:val="32"/>
        </w:rPr>
        <w:t>年支出共计</w:t>
      </w:r>
      <w:r>
        <w:rPr>
          <w:rFonts w:hint="eastAsia" w:ascii="仿宋" w:hAnsi="仿宋" w:eastAsia="仿宋"/>
          <w:sz w:val="32"/>
          <w:szCs w:val="32"/>
          <w:lang w:val="en-US" w:eastAsia="zh-CN"/>
        </w:rPr>
        <w:t>9706247.79</w:t>
      </w:r>
      <w:r>
        <w:rPr>
          <w:rFonts w:hint="eastAsia" w:ascii="仿宋" w:hAnsi="仿宋" w:eastAsia="仿宋"/>
          <w:sz w:val="32"/>
          <w:szCs w:val="32"/>
        </w:rPr>
        <w:t>元，2022年支出共计4714696.10元.202</w:t>
      </w:r>
      <w:r>
        <w:rPr>
          <w:rFonts w:hint="eastAsia" w:ascii="仿宋" w:hAnsi="仿宋" w:eastAsia="仿宋"/>
          <w:sz w:val="32"/>
          <w:szCs w:val="32"/>
          <w:lang w:val="en-US" w:eastAsia="zh-CN"/>
        </w:rPr>
        <w:t>3</w:t>
      </w:r>
      <w:r>
        <w:rPr>
          <w:rFonts w:hint="eastAsia" w:ascii="仿宋" w:hAnsi="仿宋" w:eastAsia="仿宋"/>
          <w:sz w:val="32"/>
          <w:szCs w:val="32"/>
        </w:rPr>
        <w:t>年支出比202</w:t>
      </w:r>
      <w:r>
        <w:rPr>
          <w:rFonts w:hint="eastAsia" w:ascii="仿宋" w:hAnsi="仿宋" w:eastAsia="仿宋"/>
          <w:sz w:val="32"/>
          <w:szCs w:val="32"/>
          <w:lang w:val="en-US" w:eastAsia="zh-CN"/>
        </w:rPr>
        <w:t>2年增加</w:t>
      </w:r>
      <w:r>
        <w:rPr>
          <w:rFonts w:hint="eastAsia" w:ascii="仿宋" w:hAnsi="仿宋" w:eastAsia="仿宋"/>
          <w:sz w:val="32"/>
          <w:szCs w:val="32"/>
        </w:rPr>
        <w:t>了</w:t>
      </w:r>
      <w:r>
        <w:rPr>
          <w:rFonts w:hint="eastAsia" w:ascii="仿宋" w:hAnsi="仿宋" w:eastAsia="仿宋"/>
          <w:sz w:val="32"/>
          <w:szCs w:val="32"/>
          <w:lang w:val="en-US" w:eastAsia="zh-CN"/>
        </w:rPr>
        <w:t>4991551.69</w:t>
      </w:r>
      <w:r>
        <w:rPr>
          <w:rFonts w:hint="eastAsia" w:ascii="仿宋" w:hAnsi="仿宋" w:eastAsia="仿宋"/>
          <w:sz w:val="32"/>
          <w:szCs w:val="32"/>
        </w:rPr>
        <w:t>元。202</w:t>
      </w:r>
      <w:r>
        <w:rPr>
          <w:rFonts w:hint="eastAsia" w:ascii="仿宋" w:hAnsi="仿宋" w:eastAsia="仿宋"/>
          <w:sz w:val="32"/>
          <w:szCs w:val="32"/>
          <w:lang w:val="en-US" w:eastAsia="zh-CN"/>
        </w:rPr>
        <w:t>3</w:t>
      </w:r>
      <w:r>
        <w:rPr>
          <w:rFonts w:hint="eastAsia" w:ascii="仿宋" w:hAnsi="仿宋" w:eastAsia="仿宋"/>
          <w:sz w:val="32"/>
          <w:szCs w:val="32"/>
        </w:rPr>
        <w:t>年支出共计公共预算财政拨款</w:t>
      </w:r>
      <w:r>
        <w:rPr>
          <w:rFonts w:hint="eastAsia" w:ascii="仿宋" w:hAnsi="仿宋" w:eastAsia="仿宋"/>
          <w:sz w:val="32"/>
          <w:szCs w:val="32"/>
          <w:lang w:val="en-US" w:eastAsia="zh-CN"/>
        </w:rPr>
        <w:t>9706247.79</w:t>
      </w:r>
      <w:r>
        <w:rPr>
          <w:rFonts w:hint="eastAsia" w:ascii="仿宋" w:hAnsi="仿宋" w:eastAsia="仿宋"/>
          <w:sz w:val="32"/>
          <w:szCs w:val="32"/>
        </w:rPr>
        <w:t>元（1）基本支出决算</w:t>
      </w:r>
      <w:r>
        <w:rPr>
          <w:rFonts w:hint="eastAsia" w:ascii="仿宋" w:hAnsi="仿宋" w:eastAsia="仿宋"/>
          <w:sz w:val="32"/>
          <w:szCs w:val="32"/>
          <w:lang w:val="en-US" w:eastAsia="zh-CN"/>
        </w:rPr>
        <w:t>5202866.82</w:t>
      </w:r>
      <w:r>
        <w:rPr>
          <w:rFonts w:hint="eastAsia" w:ascii="仿宋" w:hAnsi="仿宋" w:eastAsia="仿宋"/>
          <w:sz w:val="32"/>
          <w:szCs w:val="32"/>
        </w:rPr>
        <w:t>元。（2）项目支出决算</w:t>
      </w:r>
      <w:r>
        <w:rPr>
          <w:rFonts w:hint="eastAsia" w:ascii="仿宋" w:hAnsi="仿宋" w:eastAsia="仿宋"/>
          <w:sz w:val="32"/>
          <w:szCs w:val="32"/>
          <w:lang w:val="en-US" w:eastAsia="zh-CN"/>
        </w:rPr>
        <w:t>4503380.97</w:t>
      </w:r>
      <w:r>
        <w:rPr>
          <w:rFonts w:hint="eastAsia" w:ascii="仿宋" w:hAnsi="仿宋" w:eastAsia="仿宋"/>
          <w:sz w:val="32"/>
          <w:szCs w:val="32"/>
        </w:rPr>
        <w:t>元。主要项目是①残疾人体育支出</w:t>
      </w:r>
      <w:r>
        <w:rPr>
          <w:rFonts w:hint="eastAsia" w:ascii="仿宋" w:hAnsi="仿宋" w:eastAsia="仿宋"/>
          <w:sz w:val="32"/>
          <w:szCs w:val="32"/>
          <w:lang w:val="en-US" w:eastAsia="zh-CN"/>
        </w:rPr>
        <w:t>944074.9</w:t>
      </w:r>
      <w:r>
        <w:rPr>
          <w:rFonts w:hint="eastAsia" w:ascii="仿宋" w:hAnsi="仿宋" w:eastAsia="仿宋"/>
          <w:sz w:val="32"/>
          <w:szCs w:val="32"/>
        </w:rPr>
        <w:t>元。②其他残疾人事业支出</w:t>
      </w:r>
      <w:r>
        <w:rPr>
          <w:rFonts w:hint="eastAsia" w:ascii="仿宋" w:hAnsi="仿宋" w:eastAsia="仿宋"/>
          <w:sz w:val="32"/>
          <w:szCs w:val="32"/>
          <w:lang w:val="en-US" w:eastAsia="zh-CN"/>
        </w:rPr>
        <w:t>3559306.07</w:t>
      </w:r>
      <w:r>
        <w:rPr>
          <w:rFonts w:hint="eastAsia" w:ascii="仿宋" w:hAnsi="仿宋" w:eastAsia="仿宋"/>
          <w:sz w:val="32"/>
          <w:szCs w:val="32"/>
        </w:rPr>
        <w:t>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三、其他情况说明</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（一）202</w:t>
      </w:r>
      <w:r>
        <w:rPr>
          <w:rFonts w:hint="eastAsia" w:ascii="仿宋" w:hAnsi="仿宋" w:eastAsia="仿宋"/>
          <w:sz w:val="32"/>
          <w:szCs w:val="32"/>
          <w:lang w:val="en-US" w:eastAsia="zh-CN"/>
        </w:rPr>
        <w:t>3</w:t>
      </w:r>
      <w:r>
        <w:rPr>
          <w:rFonts w:hint="eastAsia" w:ascii="仿宋" w:hAnsi="仿宋" w:eastAsia="仿宋"/>
          <w:sz w:val="32"/>
          <w:szCs w:val="32"/>
        </w:rPr>
        <w:t>年涉及政府采购项目决算资金</w:t>
      </w:r>
      <w:r>
        <w:rPr>
          <w:rFonts w:hint="eastAsia" w:ascii="仿宋" w:hAnsi="仿宋" w:eastAsia="仿宋"/>
          <w:sz w:val="32"/>
          <w:szCs w:val="32"/>
          <w:lang w:val="en-US" w:eastAsia="zh-CN"/>
        </w:rPr>
        <w:t>1536904.61</w:t>
      </w:r>
      <w:r>
        <w:rPr>
          <w:rFonts w:hint="eastAsia" w:ascii="仿宋" w:hAnsi="仿宋" w:eastAsia="仿宋"/>
          <w:sz w:val="32"/>
          <w:szCs w:val="32"/>
        </w:rPr>
        <w:t>元。</w:t>
      </w:r>
    </w:p>
    <w:p>
      <w:pPr>
        <w:ind w:firstLine="640" w:firstLineChars="200"/>
        <w:rPr>
          <w:rFonts w:ascii="仿宋" w:hAnsi="仿宋" w:eastAsia="仿宋"/>
          <w:sz w:val="32"/>
          <w:szCs w:val="32"/>
        </w:rPr>
      </w:pPr>
      <w:r>
        <w:rPr>
          <w:rFonts w:hint="eastAsia" w:ascii="仿宋" w:hAnsi="仿宋" w:eastAsia="仿宋"/>
          <w:sz w:val="32"/>
          <w:szCs w:val="32"/>
        </w:rPr>
        <w:t>（二）202</w:t>
      </w:r>
      <w:r>
        <w:rPr>
          <w:rFonts w:hint="eastAsia" w:ascii="仿宋" w:hAnsi="仿宋" w:eastAsia="仿宋"/>
          <w:sz w:val="32"/>
          <w:szCs w:val="32"/>
          <w:lang w:val="en-US" w:eastAsia="zh-CN"/>
        </w:rPr>
        <w:t>3</w:t>
      </w:r>
      <w:r>
        <w:rPr>
          <w:rFonts w:hint="eastAsia" w:ascii="仿宋" w:hAnsi="仿宋" w:eastAsia="仿宋"/>
          <w:sz w:val="32"/>
          <w:szCs w:val="32"/>
        </w:rPr>
        <w:t>年涉及政府购买服务项目决算资金0元。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（三）202</w:t>
      </w:r>
      <w:r>
        <w:rPr>
          <w:rFonts w:hint="eastAsia" w:ascii="仿宋" w:hAnsi="仿宋" w:eastAsia="仿宋"/>
          <w:sz w:val="32"/>
          <w:szCs w:val="32"/>
          <w:lang w:val="en-US" w:eastAsia="zh-CN"/>
        </w:rPr>
        <w:t>3</w:t>
      </w:r>
      <w:r>
        <w:rPr>
          <w:rFonts w:hint="eastAsia" w:ascii="仿宋" w:hAnsi="仿宋" w:eastAsia="仿宋"/>
          <w:sz w:val="32"/>
          <w:szCs w:val="32"/>
        </w:rPr>
        <w:t>年机关运行经费决算情况及与上年对比原因说明</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Pr>
        <w:t>机关运行经费指：履行一般行政事业管理职能、维持机关运行（含人员支出），用于一般公共预算安排的行政运行经费。</w:t>
      </w:r>
      <w:r>
        <w:rPr>
          <w:rFonts w:hint="eastAsia" w:ascii="仿宋" w:hAnsi="仿宋" w:eastAsia="仿宋"/>
          <w:sz w:val="32"/>
          <w:szCs w:val="32"/>
          <w:lang w:eastAsia="zh-CN"/>
        </w:rPr>
        <w:t>本单位为公益一类事业单位，无机关运行经费。</w:t>
      </w:r>
    </w:p>
    <w:p>
      <w:pPr>
        <w:ind w:firstLine="645"/>
        <w:rPr>
          <w:rFonts w:ascii="仿宋_GB2312" w:eastAsia="仿宋_GB2312"/>
          <w:sz w:val="32"/>
          <w:szCs w:val="32"/>
        </w:rPr>
      </w:pPr>
      <w:r>
        <w:rPr>
          <w:rFonts w:hint="eastAsia" w:ascii="仿宋_GB2312" w:eastAsia="仿宋_GB2312"/>
          <w:sz w:val="32"/>
          <w:szCs w:val="32"/>
        </w:rPr>
        <w:t>（四）国有资产占用情况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截止202</w:t>
      </w:r>
      <w:r>
        <w:rPr>
          <w:rFonts w:hint="eastAsia" w:ascii="仿宋_GB2312" w:eastAsia="仿宋_GB2312"/>
          <w:sz w:val="32"/>
          <w:szCs w:val="32"/>
          <w:lang w:val="en-US" w:eastAsia="zh-CN"/>
        </w:rPr>
        <w:t>3</w:t>
      </w:r>
      <w:r>
        <w:rPr>
          <w:rFonts w:hint="eastAsia" w:ascii="仿宋_GB2312" w:eastAsia="仿宋_GB2312"/>
          <w:sz w:val="32"/>
          <w:szCs w:val="32"/>
        </w:rPr>
        <w:t>年底</w:t>
      </w:r>
      <w:r>
        <w:rPr>
          <w:rFonts w:hint="eastAsia" w:ascii="仿宋_GB2312" w:eastAsia="仿宋_GB2312"/>
          <w:b/>
          <w:sz w:val="32"/>
          <w:szCs w:val="32"/>
        </w:rPr>
        <w:t>，</w:t>
      </w:r>
      <w:r>
        <w:rPr>
          <w:rFonts w:hint="eastAsia" w:ascii="仿宋_GB2312" w:eastAsia="仿宋_GB2312"/>
          <w:sz w:val="32"/>
          <w:szCs w:val="32"/>
        </w:rPr>
        <w:t>本部门</w:t>
      </w:r>
      <w:r>
        <w:rPr>
          <w:rFonts w:ascii="仿宋_GB2312" w:eastAsia="仿宋_GB2312"/>
          <w:sz w:val="32"/>
          <w:szCs w:val="32"/>
        </w:rPr>
        <w:t>固定资产总额</w:t>
      </w:r>
      <w:r>
        <w:rPr>
          <w:rFonts w:hint="eastAsia" w:ascii="仿宋_GB2312" w:eastAsia="仿宋_GB2312"/>
          <w:sz w:val="32"/>
          <w:szCs w:val="32"/>
          <w:lang w:val="en-US" w:eastAsia="zh-CN"/>
        </w:rPr>
        <w:t>419451.48</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计提折旧</w:t>
      </w:r>
      <w:r>
        <w:rPr>
          <w:rFonts w:hint="eastAsia" w:ascii="仿宋_GB2312" w:eastAsia="仿宋_GB2312"/>
          <w:sz w:val="32"/>
          <w:szCs w:val="32"/>
          <w:lang w:val="en-US" w:eastAsia="zh-CN"/>
        </w:rPr>
        <w:t>270831.67</w:t>
      </w:r>
      <w:r>
        <w:rPr>
          <w:rFonts w:hint="eastAsia" w:ascii="仿宋_GB2312" w:eastAsia="仿宋_GB2312"/>
          <w:sz w:val="32"/>
          <w:szCs w:val="32"/>
        </w:rPr>
        <w:t>元。</w:t>
      </w:r>
      <w:r>
        <w:rPr>
          <w:rFonts w:ascii="仿宋_GB2312" w:eastAsia="仿宋_GB2312"/>
          <w:sz w:val="32"/>
          <w:szCs w:val="32"/>
        </w:rPr>
        <w:t>其中：</w:t>
      </w:r>
      <w:r>
        <w:rPr>
          <w:rFonts w:hint="eastAsia" w:ascii="仿宋_GB2312" w:eastAsia="仿宋_GB2312"/>
          <w:sz w:val="32"/>
          <w:szCs w:val="32"/>
        </w:rPr>
        <w:t>车辆0台</w:t>
      </w:r>
      <w:r>
        <w:rPr>
          <w:rFonts w:ascii="仿宋_GB2312" w:eastAsia="仿宋_GB2312"/>
          <w:sz w:val="32"/>
          <w:szCs w:val="32"/>
        </w:rPr>
        <w:t>，</w:t>
      </w:r>
      <w:r>
        <w:rPr>
          <w:rFonts w:hint="eastAsia" w:ascii="仿宋_GB2312" w:eastAsia="仿宋_GB2312"/>
          <w:sz w:val="32"/>
          <w:szCs w:val="32"/>
        </w:rPr>
        <w:t>0万元；单位</w:t>
      </w:r>
      <w:r>
        <w:rPr>
          <w:rFonts w:ascii="仿宋_GB2312" w:eastAsia="仿宋_GB2312"/>
          <w:sz w:val="32"/>
          <w:szCs w:val="32"/>
        </w:rPr>
        <w:t>价值</w:t>
      </w:r>
      <w:r>
        <w:rPr>
          <w:rFonts w:hint="eastAsia" w:ascii="仿宋_GB2312" w:eastAsia="仿宋_GB2312"/>
          <w:sz w:val="32"/>
          <w:szCs w:val="32"/>
        </w:rPr>
        <w:t>50万元以上</w:t>
      </w:r>
      <w:r>
        <w:rPr>
          <w:rFonts w:ascii="仿宋_GB2312" w:eastAsia="仿宋_GB2312"/>
          <w:sz w:val="32"/>
          <w:szCs w:val="32"/>
        </w:rPr>
        <w:t>的</w:t>
      </w:r>
      <w:r>
        <w:rPr>
          <w:rFonts w:hint="eastAsia" w:ascii="仿宋_GB2312" w:eastAsia="仿宋_GB2312"/>
          <w:sz w:val="32"/>
          <w:szCs w:val="32"/>
        </w:rPr>
        <w:t>通用</w:t>
      </w:r>
      <w:r>
        <w:rPr>
          <w:rFonts w:ascii="仿宋_GB2312" w:eastAsia="仿宋_GB2312"/>
          <w:sz w:val="32"/>
          <w:szCs w:val="32"/>
        </w:rPr>
        <w:t>设备</w:t>
      </w:r>
      <w:r>
        <w:rPr>
          <w:rFonts w:hint="eastAsia" w:ascii="仿宋_GB2312" w:eastAsia="仿宋_GB2312"/>
          <w:sz w:val="32"/>
          <w:szCs w:val="32"/>
        </w:rPr>
        <w:t>0台（套）、0万元，单位</w:t>
      </w:r>
      <w:r>
        <w:rPr>
          <w:rFonts w:ascii="仿宋_GB2312" w:eastAsia="仿宋_GB2312"/>
          <w:sz w:val="32"/>
          <w:szCs w:val="32"/>
        </w:rPr>
        <w:t>价值100</w:t>
      </w:r>
      <w:r>
        <w:rPr>
          <w:rFonts w:hint="eastAsia" w:ascii="仿宋_GB2312" w:eastAsia="仿宋_GB2312"/>
          <w:sz w:val="32"/>
          <w:szCs w:val="32"/>
        </w:rPr>
        <w:t>万元以上</w:t>
      </w:r>
      <w:r>
        <w:rPr>
          <w:rFonts w:ascii="仿宋_GB2312" w:eastAsia="仿宋_GB2312"/>
          <w:sz w:val="32"/>
          <w:szCs w:val="32"/>
        </w:rPr>
        <w:t>的</w:t>
      </w:r>
      <w:r>
        <w:rPr>
          <w:rFonts w:hint="eastAsia" w:ascii="仿宋_GB2312" w:eastAsia="仿宋_GB2312"/>
          <w:sz w:val="32"/>
          <w:szCs w:val="32"/>
        </w:rPr>
        <w:t>专用</w:t>
      </w:r>
      <w:r>
        <w:rPr>
          <w:rFonts w:ascii="仿宋_GB2312" w:eastAsia="仿宋_GB2312"/>
          <w:sz w:val="32"/>
          <w:szCs w:val="32"/>
        </w:rPr>
        <w:t>设备</w:t>
      </w:r>
      <w:r>
        <w:rPr>
          <w:rFonts w:hint="eastAsia" w:ascii="仿宋_GB2312" w:eastAsia="仿宋_GB2312"/>
          <w:sz w:val="32"/>
          <w:szCs w:val="32"/>
        </w:rPr>
        <w:t>0台（套）、0万元，办公用房价值0万元。</w:t>
      </w:r>
    </w:p>
    <w:p>
      <w:pPr>
        <w:ind w:firstLine="645"/>
        <w:rPr>
          <w:rFonts w:ascii="仿宋_GB2312" w:eastAsia="仿宋_GB2312"/>
          <w:sz w:val="32"/>
          <w:szCs w:val="32"/>
        </w:rPr>
      </w:pPr>
      <w:r>
        <w:rPr>
          <w:rFonts w:hint="eastAsia" w:ascii="仿宋_GB2312" w:eastAsia="仿宋_GB2312"/>
          <w:sz w:val="32"/>
          <w:szCs w:val="32"/>
        </w:rPr>
        <w:t>（五）202</w:t>
      </w:r>
      <w:r>
        <w:rPr>
          <w:rFonts w:hint="eastAsia" w:ascii="仿宋_GB2312" w:eastAsia="仿宋_GB2312"/>
          <w:sz w:val="32"/>
          <w:szCs w:val="32"/>
          <w:lang w:val="en-US" w:eastAsia="zh-CN"/>
        </w:rPr>
        <w:t>3</w:t>
      </w:r>
      <w:r>
        <w:rPr>
          <w:rFonts w:hint="eastAsia" w:ascii="仿宋_GB2312" w:eastAsia="仿宋_GB2312"/>
          <w:sz w:val="32"/>
          <w:szCs w:val="32"/>
        </w:rPr>
        <w:t>年决算绩效情况说明</w:t>
      </w:r>
    </w:p>
    <w:p>
      <w:pPr>
        <w:spacing w:line="360" w:lineRule="auto"/>
        <w:ind w:firstLine="480" w:firstLineChars="15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202</w:t>
      </w:r>
      <w:r>
        <w:rPr>
          <w:rFonts w:hint="eastAsia" w:ascii="仿宋" w:hAnsi="仿宋" w:eastAsia="仿宋" w:cs="宋体"/>
          <w:color w:val="000000" w:themeColor="text1"/>
          <w:kern w:val="0"/>
          <w:sz w:val="32"/>
          <w:szCs w:val="32"/>
          <w:lang w:val="en-US" w:eastAsia="zh-CN"/>
          <w14:textFill>
            <w14:solidFill>
              <w14:schemeClr w14:val="tx1"/>
            </w14:solidFill>
          </w14:textFill>
        </w:rPr>
        <w:t>3</w:t>
      </w:r>
      <w:r>
        <w:rPr>
          <w:rFonts w:hint="eastAsia" w:ascii="仿宋" w:hAnsi="仿宋" w:eastAsia="仿宋" w:cs="宋体"/>
          <w:color w:val="000000" w:themeColor="text1"/>
          <w:kern w:val="0"/>
          <w:sz w:val="32"/>
          <w:szCs w:val="32"/>
          <w14:textFill>
            <w14:solidFill>
              <w14:schemeClr w14:val="tx1"/>
            </w14:solidFill>
          </w14:textFill>
        </w:rPr>
        <w:t>年，区残疾人</w:t>
      </w:r>
      <w:r>
        <w:rPr>
          <w:rFonts w:hint="eastAsia" w:ascii="仿宋" w:hAnsi="仿宋" w:eastAsia="仿宋" w:cs="宋体"/>
          <w:color w:val="000000" w:themeColor="text1"/>
          <w:kern w:val="0"/>
          <w:sz w:val="32"/>
          <w:szCs w:val="32"/>
          <w:lang w:eastAsia="zh-CN"/>
          <w14:textFill>
            <w14:solidFill>
              <w14:schemeClr w14:val="tx1"/>
            </w14:solidFill>
          </w14:textFill>
        </w:rPr>
        <w:t>综合服务</w:t>
      </w:r>
      <w:r>
        <w:rPr>
          <w:rFonts w:hint="eastAsia" w:ascii="仿宋" w:hAnsi="仿宋" w:eastAsia="仿宋" w:cs="宋体"/>
          <w:color w:val="000000" w:themeColor="text1"/>
          <w:kern w:val="0"/>
          <w:sz w:val="32"/>
          <w:szCs w:val="32"/>
          <w14:textFill>
            <w14:solidFill>
              <w14:schemeClr w14:val="tx1"/>
            </w14:solidFill>
          </w14:textFill>
        </w:rPr>
        <w:t>中心共有预算项目</w:t>
      </w:r>
      <w:r>
        <w:rPr>
          <w:rFonts w:hint="eastAsia" w:ascii="仿宋" w:hAnsi="仿宋" w:eastAsia="仿宋" w:cs="宋体"/>
          <w:color w:val="000000" w:themeColor="text1"/>
          <w:kern w:val="0"/>
          <w:sz w:val="32"/>
          <w:szCs w:val="32"/>
          <w:lang w:val="en-US" w:eastAsia="zh-CN"/>
          <w14:textFill>
            <w14:solidFill>
              <w14:schemeClr w14:val="tx1"/>
            </w14:solidFill>
          </w14:textFill>
        </w:rPr>
        <w:t>10</w:t>
      </w:r>
      <w:bookmarkStart w:id="2" w:name="_GoBack"/>
      <w:bookmarkEnd w:id="2"/>
      <w:r>
        <w:rPr>
          <w:rFonts w:hint="eastAsia" w:ascii="仿宋" w:hAnsi="仿宋" w:eastAsia="仿宋" w:cs="宋体"/>
          <w:color w:val="000000" w:themeColor="text1"/>
          <w:kern w:val="0"/>
          <w:sz w:val="32"/>
          <w:szCs w:val="32"/>
          <w14:textFill>
            <w14:solidFill>
              <w14:schemeClr w14:val="tx1"/>
            </w14:solidFill>
          </w14:textFill>
        </w:rPr>
        <w:t>个，</w:t>
      </w:r>
    </w:p>
    <w:p>
      <w:pPr>
        <w:spacing w:line="360" w:lineRule="auto"/>
        <w:ind w:firstLine="480" w:firstLineChars="15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预算资金总额</w:t>
      </w:r>
      <w:r>
        <w:rPr>
          <w:rFonts w:hint="eastAsia" w:ascii="仿宋" w:hAnsi="仿宋" w:eastAsia="仿宋" w:cs="宋体"/>
          <w:color w:val="000000" w:themeColor="text1"/>
          <w:kern w:val="0"/>
          <w:sz w:val="32"/>
          <w:szCs w:val="32"/>
          <w:lang w:val="en-US" w:eastAsia="zh-CN"/>
          <w14:textFill>
            <w14:solidFill>
              <w14:schemeClr w14:val="tx1"/>
            </w14:solidFill>
          </w14:textFill>
        </w:rPr>
        <w:t>4503380.97</w:t>
      </w:r>
      <w:r>
        <w:rPr>
          <w:rFonts w:hint="eastAsia" w:ascii="仿宋" w:hAnsi="仿宋" w:eastAsia="仿宋" w:cs="宋体"/>
          <w:color w:val="000000" w:themeColor="text1"/>
          <w:kern w:val="0"/>
          <w:sz w:val="32"/>
          <w:szCs w:val="32"/>
          <w14:textFill>
            <w14:solidFill>
              <w14:schemeClr w14:val="tx1"/>
            </w14:solidFill>
          </w14:textFill>
        </w:rPr>
        <w:t>元。其中，</w:t>
      </w:r>
      <w:r>
        <w:rPr>
          <w:rFonts w:hint="eastAsia" w:ascii="仿宋" w:hAnsi="仿宋" w:eastAsia="仿宋" w:cs="宋体"/>
          <w:color w:val="000000" w:themeColor="text1"/>
          <w:kern w:val="0"/>
          <w:sz w:val="32"/>
          <w:szCs w:val="32"/>
          <w:lang w:val="en-US" w:eastAsia="zh-CN"/>
          <w14:textFill>
            <w14:solidFill>
              <w14:schemeClr w14:val="tx1"/>
            </w14:solidFill>
          </w14:textFill>
        </w:rPr>
        <w:t>100万以上</w:t>
      </w:r>
      <w:r>
        <w:rPr>
          <w:rFonts w:hint="eastAsia" w:ascii="仿宋" w:hAnsi="仿宋" w:eastAsia="仿宋" w:cs="宋体"/>
          <w:color w:val="000000" w:themeColor="text1"/>
          <w:kern w:val="0"/>
          <w:sz w:val="32"/>
          <w:szCs w:val="32"/>
          <w14:textFill>
            <w14:solidFill>
              <w14:schemeClr w14:val="tx1"/>
            </w14:solidFill>
          </w14:textFill>
        </w:rPr>
        <w:t>项目1个：</w:t>
      </w:r>
      <w:r>
        <w:rPr>
          <w:rFonts w:hint="eastAsia" w:ascii="仿宋" w:hAnsi="仿宋" w:eastAsia="仿宋" w:cs="宋体"/>
          <w:color w:val="000000" w:themeColor="text1"/>
          <w:kern w:val="0"/>
          <w:sz w:val="32"/>
          <w:szCs w:val="32"/>
          <w:lang w:eastAsia="zh-CN"/>
          <w14:textFill>
            <w14:solidFill>
              <w14:schemeClr w14:val="tx1"/>
            </w14:solidFill>
          </w14:textFill>
        </w:rPr>
        <w:t>物业管理费</w:t>
      </w:r>
      <w:r>
        <w:rPr>
          <w:rFonts w:hint="eastAsia" w:ascii="仿宋" w:hAnsi="仿宋" w:eastAsia="仿宋" w:cs="宋体"/>
          <w:color w:val="000000" w:themeColor="text1"/>
          <w:kern w:val="0"/>
          <w:sz w:val="32"/>
          <w:szCs w:val="32"/>
          <w14:textFill>
            <w14:solidFill>
              <w14:schemeClr w14:val="tx1"/>
            </w14:solidFill>
          </w14:textFill>
        </w:rPr>
        <w:t>，总金额</w:t>
      </w:r>
      <w:r>
        <w:rPr>
          <w:rFonts w:hint="eastAsia" w:ascii="仿宋" w:hAnsi="仿宋" w:eastAsia="仿宋" w:cs="宋体"/>
          <w:color w:val="000000" w:themeColor="text1"/>
          <w:kern w:val="0"/>
          <w:sz w:val="32"/>
          <w:szCs w:val="32"/>
          <w:lang w:val="en-US" w:eastAsia="zh-CN"/>
          <w14:textFill>
            <w14:solidFill>
              <w14:schemeClr w14:val="tx1"/>
            </w14:solidFill>
          </w14:textFill>
        </w:rPr>
        <w:t>1536904.61</w:t>
      </w:r>
      <w:r>
        <w:rPr>
          <w:rFonts w:hint="eastAsia" w:ascii="仿宋" w:hAnsi="仿宋" w:eastAsia="仿宋" w:cs="宋体"/>
          <w:color w:val="000000" w:themeColor="text1"/>
          <w:kern w:val="0"/>
          <w:sz w:val="32"/>
          <w:szCs w:val="32"/>
          <w14:textFill>
            <w14:solidFill>
              <w14:schemeClr w14:val="tx1"/>
            </w14:solidFill>
          </w14:textFill>
        </w:rPr>
        <w:t>元，占</w:t>
      </w:r>
      <w:r>
        <w:rPr>
          <w:rFonts w:hint="eastAsia" w:ascii="仿宋" w:hAnsi="仿宋" w:eastAsia="仿宋" w:cs="宋体"/>
          <w:color w:val="000000" w:themeColor="text1"/>
          <w:kern w:val="0"/>
          <w:sz w:val="32"/>
          <w:szCs w:val="32"/>
          <w:lang w:val="en-US" w:eastAsia="zh-CN"/>
          <w14:textFill>
            <w14:solidFill>
              <w14:schemeClr w14:val="tx1"/>
            </w14:solidFill>
          </w14:textFill>
        </w:rPr>
        <w:t>34.12</w:t>
      </w:r>
      <w:r>
        <w:rPr>
          <w:rFonts w:hint="eastAsia" w:ascii="仿宋" w:hAnsi="仿宋" w:eastAsia="仿宋" w:cs="宋体"/>
          <w:color w:val="000000" w:themeColor="text1"/>
          <w:kern w:val="0"/>
          <w:sz w:val="32"/>
          <w:szCs w:val="32"/>
          <w14:textFill>
            <w14:solidFill>
              <w14:schemeClr w14:val="tx1"/>
            </w14:solidFill>
          </w14:textFill>
        </w:rPr>
        <w:t>%</w:t>
      </w:r>
    </w:p>
    <w:p>
      <w:pPr>
        <w:ind w:left="298" w:leftChars="142" w:firstLine="592" w:firstLineChars="185"/>
        <w:rPr>
          <w:rFonts w:hint="eastAsia" w:ascii="仿宋_GB2312" w:hAnsi="仿宋" w:eastAsia="仿宋_GB2312"/>
          <w:sz w:val="32"/>
          <w:szCs w:val="32"/>
        </w:rPr>
      </w:pPr>
      <w:r>
        <w:rPr>
          <w:rFonts w:hint="eastAsia" w:ascii="仿宋_GB2312" w:hAnsi="仿宋" w:eastAsia="仿宋_GB2312"/>
          <w:sz w:val="32"/>
          <w:szCs w:val="32"/>
        </w:rPr>
        <w:t>所有项目均为自评项目，评价结果为“良好”。</w:t>
      </w:r>
    </w:p>
    <w:tbl>
      <w:tblPr>
        <w:tblStyle w:val="8"/>
        <w:tblW w:w="8928" w:type="dxa"/>
        <w:jc w:val="center"/>
        <w:tblInd w:w="0" w:type="dxa"/>
        <w:tblLayout w:type="fixed"/>
        <w:tblCellMar>
          <w:top w:w="0" w:type="dxa"/>
          <w:left w:w="108" w:type="dxa"/>
          <w:bottom w:w="0" w:type="dxa"/>
          <w:right w:w="108" w:type="dxa"/>
        </w:tblCellMar>
      </w:tblPr>
      <w:tblGrid>
        <w:gridCol w:w="578"/>
        <w:gridCol w:w="963"/>
        <w:gridCol w:w="1092"/>
        <w:gridCol w:w="718"/>
        <w:gridCol w:w="1114"/>
        <w:gridCol w:w="279"/>
        <w:gridCol w:w="839"/>
        <w:gridCol w:w="837"/>
        <w:gridCol w:w="185"/>
        <w:gridCol w:w="372"/>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eastAsia="宋体" w:cs="宋体"/>
                <w:kern w:val="0"/>
                <w:sz w:val="22"/>
                <w:szCs w:val="24"/>
              </w:rPr>
            </w:pPr>
            <w:r>
              <w:rPr>
                <w:rFonts w:hint="eastAsia" w:ascii="宋体" w:hAnsi="宋体" w:eastAsia="宋体" w:cs="宋体"/>
                <w:kern w:val="0"/>
                <w:sz w:val="22"/>
                <w:szCs w:val="24"/>
              </w:rPr>
              <w:t>（202</w:t>
            </w:r>
            <w:r>
              <w:rPr>
                <w:rFonts w:hint="eastAsia" w:ascii="宋体" w:hAnsi="宋体" w:eastAsia="宋体" w:cs="宋体"/>
                <w:kern w:val="0"/>
                <w:sz w:val="22"/>
                <w:szCs w:val="24"/>
                <w:lang w:val="en-US" w:eastAsia="zh-CN"/>
              </w:rPr>
              <w:t>3</w:t>
            </w:r>
            <w:r>
              <w:rPr>
                <w:rFonts w:hint="eastAsia" w:ascii="宋体" w:hAnsi="宋体" w:eastAsia="宋体" w:cs="宋体"/>
                <w:kern w:val="0"/>
                <w:sz w:val="22"/>
                <w:szCs w:val="24"/>
              </w:rPr>
              <w:t>年度）</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华文仿宋" w:hAnsi="华文仿宋" w:eastAsia="华文仿宋" w:cs="宋体"/>
                <w:kern w:val="0"/>
                <w:szCs w:val="21"/>
              </w:rPr>
              <w:t>物业管理费</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西城区残疾人联合会</w:t>
            </w:r>
          </w:p>
        </w:tc>
        <w:tc>
          <w:tcPr>
            <w:tcW w:w="102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3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szCs w:val="16"/>
              </w:rPr>
              <w:t>西城区残疾人综合服务中心</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王昊</w:t>
            </w:r>
          </w:p>
        </w:tc>
        <w:tc>
          <w:tcPr>
            <w:tcW w:w="102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3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66126351</w:t>
            </w:r>
          </w:p>
        </w:tc>
      </w:tr>
      <w:tr>
        <w:tblPrEx>
          <w:tblLayout w:type="fixed"/>
          <w:tblCellMar>
            <w:top w:w="0" w:type="dxa"/>
            <w:left w:w="108" w:type="dxa"/>
            <w:bottom w:w="0" w:type="dxa"/>
            <w:right w:w="108" w:type="dxa"/>
          </w:tblCellMar>
        </w:tblPrEx>
        <w:trPr>
          <w:trHeight w:val="314"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全年预算数</w:t>
            </w:r>
          </w:p>
        </w:tc>
        <w:tc>
          <w:tcPr>
            <w:tcW w:w="102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全年执行数</w:t>
            </w:r>
          </w:p>
        </w:tc>
        <w:tc>
          <w:tcPr>
            <w:tcW w:w="7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得分</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华文仿宋" w:cs="宋体"/>
                <w:kern w:val="0"/>
                <w:sz w:val="16"/>
                <w:szCs w:val="16"/>
                <w:lang w:eastAsia="zh-CN"/>
              </w:rPr>
            </w:pPr>
            <w:r>
              <w:rPr>
                <w:rFonts w:hint="eastAsia" w:ascii="华文仿宋" w:hAnsi="华文仿宋" w:eastAsia="华文仿宋" w:cs="宋体"/>
                <w:kern w:val="0"/>
                <w:sz w:val="16"/>
                <w:szCs w:val="16"/>
              </w:rPr>
              <w:t>153.982944</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华文仿宋" w:cs="宋体"/>
                <w:kern w:val="0"/>
                <w:sz w:val="16"/>
                <w:szCs w:val="16"/>
                <w:lang w:eastAsia="zh-CN"/>
              </w:rPr>
            </w:pPr>
            <w:r>
              <w:rPr>
                <w:rFonts w:hint="eastAsia" w:ascii="华文仿宋" w:hAnsi="华文仿宋" w:eastAsia="华文仿宋" w:cs="宋体"/>
                <w:kern w:val="0"/>
                <w:sz w:val="16"/>
                <w:szCs w:val="16"/>
              </w:rPr>
              <w:t>153.982944</w:t>
            </w:r>
          </w:p>
        </w:tc>
        <w:tc>
          <w:tcPr>
            <w:tcW w:w="102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6"/>
                <w:szCs w:val="16"/>
                <w:lang w:val="en-US" w:eastAsia="zh-CN"/>
              </w:rPr>
            </w:pPr>
            <w:r>
              <w:rPr>
                <w:rFonts w:hint="default" w:ascii="宋体" w:hAnsi="宋体" w:eastAsia="宋体" w:cs="宋体"/>
                <w:kern w:val="0"/>
                <w:sz w:val="16"/>
                <w:szCs w:val="16"/>
                <w:lang w:val="en-US" w:eastAsia="zh-CN"/>
              </w:rPr>
              <w:t>153.69041</w:t>
            </w:r>
          </w:p>
        </w:tc>
        <w:tc>
          <w:tcPr>
            <w:tcW w:w="78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lang w:val="en-US" w:eastAsia="zh-CN"/>
              </w:rPr>
              <w:t>99.81%</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6"/>
                <w:szCs w:val="16"/>
                <w:lang w:val="en-US" w:eastAsia="zh-CN"/>
              </w:rPr>
            </w:pPr>
            <w:r>
              <w:rPr>
                <w:rFonts w:hint="eastAsia" w:ascii="宋体" w:hAnsi="宋体" w:eastAsia="宋体" w:cs="宋体"/>
                <w:kern w:val="0"/>
                <w:sz w:val="16"/>
                <w:szCs w:val="16"/>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华文仿宋" w:cs="宋体"/>
                <w:kern w:val="0"/>
                <w:sz w:val="16"/>
                <w:szCs w:val="16"/>
                <w:lang w:eastAsia="zh-CN"/>
              </w:rPr>
            </w:pPr>
            <w:r>
              <w:rPr>
                <w:rFonts w:hint="eastAsia" w:ascii="华文仿宋" w:hAnsi="华文仿宋" w:eastAsia="华文仿宋" w:cs="宋体"/>
                <w:kern w:val="0"/>
                <w:sz w:val="16"/>
                <w:szCs w:val="16"/>
              </w:rPr>
              <w:t>153.982944</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华文仿宋" w:cs="宋体"/>
                <w:kern w:val="0"/>
                <w:sz w:val="16"/>
                <w:szCs w:val="16"/>
                <w:lang w:eastAsia="zh-CN"/>
              </w:rPr>
            </w:pPr>
            <w:r>
              <w:rPr>
                <w:rFonts w:hint="eastAsia" w:ascii="华文仿宋" w:hAnsi="华文仿宋" w:eastAsia="华文仿宋" w:cs="宋体"/>
                <w:kern w:val="0"/>
                <w:sz w:val="16"/>
                <w:szCs w:val="16"/>
              </w:rPr>
              <w:t>153.982944</w:t>
            </w:r>
          </w:p>
        </w:tc>
        <w:tc>
          <w:tcPr>
            <w:tcW w:w="102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6"/>
                <w:szCs w:val="16"/>
              </w:rPr>
            </w:pPr>
            <w:r>
              <w:rPr>
                <w:rFonts w:hint="default" w:ascii="宋体" w:hAnsi="宋体" w:eastAsia="宋体" w:cs="宋体"/>
                <w:kern w:val="0"/>
                <w:sz w:val="16"/>
                <w:szCs w:val="16"/>
                <w:lang w:val="en-US" w:eastAsia="zh-CN"/>
              </w:rPr>
              <w:t>153.69041</w:t>
            </w:r>
          </w:p>
        </w:tc>
        <w:tc>
          <w:tcPr>
            <w:tcW w:w="7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lang w:val="en-US" w:eastAsia="zh-CN"/>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lang w:val="en-US" w:eastAsia="zh-CN"/>
              </w:rPr>
              <w:t>99.81%</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2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2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8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Layout w:type="fixed"/>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Layout w:type="fixed"/>
          <w:tblCellMar>
            <w:top w:w="0" w:type="dxa"/>
            <w:left w:w="108" w:type="dxa"/>
            <w:bottom w:w="0" w:type="dxa"/>
            <w:right w:w="108" w:type="dxa"/>
          </w:tblCellMar>
        </w:tblPrEx>
        <w:trPr>
          <w:trHeight w:val="60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指标1:服务满12个月</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12个</w:t>
            </w:r>
          </w:p>
        </w:tc>
        <w:tc>
          <w:tcPr>
            <w:tcW w:w="837" w:type="dxa"/>
            <w:tcBorders>
              <w:top w:val="nil"/>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12个</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8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指标1：服务合格</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合格</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优秀</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6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bidi="ar"/>
              </w:rPr>
              <w:t>指标1：按合同支付</w:t>
            </w:r>
          </w:p>
        </w:tc>
        <w:tc>
          <w:tcPr>
            <w:tcW w:w="839"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按合同</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指标1：按合同指标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良好</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良好</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指标1：服务对象满意度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98</w:t>
            </w:r>
            <w:r>
              <w:rPr>
                <w:rFonts w:hint="eastAsia" w:ascii="宋体" w:hAnsi="宋体" w:eastAsia="宋体" w:cs="宋体"/>
                <w:kern w:val="0"/>
                <w:sz w:val="18"/>
                <w:szCs w:val="18"/>
              </w:rPr>
              <w:t>%</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9</w:t>
            </w:r>
            <w:r>
              <w:rPr>
                <w:rFonts w:hint="eastAsia" w:ascii="宋体" w:hAnsi="宋体" w:eastAsia="宋体" w:cs="宋体"/>
                <w:color w:val="000000"/>
                <w:kern w:val="0"/>
                <w:sz w:val="18"/>
                <w:szCs w:val="18"/>
                <w:lang w:val="en-US" w:eastAsia="zh-CN"/>
              </w:rPr>
              <w:t>8</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jc w:val="center"/>
        <w:rPr>
          <w:rFonts w:hint="eastAsia" w:ascii="Times New Roman" w:hAnsi="Times New Roman" w:eastAsia="宋体" w:cs="Times New Roman"/>
          <w:b/>
          <w:color w:val="000000" w:themeColor="text1"/>
          <w:sz w:val="52"/>
          <w:szCs w:val="52"/>
          <w14:textFill>
            <w14:solidFill>
              <w14:schemeClr w14:val="tx1"/>
            </w14:solidFill>
          </w14:textFill>
        </w:rPr>
      </w:pPr>
      <w:bookmarkStart w:id="0" w:name="_Toc380588482"/>
      <w:bookmarkStart w:id="1" w:name="_Toc396293517"/>
    </w:p>
    <w:p>
      <w:pPr>
        <w:jc w:val="center"/>
        <w:rPr>
          <w:rFonts w:hint="eastAsia" w:ascii="Times New Roman" w:hAnsi="Times New Roman" w:eastAsia="宋体" w:cs="Times New Roman"/>
          <w:b/>
          <w:color w:val="000000" w:themeColor="text1"/>
          <w:sz w:val="52"/>
          <w:szCs w:val="52"/>
          <w14:textFill>
            <w14:solidFill>
              <w14:schemeClr w14:val="tx1"/>
            </w14:solidFill>
          </w14:textFill>
        </w:rPr>
      </w:pPr>
    </w:p>
    <w:p>
      <w:pPr>
        <w:jc w:val="center"/>
        <w:rPr>
          <w:rFonts w:ascii="Times New Roman" w:hAnsi="Times New Roman" w:eastAsia="宋体" w:cs="Times New Roman"/>
          <w:color w:val="000000" w:themeColor="text1"/>
          <w:sz w:val="52"/>
          <w:szCs w:val="52"/>
          <w14:textFill>
            <w14:solidFill>
              <w14:schemeClr w14:val="tx1"/>
            </w14:solidFill>
          </w14:textFill>
        </w:rPr>
      </w:pPr>
      <w:r>
        <w:rPr>
          <w:rFonts w:hint="eastAsia" w:ascii="Times New Roman" w:hAnsi="Times New Roman" w:eastAsia="宋体" w:cs="Times New Roman"/>
          <w:b/>
          <w:color w:val="000000" w:themeColor="text1"/>
          <w:sz w:val="52"/>
          <w:szCs w:val="52"/>
          <w14:textFill>
            <w14:solidFill>
              <w14:schemeClr w14:val="tx1"/>
            </w14:solidFill>
          </w14:textFill>
        </w:rPr>
        <w:t>2.西城区项目支出绩效报告</w:t>
      </w:r>
      <w:bookmarkEnd w:id="0"/>
      <w:bookmarkEnd w:id="1"/>
    </w:p>
    <w:p>
      <w:pPr>
        <w:adjustRightInd w:val="0"/>
        <w:snapToGrid w:val="0"/>
        <w:spacing w:before="100" w:beforeAutospacing="1" w:after="100" w:afterAutospacing="1" w:line="312" w:lineRule="auto"/>
        <w:ind w:firstLine="600"/>
        <w:jc w:val="center"/>
        <w:rPr>
          <w:rFonts w:ascii="仿宋_GB2312" w:hAnsi="Times New Roman" w:eastAsia="宋体" w:cs="Times New Roman"/>
          <w:color w:val="000000" w:themeColor="text1"/>
          <w:sz w:val="30"/>
          <w:szCs w:val="30"/>
          <w14:textFill>
            <w14:solidFill>
              <w14:schemeClr w14:val="tx1"/>
            </w14:solidFill>
          </w14:textFill>
        </w:rPr>
      </w:pPr>
    </w:p>
    <w:p>
      <w:pPr>
        <w:spacing w:before="100" w:beforeAutospacing="1" w:after="100" w:afterAutospacing="1" w:line="312" w:lineRule="auto"/>
        <w:jc w:val="center"/>
        <w:rPr>
          <w:rFonts w:ascii="仿宋_GB2312" w:hAnsi="宋体" w:eastAsia="宋体" w:cs="Times New Roman"/>
          <w:color w:val="000000" w:themeColor="text1"/>
          <w:sz w:val="32"/>
          <w:szCs w:val="32"/>
          <w14:textFill>
            <w14:solidFill>
              <w14:schemeClr w14:val="tx1"/>
            </w14:solidFill>
          </w14:textFill>
        </w:rPr>
      </w:pPr>
      <w:r>
        <w:rPr>
          <w:rFonts w:hint="eastAsia" w:ascii="仿宋_GB2312" w:hAnsi="宋体" w:eastAsia="宋体" w:cs="Times New Roman"/>
          <w:color w:val="000000" w:themeColor="text1"/>
          <w:sz w:val="32"/>
          <w:szCs w:val="32"/>
          <w14:textFill>
            <w14:solidFill>
              <w14:schemeClr w14:val="tx1"/>
            </w14:solidFill>
          </w14:textFill>
        </w:rPr>
        <w:t>（</w:t>
      </w:r>
      <w:r>
        <w:rPr>
          <w:rFonts w:hint="eastAsia" w:ascii="仿宋_GB2312" w:hAnsi="宋体" w:eastAsia="宋体" w:cs="Times New Roman"/>
          <w:color w:val="000000" w:themeColor="text1"/>
          <w:sz w:val="32"/>
          <w:szCs w:val="32"/>
          <w:lang w:val="en-US" w:eastAsia="zh-CN"/>
          <w14:textFill>
            <w14:solidFill>
              <w14:schemeClr w14:val="tx1"/>
            </w14:solidFill>
          </w14:textFill>
        </w:rPr>
        <w:t>2023</w:t>
      </w:r>
      <w:r>
        <w:rPr>
          <w:rFonts w:hint="eastAsia" w:ascii="仿宋_GB2312" w:hAnsi="宋体" w:eastAsia="宋体" w:cs="Times New Roman"/>
          <w:color w:val="000000" w:themeColor="text1"/>
          <w:sz w:val="32"/>
          <w:szCs w:val="32"/>
          <w14:textFill>
            <w14:solidFill>
              <w14:schemeClr w14:val="tx1"/>
            </w14:solidFill>
          </w14:textFill>
        </w:rPr>
        <w:t>年度）</w:t>
      </w:r>
    </w:p>
    <w:p>
      <w:pPr>
        <w:spacing w:before="100" w:beforeAutospacing="1" w:after="100" w:afterAutospacing="1" w:line="312" w:lineRule="auto"/>
        <w:ind w:firstLine="600"/>
        <w:rPr>
          <w:rFonts w:ascii="仿宋_GB2312" w:hAnsi="Times New Roman" w:eastAsia="宋体" w:cs="Times New Roman"/>
          <w:color w:val="000000" w:themeColor="text1"/>
          <w:sz w:val="30"/>
          <w:szCs w:val="24"/>
          <w14:textFill>
            <w14:solidFill>
              <w14:schemeClr w14:val="tx1"/>
            </w14:solidFill>
          </w14:textFill>
        </w:rPr>
      </w:pPr>
    </w:p>
    <w:p>
      <w:pPr>
        <w:spacing w:before="100" w:beforeAutospacing="1" w:after="100" w:afterAutospacing="1" w:line="312" w:lineRule="auto"/>
        <w:ind w:firstLine="600"/>
        <w:rPr>
          <w:rFonts w:ascii="仿宋_GB2312" w:hAnsi="Times New Roman" w:eastAsia="宋体" w:cs="Times New Roman"/>
          <w:color w:val="000000" w:themeColor="text1"/>
          <w:sz w:val="30"/>
          <w:szCs w:val="24"/>
          <w14:textFill>
            <w14:solidFill>
              <w14:schemeClr w14:val="tx1"/>
            </w14:solidFill>
          </w14:textFill>
        </w:rPr>
      </w:pPr>
    </w:p>
    <w:p>
      <w:pPr>
        <w:spacing w:before="100" w:beforeAutospacing="1" w:after="100" w:afterAutospacing="1" w:line="312" w:lineRule="auto"/>
        <w:ind w:firstLine="600"/>
        <w:rPr>
          <w:rFonts w:ascii="仿宋_GB2312" w:hAnsi="Times New Roman" w:eastAsia="宋体" w:cs="Times New Roman"/>
          <w:color w:val="000000" w:themeColor="text1"/>
          <w:sz w:val="30"/>
          <w:szCs w:val="24"/>
          <w14:textFill>
            <w14:solidFill>
              <w14:schemeClr w14:val="tx1"/>
            </w14:solidFill>
          </w14:textFill>
        </w:rPr>
      </w:pPr>
    </w:p>
    <w:p>
      <w:pPr>
        <w:spacing w:before="100" w:beforeAutospacing="1" w:after="100" w:afterAutospacing="1" w:line="312" w:lineRule="auto"/>
        <w:ind w:firstLine="600"/>
        <w:rPr>
          <w:rFonts w:ascii="仿宋_GB2312" w:hAnsi="Times New Roman" w:eastAsia="宋体" w:cs="Times New Roman"/>
          <w:color w:val="000000" w:themeColor="text1"/>
          <w:sz w:val="30"/>
          <w:szCs w:val="24"/>
          <w14:textFill>
            <w14:solidFill>
              <w14:schemeClr w14:val="tx1"/>
            </w14:solidFill>
          </w14:textFill>
        </w:rPr>
      </w:pPr>
    </w:p>
    <w:p>
      <w:pPr>
        <w:spacing w:before="100" w:beforeAutospacing="1" w:after="100" w:afterAutospacing="1" w:line="312" w:lineRule="auto"/>
        <w:ind w:firstLine="600"/>
        <w:rPr>
          <w:rFonts w:ascii="仿宋_GB2312" w:hAnsi="Times New Roman" w:eastAsia="宋体" w:cs="Times New Roman"/>
          <w:color w:val="000000" w:themeColor="text1"/>
          <w:sz w:val="30"/>
          <w:szCs w:val="24"/>
          <w14:textFill>
            <w14:solidFill>
              <w14:schemeClr w14:val="tx1"/>
            </w14:solidFill>
          </w14:textFill>
        </w:rPr>
      </w:pPr>
    </w:p>
    <w:p>
      <w:pPr>
        <w:spacing w:before="100" w:beforeAutospacing="1" w:after="100" w:afterAutospacing="1" w:line="312" w:lineRule="auto"/>
        <w:ind w:firstLine="899" w:firstLineChars="281"/>
        <w:rPr>
          <w:rFonts w:ascii="仿宋_GB2312" w:hAnsi="宋体" w:eastAsia="宋体" w:cs="Times New Roman"/>
          <w:color w:val="000000" w:themeColor="text1"/>
          <w:sz w:val="32"/>
          <w:szCs w:val="32"/>
          <w:u w:val="single"/>
          <w14:textFill>
            <w14:solidFill>
              <w14:schemeClr w14:val="tx1"/>
            </w14:solidFill>
          </w14:textFill>
        </w:rPr>
      </w:pPr>
    </w:p>
    <w:p>
      <w:pPr>
        <w:spacing w:before="100" w:beforeAutospacing="1" w:after="100" w:afterAutospacing="1" w:line="312" w:lineRule="auto"/>
        <w:ind w:firstLine="899" w:firstLineChars="281"/>
        <w:rPr>
          <w:rFonts w:ascii="仿宋_GB2312" w:hAnsi="宋体" w:eastAsia="宋体" w:cs="Times New Roman"/>
          <w:color w:val="000000" w:themeColor="text1"/>
          <w:sz w:val="32"/>
          <w:szCs w:val="32"/>
          <w14:textFill>
            <w14:solidFill>
              <w14:schemeClr w14:val="tx1"/>
            </w14:solidFill>
          </w14:textFill>
        </w:rPr>
      </w:pPr>
      <w:r>
        <w:rPr>
          <w:rFonts w:hint="eastAsia" w:ascii="仿宋_GB2312" w:hAnsi="宋体" w:eastAsia="宋体" w:cs="Times New Roman"/>
          <w:color w:val="000000" w:themeColor="text1"/>
          <w:sz w:val="32"/>
          <w:szCs w:val="32"/>
          <w14:textFill>
            <w14:solidFill>
              <w14:schemeClr w14:val="tx1"/>
            </w14:solidFill>
          </w14:textFill>
        </w:rPr>
        <w:t>部门名称</w:t>
      </w:r>
      <w:r>
        <w:rPr>
          <w:rFonts w:hint="eastAsia" w:ascii="仿宋_GB2312" w:hAnsi="宋体" w:eastAsia="宋体" w:cs="Times New Roman"/>
          <w:color w:val="000000" w:themeColor="text1"/>
          <w:sz w:val="32"/>
          <w:szCs w:val="32"/>
          <w:u w:val="single"/>
          <w14:textFill>
            <w14:solidFill>
              <w14:schemeClr w14:val="tx1"/>
            </w14:solidFill>
          </w14:textFill>
        </w:rPr>
        <w:t xml:space="preserve"> </w:t>
      </w:r>
      <w:r>
        <w:rPr>
          <w:rFonts w:hint="eastAsia" w:ascii="仿宋_GB2312" w:hAnsi="宋体" w:eastAsia="宋体" w:cs="Times New Roman"/>
          <w:color w:val="000000" w:themeColor="text1"/>
          <w:sz w:val="32"/>
          <w:szCs w:val="32"/>
          <w:u w:val="single"/>
          <w:lang w:eastAsia="zh-CN"/>
          <w14:textFill>
            <w14:solidFill>
              <w14:schemeClr w14:val="tx1"/>
            </w14:solidFill>
          </w14:textFill>
        </w:rPr>
        <w:t>西城区残疾综合服务中心</w:t>
      </w:r>
      <w:r>
        <w:rPr>
          <w:rFonts w:hint="eastAsia" w:ascii="仿宋_GB2312" w:hAnsi="宋体" w:eastAsia="宋体" w:cs="Times New Roman"/>
          <w:color w:val="000000" w:themeColor="text1"/>
          <w:sz w:val="32"/>
          <w:szCs w:val="32"/>
          <w:u w:val="single"/>
          <w14:textFill>
            <w14:solidFill>
              <w14:schemeClr w14:val="tx1"/>
            </w14:solidFill>
          </w14:textFill>
        </w:rPr>
        <w:t xml:space="preserve"> </w:t>
      </w:r>
    </w:p>
    <w:p>
      <w:pPr>
        <w:spacing w:before="100" w:beforeAutospacing="1" w:after="100" w:afterAutospacing="1" w:line="312" w:lineRule="auto"/>
        <w:ind w:firstLine="899" w:firstLineChars="281"/>
        <w:rPr>
          <w:rFonts w:ascii="仿宋_GB2312" w:hAnsi="宋体" w:eastAsia="宋体" w:cs="Times New Roman"/>
          <w:color w:val="000000" w:themeColor="text1"/>
          <w:sz w:val="32"/>
          <w:szCs w:val="32"/>
          <w14:textFill>
            <w14:solidFill>
              <w14:schemeClr w14:val="tx1"/>
            </w14:solidFill>
          </w14:textFill>
        </w:rPr>
      </w:pPr>
      <w:r>
        <w:rPr>
          <w:rFonts w:hint="eastAsia" w:ascii="仿宋_GB2312" w:hAnsi="宋体" w:eastAsia="宋体" w:cs="Times New Roman"/>
          <w:color w:val="000000" w:themeColor="text1"/>
          <w:sz w:val="32"/>
          <w:szCs w:val="32"/>
          <w14:textFill>
            <w14:solidFill>
              <w14:schemeClr w14:val="tx1"/>
            </w14:solidFill>
          </w14:textFill>
        </w:rPr>
        <w:t>项目名称</w:t>
      </w:r>
      <w:r>
        <w:rPr>
          <w:rFonts w:hint="eastAsia" w:ascii="仿宋_GB2312" w:hAnsi="宋体" w:eastAsia="宋体" w:cs="Times New Roman"/>
          <w:color w:val="000000" w:themeColor="text1"/>
          <w:sz w:val="32"/>
          <w:szCs w:val="32"/>
          <w:u w:val="single"/>
          <w14:textFill>
            <w14:solidFill>
              <w14:schemeClr w14:val="tx1"/>
            </w14:solidFill>
          </w14:textFill>
        </w:rPr>
        <w:t xml:space="preserve">    </w:t>
      </w:r>
      <w:r>
        <w:rPr>
          <w:rFonts w:hint="eastAsia" w:ascii="仿宋_GB2312" w:hAnsi="宋体" w:eastAsia="宋体" w:cs="Times New Roman"/>
          <w:color w:val="000000" w:themeColor="text1"/>
          <w:sz w:val="32"/>
          <w:szCs w:val="32"/>
          <w:u w:val="single"/>
          <w:lang w:eastAsia="zh-CN"/>
          <w14:textFill>
            <w14:solidFill>
              <w14:schemeClr w14:val="tx1"/>
            </w14:solidFill>
          </w14:textFill>
        </w:rPr>
        <w:t>物业管理费</w:t>
      </w:r>
      <w:r>
        <w:rPr>
          <w:rFonts w:hint="eastAsia" w:ascii="仿宋_GB2312" w:hAnsi="宋体" w:eastAsia="宋体" w:cs="Times New Roman"/>
          <w:color w:val="000000" w:themeColor="text1"/>
          <w:sz w:val="32"/>
          <w:szCs w:val="32"/>
          <w:u w:val="single"/>
          <w14:textFill>
            <w14:solidFill>
              <w14:schemeClr w14:val="tx1"/>
            </w14:solidFill>
          </w14:textFill>
        </w:rPr>
        <w:t xml:space="preserve">  </w:t>
      </w:r>
      <w:r>
        <w:rPr>
          <w:rFonts w:hint="eastAsia" w:ascii="仿宋_GB2312" w:hAnsi="宋体" w:eastAsia="宋体" w:cs="Times New Roman"/>
          <w:color w:val="000000" w:themeColor="text1"/>
          <w:sz w:val="32"/>
          <w:szCs w:val="32"/>
          <w:u w:val="single"/>
          <w:lang w:val="en-US" w:eastAsia="zh-CN"/>
          <w14:textFill>
            <w14:solidFill>
              <w14:schemeClr w14:val="tx1"/>
            </w14:solidFill>
          </w14:textFill>
        </w:rPr>
        <w:t xml:space="preserve">             </w:t>
      </w:r>
      <w:r>
        <w:rPr>
          <w:rFonts w:hint="eastAsia" w:ascii="仿宋_GB2312" w:hAnsi="宋体" w:eastAsia="宋体" w:cs="Times New Roman"/>
          <w:color w:val="000000" w:themeColor="text1"/>
          <w:sz w:val="32"/>
          <w:szCs w:val="32"/>
          <w:u w:val="single"/>
          <w14:textFill>
            <w14:solidFill>
              <w14:schemeClr w14:val="tx1"/>
            </w14:solidFill>
          </w14:textFill>
        </w:rPr>
        <w:t xml:space="preserve"> </w:t>
      </w:r>
    </w:p>
    <w:p>
      <w:pPr>
        <w:spacing w:before="100" w:beforeAutospacing="1" w:after="100" w:afterAutospacing="1" w:line="312" w:lineRule="auto"/>
        <w:ind w:firstLine="899" w:firstLineChars="281"/>
        <w:rPr>
          <w:rFonts w:ascii="仿宋_GB2312" w:hAnsi="宋体" w:eastAsia="宋体" w:cs="Times New Roman"/>
          <w:color w:val="000000" w:themeColor="text1"/>
          <w:sz w:val="32"/>
          <w:szCs w:val="32"/>
          <w:u w:val="single"/>
          <w14:textFill>
            <w14:solidFill>
              <w14:schemeClr w14:val="tx1"/>
            </w14:solidFill>
          </w14:textFill>
        </w:rPr>
      </w:pPr>
      <w:r>
        <w:rPr>
          <w:rFonts w:hint="eastAsia" w:ascii="仿宋_GB2312" w:hAnsi="宋体" w:eastAsia="宋体" w:cs="Times New Roman"/>
          <w:color w:val="000000" w:themeColor="text1"/>
          <w:sz w:val="32"/>
          <w:szCs w:val="32"/>
          <w14:textFill>
            <w14:solidFill>
              <w14:schemeClr w14:val="tx1"/>
            </w14:solidFill>
          </w14:textFill>
        </w:rPr>
        <w:t>负责人</w:t>
      </w:r>
      <w:r>
        <w:rPr>
          <w:rFonts w:hint="eastAsia" w:ascii="仿宋_GB2312" w:hAnsi="宋体" w:eastAsia="宋体" w:cs="Times New Roman"/>
          <w:color w:val="000000" w:themeColor="text1"/>
          <w:sz w:val="32"/>
          <w:szCs w:val="32"/>
          <w:u w:val="single"/>
          <w14:textFill>
            <w14:solidFill>
              <w14:schemeClr w14:val="tx1"/>
            </w14:solidFill>
          </w14:textFill>
        </w:rPr>
        <w:t xml:space="preserve">    </w:t>
      </w:r>
      <w:r>
        <w:rPr>
          <w:rFonts w:hint="eastAsia" w:ascii="仿宋_GB2312" w:hAnsi="宋体" w:eastAsia="宋体" w:cs="Times New Roman"/>
          <w:color w:val="000000" w:themeColor="text1"/>
          <w:sz w:val="32"/>
          <w:szCs w:val="32"/>
          <w:u w:val="single"/>
          <w:lang w:val="en-US" w:eastAsia="zh-CN"/>
          <w14:textFill>
            <w14:solidFill>
              <w14:schemeClr w14:val="tx1"/>
            </w14:solidFill>
          </w14:textFill>
        </w:rPr>
        <w:t xml:space="preserve">      王昊 </w:t>
      </w:r>
      <w:r>
        <w:rPr>
          <w:rFonts w:hint="eastAsia" w:ascii="仿宋_GB2312" w:hAnsi="宋体" w:eastAsia="宋体" w:cs="Times New Roman"/>
          <w:color w:val="000000" w:themeColor="text1"/>
          <w:sz w:val="32"/>
          <w:szCs w:val="32"/>
          <w:u w:val="single"/>
          <w14:textFill>
            <w14:solidFill>
              <w14:schemeClr w14:val="tx1"/>
            </w14:solidFill>
          </w14:textFill>
        </w:rPr>
        <w:t xml:space="preserve">           </w:t>
      </w:r>
    </w:p>
    <w:p>
      <w:pPr>
        <w:spacing w:before="100" w:beforeAutospacing="1" w:after="100" w:afterAutospacing="1" w:line="312" w:lineRule="auto"/>
        <w:ind w:firstLine="899" w:firstLineChars="281"/>
        <w:rPr>
          <w:rFonts w:ascii="仿宋_GB2312" w:hAnsi="宋体" w:eastAsia="宋体" w:cs="Times New Roman"/>
          <w:color w:val="000000" w:themeColor="text1"/>
          <w:sz w:val="32"/>
          <w:szCs w:val="32"/>
          <w:u w:val="single"/>
          <w14:textFill>
            <w14:solidFill>
              <w14:schemeClr w14:val="tx1"/>
            </w14:solidFill>
          </w14:textFill>
        </w:rPr>
      </w:pPr>
      <w:r>
        <w:rPr>
          <w:rFonts w:hint="eastAsia" w:ascii="仿宋_GB2312" w:hAnsi="宋体" w:eastAsia="宋体" w:cs="Times New Roman"/>
          <w:color w:val="000000" w:themeColor="text1"/>
          <w:sz w:val="32"/>
          <w:szCs w:val="32"/>
          <w14:textFill>
            <w14:solidFill>
              <w14:schemeClr w14:val="tx1"/>
            </w14:solidFill>
          </w14:textFill>
        </w:rPr>
        <w:t>填报日期</w:t>
      </w:r>
      <w:r>
        <w:rPr>
          <w:rFonts w:hint="eastAsia" w:ascii="仿宋_GB2312" w:hAnsi="宋体" w:eastAsia="宋体" w:cs="Times New Roman"/>
          <w:color w:val="000000" w:themeColor="text1"/>
          <w:sz w:val="32"/>
          <w:szCs w:val="32"/>
          <w:u w:val="single"/>
          <w14:textFill>
            <w14:solidFill>
              <w14:schemeClr w14:val="tx1"/>
            </w14:solidFill>
          </w14:textFill>
        </w:rPr>
        <w:t xml:space="preserve">  </w:t>
      </w:r>
      <w:r>
        <w:rPr>
          <w:rFonts w:hint="eastAsia" w:ascii="仿宋_GB2312" w:hAnsi="宋体" w:eastAsia="宋体" w:cs="Times New Roman"/>
          <w:color w:val="000000" w:themeColor="text1"/>
          <w:sz w:val="32"/>
          <w:szCs w:val="32"/>
          <w:u w:val="single"/>
          <w:lang w:val="en-US" w:eastAsia="zh-CN"/>
          <w14:textFill>
            <w14:solidFill>
              <w14:schemeClr w14:val="tx1"/>
            </w14:solidFill>
          </w14:textFill>
        </w:rPr>
        <w:t xml:space="preserve">2024年2月28日     </w:t>
      </w:r>
      <w:r>
        <w:rPr>
          <w:rFonts w:hint="eastAsia" w:ascii="仿宋_GB2312" w:hAnsi="宋体" w:eastAsia="宋体" w:cs="Times New Roman"/>
          <w:color w:val="000000" w:themeColor="text1"/>
          <w:sz w:val="32"/>
          <w:szCs w:val="32"/>
          <w:u w:val="single"/>
          <w14:textFill>
            <w14:solidFill>
              <w14:schemeClr w14:val="tx1"/>
            </w14:solidFill>
          </w14:textFill>
        </w:rPr>
        <w:t xml:space="preserve">        </w:t>
      </w:r>
    </w:p>
    <w:p>
      <w:pPr>
        <w:jc w:val="center"/>
        <w:rPr>
          <w:rFonts w:ascii="Arial" w:hAnsi="Arial" w:eastAsia="宋体" w:cs="Arial"/>
          <w:b/>
          <w:bCs/>
          <w:color w:val="000000" w:themeColor="text1"/>
          <w:sz w:val="36"/>
          <w:szCs w:val="36"/>
          <w14:textFill>
            <w14:solidFill>
              <w14:schemeClr w14:val="tx1"/>
            </w14:solidFill>
          </w14:textFill>
        </w:rPr>
      </w:pPr>
      <w:r>
        <w:rPr>
          <w:rFonts w:ascii="仿宋_GB2312" w:hAnsi="宋体" w:eastAsia="宋体" w:cs="Times New Roman"/>
          <w:color w:val="000000" w:themeColor="text1"/>
          <w:sz w:val="32"/>
          <w:szCs w:val="32"/>
          <w:u w:val="single"/>
          <w14:textFill>
            <w14:solidFill>
              <w14:schemeClr w14:val="tx1"/>
            </w14:solidFill>
          </w14:textFill>
        </w:rPr>
        <w:br w:type="page"/>
      </w:r>
      <w:r>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t>项目支出绩效评价报告</w:t>
      </w:r>
    </w:p>
    <w:p>
      <w:pPr>
        <w:jc w:val="center"/>
        <w:rPr>
          <w:rFonts w:ascii="仿宋_GB2312" w:hAnsi="Times New Roman" w:eastAsia="宋体" w:cs="Times New Roman"/>
          <w:color w:val="000000" w:themeColor="text1"/>
          <w:szCs w:val="30"/>
          <w14:textFill>
            <w14:solidFill>
              <w14:schemeClr w14:val="tx1"/>
            </w14:solidFill>
          </w14:textFill>
        </w:rPr>
      </w:pPr>
    </w:p>
    <w:p>
      <w:pPr>
        <w:spacing w:line="600" w:lineRule="exact"/>
        <w:ind w:firstLine="600" w:firstLineChars="200"/>
        <w:rPr>
          <w:rFonts w:hint="eastAsia" w:ascii="黑体" w:hAnsi="黑体" w:eastAsia="黑体" w:cs="黑体"/>
          <w:b w:val="0"/>
          <w:bCs/>
          <w:color w:val="000000" w:themeColor="text1"/>
          <w:kern w:val="0"/>
          <w:sz w:val="30"/>
          <w:szCs w:val="30"/>
          <w14:textFill>
            <w14:solidFill>
              <w14:schemeClr w14:val="tx1"/>
            </w14:solidFill>
          </w14:textFill>
        </w:rPr>
      </w:pPr>
      <w:r>
        <w:rPr>
          <w:rFonts w:hint="eastAsia" w:ascii="黑体" w:hAnsi="黑体" w:eastAsia="黑体" w:cs="黑体"/>
          <w:b w:val="0"/>
          <w:bCs/>
          <w:color w:val="000000" w:themeColor="text1"/>
          <w:kern w:val="0"/>
          <w:sz w:val="30"/>
          <w:szCs w:val="30"/>
          <w14:textFill>
            <w14:solidFill>
              <w14:schemeClr w14:val="tx1"/>
            </w14:solidFill>
          </w14:textFill>
        </w:rPr>
        <w:t>一、基本情况</w:t>
      </w:r>
    </w:p>
    <w:p>
      <w:pPr>
        <w:spacing w:line="600" w:lineRule="exact"/>
        <w:ind w:firstLine="600" w:firstLineChars="200"/>
        <w:outlineLvl w:val="0"/>
        <w:rPr>
          <w:rFonts w:hint="eastAsia" w:ascii="楷体" w:hAnsi="楷体" w:eastAsia="楷体" w:cs="楷体"/>
          <w:color w:val="000000" w:themeColor="text1"/>
          <w:kern w:val="0"/>
          <w:sz w:val="30"/>
          <w:szCs w:val="30"/>
          <w14:textFill>
            <w14:solidFill>
              <w14:schemeClr w14:val="tx1"/>
            </w14:solidFill>
          </w14:textFill>
        </w:rPr>
      </w:pPr>
      <w:r>
        <w:rPr>
          <w:rFonts w:hint="eastAsia" w:ascii="楷体" w:hAnsi="楷体" w:eastAsia="楷体" w:cs="楷体"/>
          <w:color w:val="000000" w:themeColor="text1"/>
          <w:kern w:val="0"/>
          <w:sz w:val="30"/>
          <w:szCs w:val="30"/>
          <w14:textFill>
            <w14:solidFill>
              <w14:schemeClr w14:val="tx1"/>
            </w14:solidFill>
          </w14:textFill>
        </w:rPr>
        <w:t>（一）项目概况</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default" w:ascii="仿宋_GB2312" w:hAnsi="仿宋_GB2312" w:eastAsia="仿宋_GB2312" w:cs="仿宋_GB2312"/>
          <w:i w:val="0"/>
          <w:color w:val="000000" w:themeColor="text1"/>
          <w:kern w:val="0"/>
          <w:sz w:val="30"/>
          <w:szCs w:val="30"/>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物业管理费项目年初预算资金153.982944万元，全年预算数153.982944万元，累计支出153.69041万元，预算</w:t>
      </w:r>
      <w:r>
        <w:rPr>
          <w:rFonts w:hint="eastAsia" w:ascii="仿宋_GB2312" w:hAnsi="仿宋_GB2312" w:eastAsia="仿宋_GB2312" w:cs="仿宋_GB2312"/>
          <w:i w:val="0"/>
          <w:color w:val="000000" w:themeColor="text1"/>
          <w:kern w:val="0"/>
          <w:sz w:val="30"/>
          <w:szCs w:val="30"/>
          <w:u w:val="none"/>
          <w:lang w:val="en-US" w:eastAsia="zh-CN" w:bidi="ar"/>
          <w14:textFill>
            <w14:solidFill>
              <w14:schemeClr w14:val="tx1"/>
            </w14:solidFill>
          </w14:textFill>
        </w:rPr>
        <w:t>完成进度99.81%。</w:t>
      </w:r>
    </w:p>
    <w:p>
      <w:pPr>
        <w:spacing w:line="600" w:lineRule="exact"/>
        <w:ind w:firstLine="600" w:firstLineChars="200"/>
        <w:rPr>
          <w:rFonts w:hint="eastAsia" w:ascii="楷体" w:hAnsi="楷体" w:eastAsia="楷体" w:cs="楷体"/>
          <w:color w:val="000000" w:themeColor="text1"/>
          <w:kern w:val="0"/>
          <w:sz w:val="30"/>
          <w:szCs w:val="30"/>
          <w14:textFill>
            <w14:solidFill>
              <w14:schemeClr w14:val="tx1"/>
            </w14:solidFill>
          </w14:textFill>
        </w:rPr>
      </w:pPr>
      <w:r>
        <w:rPr>
          <w:rFonts w:hint="eastAsia" w:ascii="楷体" w:hAnsi="楷体" w:eastAsia="楷体" w:cs="楷体"/>
          <w:color w:val="000000" w:themeColor="text1"/>
          <w:kern w:val="0"/>
          <w:sz w:val="30"/>
          <w:szCs w:val="30"/>
          <w14:textFill>
            <w14:solidFill>
              <w14:schemeClr w14:val="tx1"/>
            </w14:solidFill>
          </w14:textFill>
        </w:rPr>
        <w:t>（二）项目绩效目标</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提供办公及业务用房高效、优质的物业管理服务，更好地服务残疾人。</w:t>
      </w:r>
    </w:p>
    <w:p>
      <w:pPr>
        <w:spacing w:line="600" w:lineRule="exact"/>
        <w:ind w:firstLine="600" w:firstLineChars="200"/>
        <w:rPr>
          <w:rFonts w:hint="eastAsia" w:ascii="黑体" w:hAnsi="黑体" w:eastAsia="黑体" w:cs="黑体"/>
          <w:b w:val="0"/>
          <w:bCs/>
          <w:color w:val="000000" w:themeColor="text1"/>
          <w:kern w:val="0"/>
          <w:sz w:val="30"/>
          <w:szCs w:val="30"/>
          <w14:textFill>
            <w14:solidFill>
              <w14:schemeClr w14:val="tx1"/>
            </w14:solidFill>
          </w14:textFill>
        </w:rPr>
      </w:pPr>
      <w:r>
        <w:rPr>
          <w:rFonts w:hint="eastAsia" w:ascii="黑体" w:hAnsi="黑体" w:eastAsia="黑体" w:cs="黑体"/>
          <w:b w:val="0"/>
          <w:bCs/>
          <w:color w:val="000000" w:themeColor="text1"/>
          <w:kern w:val="0"/>
          <w:sz w:val="30"/>
          <w:szCs w:val="30"/>
          <w14:textFill>
            <w14:solidFill>
              <w14:schemeClr w14:val="tx1"/>
            </w14:solidFill>
          </w14:textFill>
        </w:rPr>
        <w:t>二、绩效评价工作开展情况</w:t>
      </w:r>
    </w:p>
    <w:p>
      <w:pPr>
        <w:spacing w:line="600" w:lineRule="exact"/>
        <w:ind w:firstLine="600" w:firstLineChars="200"/>
        <w:rPr>
          <w:rFonts w:hint="eastAsia" w:ascii="楷体" w:hAnsi="楷体" w:eastAsia="楷体" w:cs="楷体"/>
          <w:color w:val="000000" w:themeColor="text1"/>
          <w:kern w:val="0"/>
          <w:sz w:val="30"/>
          <w:szCs w:val="30"/>
          <w14:textFill>
            <w14:solidFill>
              <w14:schemeClr w14:val="tx1"/>
            </w14:solidFill>
          </w14:textFill>
        </w:rPr>
      </w:pPr>
      <w:r>
        <w:rPr>
          <w:rFonts w:hint="eastAsia" w:ascii="楷体" w:hAnsi="楷体" w:eastAsia="楷体" w:cs="楷体"/>
          <w:color w:val="000000" w:themeColor="text1"/>
          <w:kern w:val="0"/>
          <w:sz w:val="30"/>
          <w:szCs w:val="30"/>
          <w14:textFill>
            <w14:solidFill>
              <w14:schemeClr w14:val="tx1"/>
            </w14:solidFill>
          </w14:textFill>
        </w:rPr>
        <w:t>（一）绩效评价目的、对象和范围</w:t>
      </w:r>
    </w:p>
    <w:p>
      <w:pPr>
        <w:spacing w:line="600" w:lineRule="exact"/>
        <w:ind w:firstLine="600" w:firstLineChars="200"/>
        <w:rPr>
          <w:rFonts w:hint="eastAsia" w:ascii="仿宋_GB2312" w:hAnsi="仿宋_GB2312" w:eastAsia="仿宋_GB2312" w:cs="仿宋_GB2312"/>
          <w:color w:val="000000" w:themeColor="text1"/>
          <w:kern w:val="0"/>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通过实施单位自评工作，提高本单位预算管理水平，优化资源配置，提高财政资金使用效益。</w:t>
      </w:r>
    </w:p>
    <w:p>
      <w:pPr>
        <w:spacing w:line="600" w:lineRule="exact"/>
        <w:ind w:firstLine="600" w:firstLineChars="200"/>
        <w:rPr>
          <w:rFonts w:hint="eastAsia" w:ascii="宋体" w:hAnsi="宋体" w:eastAsia="宋体" w:cs="宋体"/>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对象和范围：物业公司。</w:t>
      </w:r>
    </w:p>
    <w:p>
      <w:pPr>
        <w:spacing w:line="600" w:lineRule="exact"/>
        <w:ind w:firstLine="600" w:firstLineChars="200"/>
        <w:rPr>
          <w:rFonts w:hint="eastAsia" w:ascii="楷体" w:hAnsi="楷体" w:eastAsia="楷体" w:cs="楷体"/>
          <w:color w:val="000000" w:themeColor="text1"/>
          <w:kern w:val="0"/>
          <w:sz w:val="30"/>
          <w:szCs w:val="30"/>
          <w14:textFill>
            <w14:solidFill>
              <w14:schemeClr w14:val="tx1"/>
            </w14:solidFill>
          </w14:textFill>
        </w:rPr>
      </w:pPr>
      <w:r>
        <w:rPr>
          <w:rFonts w:hint="eastAsia" w:ascii="楷体" w:hAnsi="楷体" w:eastAsia="楷体" w:cs="楷体"/>
          <w:color w:val="000000" w:themeColor="text1"/>
          <w:kern w:val="0"/>
          <w:sz w:val="30"/>
          <w:szCs w:val="30"/>
          <w14:textFill>
            <w14:solidFill>
              <w14:schemeClr w14:val="tx1"/>
            </w14:solidFill>
          </w14:textFill>
        </w:rPr>
        <w:t>（二）绩效评价原则、评价指标体系（附表说明）、评价方法、评价标准等</w:t>
      </w:r>
    </w:p>
    <w:p>
      <w:pPr>
        <w:pStyle w:val="7"/>
        <w:numPr>
          <w:ilvl w:val="0"/>
          <w:numId w:val="0"/>
        </w:numPr>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遵循科学公正、统筹兼顾、激励约束、公开透明四项原则。自评指标是指预算批复时确定的绩效指标，包括项目的产出数量、质量、时效、成本，以及社会效益、可持续影响、服务对象满意度等。评价方法、评价标准见《项目支出绩效自评表》</w:t>
      </w:r>
    </w:p>
    <w:p>
      <w:pPr>
        <w:spacing w:line="6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（三）绩效评价工作过程</w:t>
      </w:r>
    </w:p>
    <w:p>
      <w:pPr>
        <w:numPr>
          <w:ilvl w:val="0"/>
          <w:numId w:val="0"/>
        </w:numPr>
        <w:spacing w:line="600" w:lineRule="exact"/>
        <w:ind w:firstLine="600" w:firstLineChars="200"/>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本次绩效评价，严格按照西城区财政局《</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西城区项目</w:t>
      </w:r>
      <w:r>
        <w:rPr>
          <w:rFonts w:hint="eastAsia" w:ascii="仿宋_GB2312" w:hAnsi="仿宋_GB2312" w:eastAsia="仿宋_GB2312" w:cs="仿宋_GB2312"/>
          <w:color w:val="000000" w:themeColor="text1"/>
          <w:kern w:val="0"/>
          <w:sz w:val="30"/>
          <w:szCs w:val="30"/>
          <w14:textFill>
            <w14:solidFill>
              <w14:schemeClr w14:val="tx1"/>
            </w14:solidFill>
          </w14:textFill>
        </w:rPr>
        <w:t>支出绩效评价管理办法》组织实施。</w:t>
      </w:r>
    </w:p>
    <w:p>
      <w:pPr>
        <w:spacing w:line="600" w:lineRule="exact"/>
        <w:ind w:firstLine="600" w:firstLineChars="200"/>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黑体" w:hAnsi="黑体" w:eastAsia="黑体" w:cs="黑体"/>
          <w:b w:val="0"/>
          <w:bCs/>
          <w:color w:val="000000" w:themeColor="text1"/>
          <w:kern w:val="0"/>
          <w:sz w:val="30"/>
          <w:szCs w:val="30"/>
          <w14:textFill>
            <w14:solidFill>
              <w14:schemeClr w14:val="tx1"/>
            </w14:solidFill>
          </w14:textFill>
        </w:rPr>
        <w:t>三、综合评价情况及评价结论（附相关评分表）</w:t>
      </w:r>
    </w:p>
    <w:p>
      <w:pPr>
        <w:ind w:firstLine="600" w:firstLineChars="20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项目整体落实情况符合预期安排，相关活动通过调整，在严格落实各项财务制度资金使用和工作要求中，达到了预期效果。</w:t>
      </w:r>
    </w:p>
    <w:p>
      <w:pPr>
        <w:spacing w:line="600" w:lineRule="exact"/>
        <w:ind w:firstLine="600" w:firstLineChars="200"/>
        <w:rPr>
          <w:rFonts w:hint="eastAsia" w:ascii="黑体" w:hAnsi="黑体" w:eastAsia="黑体" w:cs="黑体"/>
          <w:b w:val="0"/>
          <w:bCs/>
          <w:color w:val="000000" w:themeColor="text1"/>
          <w:kern w:val="0"/>
          <w:sz w:val="30"/>
          <w:szCs w:val="30"/>
          <w14:textFill>
            <w14:solidFill>
              <w14:schemeClr w14:val="tx1"/>
            </w14:solidFill>
          </w14:textFill>
        </w:rPr>
      </w:pPr>
      <w:r>
        <w:rPr>
          <w:rFonts w:hint="eastAsia" w:ascii="黑体" w:hAnsi="黑体" w:eastAsia="黑体" w:cs="黑体"/>
          <w:b w:val="0"/>
          <w:bCs/>
          <w:color w:val="000000" w:themeColor="text1"/>
          <w:kern w:val="0"/>
          <w:sz w:val="30"/>
          <w:szCs w:val="30"/>
          <w14:textFill>
            <w14:solidFill>
              <w14:schemeClr w14:val="tx1"/>
            </w14:solidFill>
          </w14:textFill>
        </w:rPr>
        <w:t>四、绩效评价指标分析</w:t>
      </w:r>
    </w:p>
    <w:p>
      <w:pPr>
        <w:spacing w:line="600" w:lineRule="exact"/>
        <w:ind w:firstLine="600" w:firstLineChars="200"/>
        <w:outlineLvl w:val="0"/>
        <w:rPr>
          <w:rFonts w:hint="eastAsia" w:ascii="楷体" w:hAnsi="楷体" w:eastAsia="楷体" w:cs="楷体"/>
          <w:color w:val="000000" w:themeColor="text1"/>
          <w:kern w:val="0"/>
          <w:sz w:val="30"/>
          <w:szCs w:val="30"/>
          <w14:textFill>
            <w14:solidFill>
              <w14:schemeClr w14:val="tx1"/>
            </w14:solidFill>
          </w14:textFill>
        </w:rPr>
      </w:pPr>
      <w:r>
        <w:rPr>
          <w:rFonts w:hint="eastAsia" w:ascii="楷体" w:hAnsi="楷体" w:eastAsia="楷体" w:cs="楷体"/>
          <w:color w:val="000000" w:themeColor="text1"/>
          <w:kern w:val="0"/>
          <w:sz w:val="30"/>
          <w:szCs w:val="30"/>
          <w14:textFill>
            <w14:solidFill>
              <w14:schemeClr w14:val="tx1"/>
            </w14:solidFill>
          </w14:textFill>
        </w:rPr>
        <w:t>（一）项目决策情况</w:t>
      </w:r>
    </w:p>
    <w:p>
      <w:pPr>
        <w:spacing w:line="600" w:lineRule="exact"/>
        <w:ind w:firstLine="600" w:firstLineChars="200"/>
        <w:outlineLvl w:val="0"/>
        <w:rPr>
          <w:rFonts w:hint="eastAsia" w:ascii="宋体" w:hAnsi="宋体" w:eastAsia="宋体" w:cs="宋体"/>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按照残联工作计划，以预算批复情况进行工作立项，</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按照区残联内控制度，在</w:t>
      </w:r>
      <w:r>
        <w:rPr>
          <w:rFonts w:hint="eastAsia" w:ascii="仿宋_GB2312" w:hAnsi="仿宋_GB2312" w:eastAsia="仿宋_GB2312" w:cs="仿宋_GB2312"/>
          <w:color w:val="000000" w:themeColor="text1"/>
          <w:kern w:val="0"/>
          <w:sz w:val="30"/>
          <w:szCs w:val="30"/>
          <w14:textFill>
            <w14:solidFill>
              <w14:schemeClr w14:val="tx1"/>
            </w14:solidFill>
          </w14:textFill>
        </w:rPr>
        <w:t>报请区残联党组理事会审议</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或根据工作管理规定逐级审批通过</w:t>
      </w:r>
      <w:r>
        <w:rPr>
          <w:rFonts w:hint="eastAsia" w:ascii="仿宋_GB2312" w:hAnsi="仿宋_GB2312" w:eastAsia="仿宋_GB2312" w:cs="仿宋_GB2312"/>
          <w:color w:val="000000" w:themeColor="text1"/>
          <w:kern w:val="0"/>
          <w:sz w:val="30"/>
          <w:szCs w:val="30"/>
          <w14:textFill>
            <w14:solidFill>
              <w14:schemeClr w14:val="tx1"/>
            </w14:solidFill>
          </w14:textFill>
        </w:rPr>
        <w:t>后，对项目进行实施与管理，过程中由科室负责并接受财务部门对资金管理的指导。工作开展过程中形成的</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各类</w:t>
      </w:r>
      <w:r>
        <w:rPr>
          <w:rFonts w:hint="eastAsia" w:ascii="仿宋_GB2312" w:hAnsi="仿宋_GB2312" w:eastAsia="仿宋_GB2312" w:cs="仿宋_GB2312"/>
          <w:color w:val="000000" w:themeColor="text1"/>
          <w:kern w:val="0"/>
          <w:sz w:val="30"/>
          <w:szCs w:val="30"/>
          <w14:textFill>
            <w14:solidFill>
              <w14:schemeClr w14:val="tx1"/>
            </w14:solidFill>
          </w14:textFill>
        </w:rPr>
        <w:t>档案全部由负责同志立卷保管及使用。</w:t>
      </w:r>
    </w:p>
    <w:p>
      <w:pPr>
        <w:numPr>
          <w:ilvl w:val="0"/>
          <w:numId w:val="0"/>
        </w:numPr>
        <w:spacing w:line="600" w:lineRule="exact"/>
        <w:ind w:firstLine="600" w:firstLineChars="200"/>
        <w:outlineLvl w:val="0"/>
        <w:rPr>
          <w:rFonts w:hint="eastAsia" w:ascii="楷体" w:hAnsi="楷体" w:eastAsia="楷体" w:cs="楷体"/>
          <w:color w:val="000000" w:themeColor="text1"/>
          <w:kern w:val="0"/>
          <w:sz w:val="30"/>
          <w:szCs w:val="30"/>
          <w14:textFill>
            <w14:solidFill>
              <w14:schemeClr w14:val="tx1"/>
            </w14:solidFill>
          </w14:textFill>
        </w:rPr>
      </w:pPr>
      <w:r>
        <w:rPr>
          <w:rFonts w:hint="eastAsia" w:ascii="楷体" w:hAnsi="楷体" w:eastAsia="楷体" w:cs="楷体"/>
          <w:color w:val="000000" w:themeColor="text1"/>
          <w:kern w:val="0"/>
          <w:sz w:val="30"/>
          <w:szCs w:val="30"/>
          <w:lang w:eastAsia="zh-CN"/>
          <w14:textFill>
            <w14:solidFill>
              <w14:schemeClr w14:val="tx1"/>
            </w14:solidFill>
          </w14:textFill>
        </w:rPr>
        <w:t>（二）</w:t>
      </w:r>
      <w:r>
        <w:rPr>
          <w:rFonts w:hint="eastAsia" w:ascii="楷体" w:hAnsi="楷体" w:eastAsia="楷体" w:cs="楷体"/>
          <w:color w:val="000000" w:themeColor="text1"/>
          <w:kern w:val="0"/>
          <w:sz w:val="30"/>
          <w:szCs w:val="30"/>
          <w14:textFill>
            <w14:solidFill>
              <w14:schemeClr w14:val="tx1"/>
            </w14:solidFill>
          </w14:textFill>
        </w:rPr>
        <w:t>项目过程情况</w:t>
      </w:r>
    </w:p>
    <w:p>
      <w:pPr>
        <w:numPr>
          <w:ilvl w:val="0"/>
          <w:numId w:val="0"/>
        </w:numPr>
        <w:spacing w:line="600" w:lineRule="exact"/>
        <w:ind w:firstLine="600" w:firstLineChars="200"/>
        <w:outlineLvl w:val="0"/>
        <w:rPr>
          <w:rFonts w:hint="eastAsia" w:ascii="宋体" w:hAnsi="宋体" w:eastAsia="宋体" w:cs="宋体"/>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项目实施以全年工作计划为基础，结合区残联重点工作安排落实，常规类活动按照</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时间节点或</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时间跨度采取以月为周期进行落实。全部工作在</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2023年12月底前完成。</w:t>
      </w:r>
    </w:p>
    <w:p>
      <w:pPr>
        <w:numPr>
          <w:ilvl w:val="0"/>
          <w:numId w:val="1"/>
        </w:numPr>
        <w:spacing w:line="600" w:lineRule="exact"/>
        <w:ind w:firstLine="600" w:firstLineChars="200"/>
        <w:outlineLvl w:val="0"/>
        <w:rPr>
          <w:rFonts w:hint="eastAsia" w:ascii="仿宋_GB2312" w:hAnsi="仿宋_GB2312" w:eastAsia="仿宋_GB2312" w:cs="仿宋_GB2312"/>
          <w:b w:val="0"/>
          <w:color w:val="000000" w:themeColor="text1"/>
          <w:kern w:val="0"/>
          <w:sz w:val="30"/>
          <w:szCs w:val="30"/>
          <w:lang w:val="en-US" w:eastAsia="zh-CN" w:bidi="ar-SA"/>
          <w14:textFill>
            <w14:solidFill>
              <w14:schemeClr w14:val="tx1"/>
            </w14:solidFill>
          </w14:textFill>
        </w:rPr>
      </w:pPr>
      <w:r>
        <w:rPr>
          <w:rFonts w:hint="eastAsia" w:ascii="楷体" w:hAnsi="楷体" w:eastAsia="楷体" w:cs="楷体"/>
          <w:color w:val="000000" w:themeColor="text1"/>
          <w:kern w:val="0"/>
          <w:sz w:val="30"/>
          <w:szCs w:val="30"/>
          <w14:textFill>
            <w14:solidFill>
              <w14:schemeClr w14:val="tx1"/>
            </w14:solidFill>
          </w14:textFill>
        </w:rPr>
        <w:t>项目产出情况</w:t>
      </w:r>
      <w:r>
        <w:rPr>
          <w:rFonts w:hint="eastAsia" w:ascii="楷体" w:hAnsi="楷体" w:eastAsia="楷体" w:cs="楷体"/>
          <w:color w:val="000000" w:themeColor="text1"/>
          <w:kern w:val="0"/>
          <w:sz w:val="30"/>
          <w:szCs w:val="30"/>
          <w:lang w:val="en-US" w:eastAsia="zh-CN"/>
          <w14:textFill>
            <w14:solidFill>
              <w14:schemeClr w14:val="tx1"/>
            </w14:solidFill>
          </w14:textFill>
        </w:rPr>
        <w:t>:</w:t>
      </w:r>
      <w:r>
        <w:rPr>
          <w:rFonts w:hint="eastAsia" w:ascii="仿宋_GB2312" w:hAnsi="仿宋_GB2312" w:eastAsia="仿宋_GB2312" w:cs="仿宋_GB2312"/>
          <w:b w:val="0"/>
          <w:color w:val="000000" w:themeColor="text1"/>
          <w:kern w:val="0"/>
          <w:sz w:val="30"/>
          <w:szCs w:val="30"/>
          <w:lang w:val="en-US" w:eastAsia="zh-CN" w:bidi="ar-SA"/>
          <w14:textFill>
            <w14:solidFill>
              <w14:schemeClr w14:val="tx1"/>
            </w14:solidFill>
          </w14:textFill>
        </w:rPr>
        <w:t>该项目目标完成率99%。</w:t>
      </w:r>
    </w:p>
    <w:p>
      <w:pPr>
        <w:numPr>
          <w:ilvl w:val="0"/>
          <w:numId w:val="1"/>
        </w:numPr>
        <w:spacing w:line="600" w:lineRule="exact"/>
        <w:ind w:left="0" w:leftChars="0" w:firstLine="600" w:firstLineChars="200"/>
        <w:outlineLvl w:val="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楷体" w:hAnsi="楷体" w:eastAsia="楷体" w:cs="楷体"/>
          <w:color w:val="000000" w:themeColor="text1"/>
          <w:kern w:val="0"/>
          <w:sz w:val="30"/>
          <w:szCs w:val="30"/>
          <w14:textFill>
            <w14:solidFill>
              <w14:schemeClr w14:val="tx1"/>
            </w14:solidFill>
          </w14:textFill>
        </w:rPr>
        <w:t>项目效益情况</w:t>
      </w:r>
      <w:r>
        <w:rPr>
          <w:rFonts w:hint="eastAsia" w:ascii="楷体" w:hAnsi="楷体" w:eastAsia="楷体" w:cs="楷体"/>
          <w:color w:val="000000" w:themeColor="text1"/>
          <w:kern w:val="0"/>
          <w:sz w:val="30"/>
          <w:szCs w:val="30"/>
          <w:lang w:val="en-US" w:eastAsia="zh-CN"/>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为区残联办公及业务用房提供了高效、优质的物业管理服务，更好地服务残疾人。</w:t>
      </w:r>
    </w:p>
    <w:p>
      <w:pPr>
        <w:spacing w:line="600" w:lineRule="exact"/>
        <w:ind w:firstLine="600" w:firstLineChars="200"/>
        <w:rPr>
          <w:rFonts w:hint="eastAsia" w:ascii="黑体" w:hAnsi="黑体" w:eastAsia="黑体" w:cs="黑体"/>
          <w:b w:val="0"/>
          <w:bCs/>
          <w:color w:val="000000" w:themeColor="text1"/>
          <w:kern w:val="0"/>
          <w:sz w:val="30"/>
          <w:szCs w:val="30"/>
          <w14:textFill>
            <w14:solidFill>
              <w14:schemeClr w14:val="tx1"/>
            </w14:solidFill>
          </w14:textFill>
        </w:rPr>
      </w:pPr>
      <w:r>
        <w:rPr>
          <w:rFonts w:hint="eastAsia" w:ascii="黑体" w:hAnsi="黑体" w:eastAsia="黑体" w:cs="黑体"/>
          <w:b w:val="0"/>
          <w:bCs/>
          <w:color w:val="000000" w:themeColor="text1"/>
          <w:kern w:val="0"/>
          <w:sz w:val="30"/>
          <w:szCs w:val="30"/>
          <w14:textFill>
            <w14:solidFill>
              <w14:schemeClr w14:val="tx1"/>
            </w14:solidFill>
          </w14:textFill>
        </w:rPr>
        <w:t>五、主要经验及做法、存在的问题及原因分析</w:t>
      </w:r>
    </w:p>
    <w:p>
      <w:pPr>
        <w:spacing w:line="600" w:lineRule="exact"/>
        <w:ind w:firstLine="600" w:firstLineChars="200"/>
        <w:rPr>
          <w:rFonts w:hint="eastAsia" w:ascii="仿宋_GB2312" w:hAnsi="仿宋_GB2312" w:eastAsia="仿宋_GB2312" w:cs="仿宋_GB2312"/>
          <w:b w:val="0"/>
          <w:bCs/>
          <w:color w:val="000000" w:themeColor="text1"/>
          <w:kern w:val="0"/>
          <w:sz w:val="30"/>
          <w:szCs w:val="30"/>
          <w:lang w:eastAsia="zh-CN"/>
          <w14:textFill>
            <w14:solidFill>
              <w14:schemeClr w14:val="tx1"/>
            </w14:solidFill>
          </w14:textFill>
        </w:rPr>
      </w:pPr>
      <w:r>
        <w:rPr>
          <w:rFonts w:hint="eastAsia" w:ascii="仿宋_GB2312" w:hAnsi="仿宋_GB2312" w:eastAsia="仿宋_GB2312" w:cs="仿宋_GB2312"/>
          <w:b w:val="0"/>
          <w:bCs/>
          <w:color w:val="000000" w:themeColor="text1"/>
          <w:kern w:val="0"/>
          <w:sz w:val="30"/>
          <w:szCs w:val="30"/>
          <w:lang w:eastAsia="zh-CN"/>
          <w14:textFill>
            <w14:solidFill>
              <w14:schemeClr w14:val="tx1"/>
            </w14:solidFill>
          </w14:textFill>
        </w:rPr>
        <w:t>存在问题：服务项目有待提升</w:t>
      </w:r>
    </w:p>
    <w:p>
      <w:pPr>
        <w:spacing w:line="600" w:lineRule="exact"/>
        <w:ind w:firstLine="600" w:firstLineChars="200"/>
        <w:rPr>
          <w:rFonts w:hint="eastAsia" w:ascii="仿宋_GB2312" w:hAnsi="仿宋_GB2312" w:eastAsia="仿宋_GB2312" w:cs="仿宋_GB2312"/>
          <w:b w:val="0"/>
          <w:bCs/>
          <w:color w:val="000000" w:themeColor="text1"/>
          <w:kern w:val="0"/>
          <w:sz w:val="30"/>
          <w:szCs w:val="30"/>
          <w:lang w:eastAsia="zh-CN"/>
          <w14:textFill>
            <w14:solidFill>
              <w14:schemeClr w14:val="tx1"/>
            </w14:solidFill>
          </w14:textFill>
        </w:rPr>
      </w:pPr>
      <w:r>
        <w:rPr>
          <w:rFonts w:hint="eastAsia" w:ascii="黑体" w:hAnsi="黑体" w:eastAsia="黑体" w:cs="黑体"/>
          <w:b w:val="0"/>
          <w:bCs/>
          <w:color w:val="000000" w:themeColor="text1"/>
          <w:kern w:val="0"/>
          <w:sz w:val="30"/>
          <w:szCs w:val="30"/>
          <w14:textFill>
            <w14:solidFill>
              <w14:schemeClr w14:val="tx1"/>
            </w14:solidFill>
          </w14:textFill>
        </w:rPr>
        <w:t>六、有关建议</w:t>
      </w:r>
      <w:r>
        <w:rPr>
          <w:rFonts w:hint="eastAsia" w:ascii="黑体" w:hAnsi="黑体" w:eastAsia="黑体" w:cs="黑体"/>
          <w:b w:val="0"/>
          <w:bCs/>
          <w:color w:val="000000" w:themeColor="text1"/>
          <w:kern w:val="0"/>
          <w:sz w:val="30"/>
          <w:szCs w:val="30"/>
          <w:lang w:val="en-US" w:eastAsia="zh-CN"/>
          <w14:textFill>
            <w14:solidFill>
              <w14:schemeClr w14:val="tx1"/>
            </w14:solidFill>
          </w14:textFill>
        </w:rPr>
        <w:t>:</w:t>
      </w:r>
      <w:r>
        <w:rPr>
          <w:rFonts w:hint="eastAsia" w:ascii="仿宋_GB2312" w:hAnsi="仿宋_GB2312" w:eastAsia="仿宋_GB2312" w:cs="仿宋_GB2312"/>
          <w:b w:val="0"/>
          <w:bCs/>
          <w:color w:val="000000" w:themeColor="text1"/>
          <w:kern w:val="0"/>
          <w:sz w:val="30"/>
          <w:szCs w:val="30"/>
          <w:lang w:eastAsia="zh-CN"/>
          <w14:textFill>
            <w14:solidFill>
              <w14:schemeClr w14:val="tx1"/>
            </w14:solidFill>
          </w14:textFill>
        </w:rPr>
        <w:t>无。</w:t>
      </w:r>
    </w:p>
    <w:p>
      <w:pPr>
        <w:spacing w:line="600" w:lineRule="exact"/>
        <w:ind w:firstLine="600" w:firstLineChars="200"/>
        <w:rPr>
          <w:color w:val="000000" w:themeColor="text1"/>
          <w:sz w:val="30"/>
          <w:szCs w:val="30"/>
          <w14:textFill>
            <w14:solidFill>
              <w14:schemeClr w14:val="tx1"/>
            </w14:solidFill>
          </w14:textFill>
        </w:rPr>
      </w:pPr>
      <w:r>
        <w:rPr>
          <w:rFonts w:hint="eastAsia" w:ascii="黑体" w:hAnsi="黑体" w:eastAsia="黑体" w:cs="黑体"/>
          <w:b w:val="0"/>
          <w:bCs/>
          <w:color w:val="000000" w:themeColor="text1"/>
          <w:kern w:val="0"/>
          <w:sz w:val="30"/>
          <w:szCs w:val="30"/>
          <w14:textFill>
            <w14:solidFill>
              <w14:schemeClr w14:val="tx1"/>
            </w14:solidFill>
          </w14:textFill>
        </w:rPr>
        <w:t>七、其他需要说明的问题</w:t>
      </w:r>
      <w:r>
        <w:rPr>
          <w:rFonts w:hint="eastAsia" w:ascii="黑体" w:hAnsi="黑体" w:eastAsia="黑体" w:cs="黑体"/>
          <w:b w:val="0"/>
          <w:bCs/>
          <w:color w:val="000000" w:themeColor="text1"/>
          <w:kern w:val="0"/>
          <w:sz w:val="30"/>
          <w:szCs w:val="30"/>
          <w:lang w:val="en-US" w:eastAsia="zh-CN"/>
          <w14:textFill>
            <w14:solidFill>
              <w14:schemeClr w14:val="tx1"/>
            </w14:solidFill>
          </w14:textFill>
        </w:rPr>
        <w:t>:</w:t>
      </w:r>
      <w:r>
        <w:rPr>
          <w:rFonts w:hint="eastAsia" w:ascii="仿宋_GB2312" w:hAnsi="仿宋_GB2312" w:eastAsia="仿宋_GB2312" w:cs="仿宋_GB2312"/>
          <w:b w:val="0"/>
          <w:bCs/>
          <w:color w:val="000000" w:themeColor="text1"/>
          <w:kern w:val="0"/>
          <w:sz w:val="30"/>
          <w:szCs w:val="30"/>
          <w:lang w:eastAsia="zh-CN"/>
          <w14:textFill>
            <w14:solidFill>
              <w14:schemeClr w14:val="tx1"/>
            </w14:solidFill>
          </w14:textFill>
        </w:rPr>
        <w:t>无。</w:t>
      </w:r>
    </w:p>
    <w:p>
      <w:pPr>
        <w:pStyle w:val="7"/>
      </w:pPr>
    </w:p>
    <w:p>
      <w:pPr>
        <w:widowControl/>
        <w:spacing w:line="360" w:lineRule="auto"/>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（六）政府购买服务情况说明</w:t>
      </w:r>
    </w:p>
    <w:p>
      <w:pPr>
        <w:widowControl/>
        <w:spacing w:line="360" w:lineRule="auto"/>
        <w:ind w:firstLine="640" w:firstLineChars="200"/>
        <w:jc w:val="lef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本单位本年共有0个购买服务项目</w:t>
      </w:r>
    </w:p>
    <w:p>
      <w:pPr>
        <w:widowControl/>
        <w:numPr>
          <w:ilvl w:val="0"/>
          <w:numId w:val="2"/>
        </w:numPr>
        <w:spacing w:line="360" w:lineRule="auto"/>
        <w:ind w:firstLine="640" w:firstLineChars="200"/>
        <w:jc w:val="left"/>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专业名词解释</w:t>
      </w:r>
    </w:p>
    <w:p>
      <w:pPr>
        <w:ind w:firstLine="640" w:firstLineChars="200"/>
        <w:rPr>
          <w:rFonts w:hint="eastAsia" w:ascii="仿宋_GB2312" w:eastAsia="仿宋_GB2312"/>
          <w:sz w:val="32"/>
          <w:szCs w:val="32"/>
        </w:rPr>
      </w:pPr>
      <w:r>
        <w:rPr>
          <w:rFonts w:hint="eastAsia" w:ascii="仿宋_GB2312" w:eastAsia="仿宋_GB2312"/>
          <w:sz w:val="32"/>
          <w:szCs w:val="32"/>
        </w:rPr>
        <w:t>1.财政拨款收入：指单位从同级财政部门取得的财政预算资金。</w:t>
      </w:r>
    </w:p>
    <w:p>
      <w:pPr>
        <w:ind w:firstLine="640" w:firstLineChars="200"/>
        <w:rPr>
          <w:rFonts w:hint="eastAsia" w:ascii="仿宋_GB2312" w:eastAsia="仿宋_GB2312"/>
          <w:sz w:val="32"/>
          <w:szCs w:val="32"/>
        </w:rPr>
      </w:pPr>
      <w:r>
        <w:rPr>
          <w:rFonts w:hint="eastAsia" w:ascii="仿宋_GB2312" w:eastAsia="仿宋_GB2312"/>
          <w:sz w:val="32"/>
          <w:szCs w:val="32"/>
        </w:rPr>
        <w:t>2.事业收入：指事业单位开展专业业务活动及辅助活动取得的收入。</w:t>
      </w:r>
    </w:p>
    <w:p>
      <w:pPr>
        <w:ind w:firstLine="640" w:firstLineChars="200"/>
        <w:rPr>
          <w:rFonts w:hint="eastAsia" w:ascii="仿宋_GB2312" w:eastAsia="仿宋_GB2312"/>
          <w:sz w:val="32"/>
          <w:szCs w:val="32"/>
        </w:rPr>
      </w:pPr>
      <w:r>
        <w:rPr>
          <w:rFonts w:hint="eastAsia" w:ascii="仿宋_GB2312" w:eastAsia="仿宋_GB2312"/>
          <w:sz w:val="32"/>
          <w:szCs w:val="32"/>
        </w:rPr>
        <w:t>3.经营收入：指事业单位在专业业务活动及其辅助活动之外开展非独立核算经营活动取得的收入。</w:t>
      </w:r>
    </w:p>
    <w:p>
      <w:pPr>
        <w:ind w:firstLine="640" w:firstLineChars="200"/>
        <w:rPr>
          <w:rFonts w:hint="eastAsia" w:ascii="仿宋_GB2312" w:eastAsia="仿宋_GB2312"/>
          <w:sz w:val="32"/>
          <w:szCs w:val="32"/>
        </w:rPr>
      </w:pPr>
      <w:r>
        <w:rPr>
          <w:rFonts w:hint="eastAsia" w:ascii="仿宋_GB2312" w:eastAsia="仿宋_GB2312"/>
          <w:sz w:val="32"/>
          <w:szCs w:val="32"/>
        </w:rPr>
        <w:t>4.其他收入：指单位取得的除上述收入以外的各项收入。主要是按规定动用的售房收入、存款利息收入等。</w:t>
      </w:r>
    </w:p>
    <w:p>
      <w:pPr>
        <w:ind w:firstLine="640" w:firstLineChars="200"/>
        <w:rPr>
          <w:rFonts w:hint="eastAsia" w:ascii="仿宋_GB2312" w:eastAsia="仿宋_GB2312"/>
          <w:sz w:val="32"/>
          <w:szCs w:val="32"/>
        </w:rPr>
      </w:pPr>
      <w:r>
        <w:rPr>
          <w:rFonts w:hint="eastAsia" w:ascii="仿宋_GB2312" w:eastAsia="仿宋_GB2312"/>
          <w:sz w:val="32"/>
          <w:szCs w:val="32"/>
        </w:rPr>
        <w:t>5.年初结转和结余：指单位以前年度尚未完成、结转到本年按有关规定继续使用的资金。</w:t>
      </w:r>
    </w:p>
    <w:p>
      <w:pPr>
        <w:ind w:firstLine="640" w:firstLineChars="200"/>
        <w:rPr>
          <w:rFonts w:hint="eastAsia" w:ascii="仿宋_GB2312" w:eastAsia="仿宋_GB2312"/>
          <w:sz w:val="32"/>
          <w:szCs w:val="32"/>
        </w:rPr>
      </w:pPr>
      <w:r>
        <w:rPr>
          <w:rFonts w:hint="eastAsia" w:ascii="仿宋_GB2312" w:eastAsia="仿宋_GB2312"/>
          <w:sz w:val="32"/>
          <w:szCs w:val="32"/>
        </w:rPr>
        <w:t>6.基本支出：指为保障机构正常运转、完成日常工作任务而发生的人员支出和公用支出。</w:t>
      </w:r>
    </w:p>
    <w:p>
      <w:pPr>
        <w:pStyle w:val="3"/>
        <w:numPr>
          <w:ilvl w:val="0"/>
          <w:numId w:val="0"/>
        </w:numPr>
        <w:ind w:firstLine="640" w:firstLineChars="200"/>
        <w:rPr>
          <w:rFonts w:hint="eastAsia" w:eastAsia="仿宋_GB2312"/>
          <w:sz w:val="32"/>
          <w:szCs w:val="32"/>
          <w:lang w:eastAsia="zh-CN"/>
        </w:rPr>
      </w:pPr>
      <w:r>
        <w:rPr>
          <w:rFonts w:hint="eastAsia" w:ascii="仿宋_GB2312" w:eastAsia="仿宋_GB2312"/>
          <w:sz w:val="32"/>
          <w:szCs w:val="32"/>
        </w:rPr>
        <w:t>7.项目支出：指在基本支出之外为完成特定行政任务或事业发展目标所发生的支出</w:t>
      </w:r>
      <w:r>
        <w:rPr>
          <w:rFonts w:hint="eastAsia" w:eastAsia="仿宋_GB2312"/>
          <w:sz w:val="32"/>
          <w:szCs w:val="32"/>
          <w:lang w:eastAsia="zh-CN"/>
        </w:rPr>
        <w:t>。</w:t>
      </w:r>
    </w:p>
    <w:p>
      <w:pPr>
        <w:ind w:firstLine="640" w:firstLineChars="200"/>
        <w:rPr>
          <w:rFonts w:hint="eastAsia" w:ascii="仿宋_GB2312" w:hAnsi="宋体" w:eastAsia="仿宋_GB2312"/>
          <w:sz w:val="32"/>
          <w:szCs w:val="32"/>
        </w:rPr>
      </w:pPr>
      <w:r>
        <w:rPr>
          <w:rFonts w:hint="eastAsia" w:ascii="仿宋_GB2312" w:eastAsia="仿宋_GB2312"/>
          <w:sz w:val="32"/>
          <w:szCs w:val="32"/>
        </w:rPr>
        <w:t>8.“三公”经费：</w:t>
      </w:r>
      <w:r>
        <w:rPr>
          <w:rFonts w:hint="eastAsia" w:ascii="仿宋_GB2312" w:hAnsi="宋体" w:eastAsia="仿宋_GB2312"/>
          <w:sz w:val="32"/>
          <w:szCs w:val="32"/>
        </w:rPr>
        <w:t>是指单位通过财政拨款资金安排的因公出国（境）费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640" w:firstLineChars="200"/>
        <w:rPr>
          <w:rFonts w:hint="eastAsia" w:ascii="仿宋_GB2312" w:hAnsi="宋体"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机关运行经费：</w:t>
      </w:r>
      <w:r>
        <w:rPr>
          <w:rFonts w:hint="eastAsia" w:ascii="仿宋_GB2312" w:hAnsi="宋体" w:eastAsia="仿宋_GB2312"/>
          <w:sz w:val="32"/>
          <w:szCs w:val="32"/>
        </w:rPr>
        <w:t>指为</w:t>
      </w:r>
      <w:r>
        <w:rPr>
          <w:rFonts w:ascii="仿宋_GB2312" w:hAnsi="宋体" w:eastAsia="仿宋_GB2312"/>
          <w:sz w:val="32"/>
          <w:szCs w:val="32"/>
        </w:rPr>
        <w:t>保障</w:t>
      </w:r>
      <w:r>
        <w:rPr>
          <w:rFonts w:hint="eastAsia" w:ascii="仿宋_GB2312" w:hAnsi="宋体" w:eastAsia="仿宋_GB2312"/>
          <w:sz w:val="32"/>
          <w:szCs w:val="32"/>
        </w:rPr>
        <w:t>行政单位（含参照公务员法管理事业单位）运行用于</w:t>
      </w:r>
      <w:r>
        <w:rPr>
          <w:rFonts w:ascii="仿宋_GB2312" w:hAnsi="宋体" w:eastAsia="仿宋_GB2312"/>
          <w:sz w:val="32"/>
          <w:szCs w:val="32"/>
        </w:rPr>
        <w:t>购买货物和服务的各项资金</w:t>
      </w:r>
      <w:r>
        <w:rPr>
          <w:rFonts w:hint="eastAsia" w:ascii="仿宋_GB2312" w:hAnsi="宋体" w:eastAsia="仿宋_GB2312"/>
          <w:sz w:val="32"/>
          <w:szCs w:val="32"/>
        </w:rPr>
        <w:t>，包括办公及印刷费、邮电费、差旅费、会议费、福利费、日常维修费、专用材料及一般设备购置费、办公用房水电费、办公用房取暖费、办公用房物业管理费、公务用车运行维护费以及其他费用。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eastAsia="仿宋_GB2312"/>
          <w:sz w:val="32"/>
          <w:szCs w:val="32"/>
        </w:rPr>
      </w:pPr>
      <w:r>
        <w:rPr>
          <w:rFonts w:hint="eastAsia" w:ascii="仿宋_GB2312" w:eastAsia="仿宋_GB2312"/>
          <w:sz w:val="32"/>
          <w:szCs w:val="32"/>
        </w:rPr>
        <w:t>10</w:t>
      </w:r>
      <w:r>
        <w:rPr>
          <w:rFonts w:ascii="仿宋_GB2312" w:eastAsia="仿宋_GB2312"/>
          <w:sz w:val="32"/>
          <w:szCs w:val="32"/>
        </w:rPr>
        <w:t>.</w:t>
      </w:r>
      <w:r>
        <w:rPr>
          <w:rFonts w:hint="eastAsia" w:ascii="仿宋_GB2312" w:eastAsia="仿宋_GB2312"/>
          <w:sz w:val="32"/>
          <w:szCs w:val="32"/>
        </w:rPr>
        <w:t>政府采购</w:t>
      </w:r>
      <w:r>
        <w:rPr>
          <w:rFonts w:ascii="仿宋_GB2312" w:eastAsia="仿宋_GB2312"/>
          <w:sz w:val="32"/>
          <w:szCs w:val="32"/>
        </w:rPr>
        <w:t>：</w:t>
      </w:r>
      <w:r>
        <w:rPr>
          <w:rFonts w:hint="eastAsia" w:ascii="仿宋_GB2312" w:eastAsia="仿宋_GB2312"/>
          <w:sz w:val="32"/>
          <w:szCs w:val="32"/>
        </w:rPr>
        <w:t>指</w:t>
      </w:r>
      <w:r>
        <w:rPr>
          <w:rFonts w:ascii="仿宋_GB2312" w:eastAsia="仿宋_GB2312"/>
          <w:sz w:val="32"/>
          <w:szCs w:val="32"/>
        </w:rPr>
        <w:t>各级国家机关、事业单位和团体组织，使用</w:t>
      </w:r>
      <w:r>
        <w:rPr>
          <w:rFonts w:hint="eastAsia" w:ascii="仿宋_GB2312" w:eastAsia="仿宋_GB2312"/>
          <w:sz w:val="32"/>
          <w:szCs w:val="32"/>
        </w:rPr>
        <w:t>财政性</w:t>
      </w:r>
      <w:r>
        <w:rPr>
          <w:rFonts w:ascii="仿宋_GB2312" w:eastAsia="仿宋_GB2312"/>
          <w:sz w:val="32"/>
          <w:szCs w:val="32"/>
        </w:rPr>
        <w:t>资金采购依法制定的集中目录以内的或者采购限额标准以上的货物、工程和服务的行为</w:t>
      </w:r>
      <w:r>
        <w:rPr>
          <w:rFonts w:hint="eastAsia" w:ascii="仿宋_GB2312" w:eastAsia="仿宋_GB2312"/>
          <w:sz w:val="32"/>
          <w:szCs w:val="32"/>
        </w:rPr>
        <w:t>，</w:t>
      </w:r>
      <w:r>
        <w:rPr>
          <w:rFonts w:ascii="仿宋_GB2312" w:eastAsia="仿宋_GB2312"/>
          <w:sz w:val="32"/>
          <w:szCs w:val="32"/>
        </w:rPr>
        <w:t>是规范财政支出管理和强化预算约束的有效措施。</w:t>
      </w:r>
    </w:p>
    <w:p>
      <w:pPr>
        <w:pStyle w:val="3"/>
        <w:numPr>
          <w:ilvl w:val="0"/>
          <w:numId w:val="0"/>
        </w:numPr>
        <w:ind w:firstLine="640" w:firstLineChars="200"/>
        <w:rPr>
          <w:rFonts w:hint="eastAsia" w:eastAsia="仿宋_GB2312"/>
          <w:sz w:val="32"/>
          <w:szCs w:val="32"/>
          <w:lang w:eastAsia="zh-CN"/>
        </w:rPr>
      </w:pPr>
      <w:r>
        <w:rPr>
          <w:rFonts w:hint="eastAsia" w:ascii="仿宋_GB2312" w:eastAsia="仿宋_GB2312"/>
          <w:sz w:val="32"/>
          <w:szCs w:val="32"/>
        </w:rPr>
        <w:t>11</w:t>
      </w:r>
      <w:r>
        <w:rPr>
          <w:rFonts w:ascii="仿宋_GB2312" w:eastAsia="仿宋_GB2312"/>
          <w:sz w:val="32"/>
          <w:szCs w:val="32"/>
        </w:rPr>
        <w:t>.政府购买服务：</w:t>
      </w:r>
      <w:r>
        <w:rPr>
          <w:rFonts w:hint="eastAsia" w:ascii="仿宋_GB2312" w:eastAsia="仿宋_GB2312"/>
          <w:sz w:val="32"/>
          <w:szCs w:val="32"/>
        </w:rPr>
        <w:t>是指各级国家机关将属于自身职责范围且适合通过市场化方式提供的服务事项，按照政府采购方式和程序，交由符合条件的服务供应商承担，并根据服务数量和质量等因素向其支付费用的行为。</w:t>
      </w:r>
    </w:p>
    <w:p>
      <w:pPr>
        <w:rPr>
          <w:rFonts w:ascii="仿宋" w:hAnsi="仿宋" w:eastAsia="仿宋"/>
          <w:color w:val="000000" w:themeColor="text1"/>
          <w14:textFill>
            <w14:solidFill>
              <w14:schemeClr w14:val="tx1"/>
            </w14:solidFill>
          </w14:textFill>
        </w:rPr>
      </w:pPr>
    </w:p>
    <w:p>
      <w:pPr>
        <w:widowControl/>
        <w:numPr>
          <w:ilvl w:val="0"/>
          <w:numId w:val="0"/>
        </w:numPr>
        <w:spacing w:line="360" w:lineRule="auto"/>
        <w:jc w:val="left"/>
        <w:rPr>
          <w:rFonts w:hint="eastAsia" w:ascii="仿宋" w:hAnsi="仿宋" w:eastAsia="仿宋"/>
          <w:color w:val="000000" w:themeColor="text1"/>
          <w:sz w:val="32"/>
          <w:szCs w:val="32"/>
          <w:lang w:val="en-US" w:eastAsia="zh-CN"/>
          <w14:textFill>
            <w14:solidFill>
              <w14:schemeClr w14:val="tx1"/>
            </w14:solidFill>
          </w14:textFill>
        </w:rPr>
      </w:pPr>
    </w:p>
    <w:p>
      <w:pPr>
        <w:spacing w:line="560" w:lineRule="exact"/>
        <w:ind w:firstLine="640" w:firstLineChars="200"/>
        <w:rPr>
          <w:rFonts w:ascii="仿宋" w:hAnsi="仿宋" w:eastAsia="仿宋" w:cstheme="minorBidi"/>
          <w:color w:val="000000"/>
          <w:sz w:val="32"/>
          <w:szCs w:val="32"/>
        </w:rPr>
      </w:pPr>
      <w:r>
        <w:rPr>
          <w:rFonts w:hint="eastAsia" w:ascii="仿宋" w:hAnsi="仿宋" w:eastAsia="仿宋" w:cstheme="minorBidi"/>
          <w:color w:val="000000"/>
          <w:sz w:val="32"/>
          <w:szCs w:val="32"/>
        </w:rPr>
        <w:t>四、</w:t>
      </w:r>
      <w:r>
        <w:rPr>
          <w:rFonts w:ascii="仿宋" w:hAnsi="仿宋" w:eastAsia="仿宋" w:cstheme="minorBidi"/>
          <w:color w:val="000000"/>
          <w:sz w:val="32"/>
          <w:szCs w:val="32"/>
        </w:rPr>
        <w:t>部门“</w:t>
      </w:r>
      <w:r>
        <w:rPr>
          <w:rFonts w:hint="eastAsia" w:ascii="仿宋" w:hAnsi="仿宋" w:eastAsia="仿宋" w:cstheme="minorBidi"/>
          <w:color w:val="000000"/>
          <w:sz w:val="32"/>
          <w:szCs w:val="32"/>
        </w:rPr>
        <w:t>三公</w:t>
      </w:r>
      <w:r>
        <w:rPr>
          <w:rFonts w:ascii="仿宋" w:hAnsi="仿宋" w:eastAsia="仿宋" w:cstheme="minorBidi"/>
          <w:color w:val="000000"/>
          <w:sz w:val="32"/>
          <w:szCs w:val="32"/>
        </w:rPr>
        <w:t>”</w:t>
      </w:r>
      <w:r>
        <w:rPr>
          <w:rFonts w:hint="eastAsia" w:ascii="仿宋" w:hAnsi="仿宋" w:eastAsia="仿宋" w:cstheme="minorBidi"/>
          <w:color w:val="000000"/>
          <w:sz w:val="32"/>
          <w:szCs w:val="32"/>
        </w:rPr>
        <w:t>经费</w:t>
      </w:r>
      <w:r>
        <w:rPr>
          <w:rFonts w:ascii="仿宋" w:hAnsi="仿宋" w:eastAsia="仿宋" w:cstheme="minorBidi"/>
          <w:color w:val="000000"/>
          <w:sz w:val="32"/>
          <w:szCs w:val="32"/>
        </w:rPr>
        <w:t>财政拨款</w:t>
      </w:r>
      <w:r>
        <w:rPr>
          <w:rFonts w:hint="eastAsia" w:ascii="仿宋" w:hAnsi="仿宋" w:eastAsia="仿宋" w:cstheme="minorBidi"/>
          <w:color w:val="000000"/>
          <w:sz w:val="32"/>
          <w:szCs w:val="32"/>
        </w:rPr>
        <w:t>决</w:t>
      </w:r>
      <w:r>
        <w:rPr>
          <w:rFonts w:ascii="仿宋" w:hAnsi="仿宋" w:eastAsia="仿宋" w:cstheme="minorBidi"/>
          <w:color w:val="000000"/>
          <w:sz w:val="32"/>
          <w:szCs w:val="32"/>
        </w:rPr>
        <w:t>算说明</w:t>
      </w:r>
    </w:p>
    <w:p>
      <w:pPr>
        <w:spacing w:line="560" w:lineRule="exact"/>
        <w:ind w:firstLine="640" w:firstLineChars="200"/>
        <w:rPr>
          <w:rFonts w:hint="eastAsia" w:ascii="仿宋" w:hAnsi="仿宋" w:eastAsia="仿宋" w:cstheme="minorBidi"/>
          <w:color w:val="000000"/>
          <w:sz w:val="32"/>
          <w:szCs w:val="32"/>
        </w:rPr>
      </w:pPr>
      <w:r>
        <w:rPr>
          <w:rFonts w:hint="eastAsia" w:ascii="仿宋" w:hAnsi="仿宋" w:eastAsia="仿宋" w:cstheme="minorBidi"/>
          <w:color w:val="000000"/>
          <w:sz w:val="32"/>
          <w:szCs w:val="32"/>
        </w:rPr>
        <w:t>（一）</w:t>
      </w:r>
      <w:r>
        <w:rPr>
          <w:rFonts w:ascii="仿宋" w:hAnsi="仿宋" w:eastAsia="仿宋" w:cstheme="minorBidi"/>
          <w:color w:val="000000"/>
          <w:sz w:val="32"/>
          <w:szCs w:val="32"/>
        </w:rPr>
        <w:t>“</w:t>
      </w:r>
      <w:r>
        <w:rPr>
          <w:rFonts w:hint="eastAsia" w:ascii="仿宋" w:hAnsi="仿宋" w:eastAsia="仿宋" w:cstheme="minorBidi"/>
          <w:color w:val="000000"/>
          <w:sz w:val="32"/>
          <w:szCs w:val="32"/>
        </w:rPr>
        <w:t>三公</w:t>
      </w:r>
      <w:r>
        <w:rPr>
          <w:rFonts w:ascii="仿宋" w:hAnsi="仿宋" w:eastAsia="仿宋" w:cstheme="minorBidi"/>
          <w:color w:val="000000"/>
          <w:sz w:val="32"/>
          <w:szCs w:val="32"/>
        </w:rPr>
        <w:t>”</w:t>
      </w:r>
      <w:r>
        <w:rPr>
          <w:rFonts w:hint="eastAsia" w:ascii="仿宋" w:hAnsi="仿宋" w:eastAsia="仿宋" w:cstheme="minorBidi"/>
          <w:color w:val="000000"/>
          <w:sz w:val="32"/>
          <w:szCs w:val="32"/>
        </w:rPr>
        <w:t>经费的</w:t>
      </w:r>
      <w:r>
        <w:rPr>
          <w:rFonts w:ascii="仿宋" w:hAnsi="仿宋" w:eastAsia="仿宋" w:cstheme="minorBidi"/>
          <w:color w:val="000000"/>
          <w:sz w:val="32"/>
          <w:szCs w:val="32"/>
        </w:rPr>
        <w:t>单位</w:t>
      </w:r>
      <w:r>
        <w:rPr>
          <w:rFonts w:hint="eastAsia" w:ascii="仿宋" w:hAnsi="仿宋" w:eastAsia="仿宋" w:cstheme="minorBidi"/>
          <w:color w:val="000000"/>
          <w:sz w:val="32"/>
          <w:szCs w:val="32"/>
        </w:rPr>
        <w:t>范围</w:t>
      </w:r>
    </w:p>
    <w:p>
      <w:pPr>
        <w:spacing w:line="560" w:lineRule="exact"/>
        <w:ind w:firstLine="640" w:firstLineChars="200"/>
        <w:rPr>
          <w:rFonts w:ascii="仿宋" w:hAnsi="仿宋" w:eastAsia="仿宋" w:cstheme="minorBidi"/>
          <w:color w:val="000000"/>
          <w:sz w:val="32"/>
          <w:szCs w:val="32"/>
        </w:rPr>
      </w:pPr>
      <w:r>
        <w:rPr>
          <w:rFonts w:hint="eastAsia" w:ascii="仿宋" w:hAnsi="仿宋" w:eastAsia="仿宋" w:cstheme="minorBidi"/>
          <w:color w:val="000000"/>
          <w:sz w:val="32"/>
          <w:szCs w:val="32"/>
        </w:rPr>
        <w:t>本单位“三公”经费无支出</w:t>
      </w: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CBE76F"/>
    <w:multiLevelType w:val="singleLevel"/>
    <w:tmpl w:val="FFCBE76F"/>
    <w:lvl w:ilvl="0" w:tentative="0">
      <w:start w:val="3"/>
      <w:numFmt w:val="chineseCounting"/>
      <w:suff w:val="nothing"/>
      <w:lvlText w:val="（%1）"/>
      <w:lvlJc w:val="left"/>
      <w:rPr>
        <w:rFonts w:hint="eastAsia"/>
      </w:rPr>
    </w:lvl>
  </w:abstractNum>
  <w:abstractNum w:abstractNumId="1">
    <w:nsid w:val="3496BA5D"/>
    <w:multiLevelType w:val="singleLevel"/>
    <w:tmpl w:val="3496BA5D"/>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09B"/>
    <w:rsid w:val="00020A9C"/>
    <w:rsid w:val="00024F7E"/>
    <w:rsid w:val="00036320"/>
    <w:rsid w:val="0006790E"/>
    <w:rsid w:val="0008546A"/>
    <w:rsid w:val="000B0C0A"/>
    <w:rsid w:val="000B1750"/>
    <w:rsid w:val="000B47AB"/>
    <w:rsid w:val="000E34F3"/>
    <w:rsid w:val="00112C72"/>
    <w:rsid w:val="001164AA"/>
    <w:rsid w:val="00117A90"/>
    <w:rsid w:val="00152ADB"/>
    <w:rsid w:val="00195BF3"/>
    <w:rsid w:val="001B57F2"/>
    <w:rsid w:val="001C09EF"/>
    <w:rsid w:val="00281CD1"/>
    <w:rsid w:val="00291E1B"/>
    <w:rsid w:val="002A4AD7"/>
    <w:rsid w:val="002C410B"/>
    <w:rsid w:val="00365339"/>
    <w:rsid w:val="00372613"/>
    <w:rsid w:val="00385006"/>
    <w:rsid w:val="00392F7A"/>
    <w:rsid w:val="00394713"/>
    <w:rsid w:val="003E2638"/>
    <w:rsid w:val="004551EA"/>
    <w:rsid w:val="00486127"/>
    <w:rsid w:val="004D7902"/>
    <w:rsid w:val="004F1309"/>
    <w:rsid w:val="004F45FE"/>
    <w:rsid w:val="004F67BB"/>
    <w:rsid w:val="00560ED1"/>
    <w:rsid w:val="005C0DAB"/>
    <w:rsid w:val="005C668C"/>
    <w:rsid w:val="005E245E"/>
    <w:rsid w:val="00605D33"/>
    <w:rsid w:val="00652FB2"/>
    <w:rsid w:val="006D6742"/>
    <w:rsid w:val="007720F4"/>
    <w:rsid w:val="007835AE"/>
    <w:rsid w:val="007D01E8"/>
    <w:rsid w:val="007E709B"/>
    <w:rsid w:val="007F5AE3"/>
    <w:rsid w:val="008134DE"/>
    <w:rsid w:val="008443DA"/>
    <w:rsid w:val="00881987"/>
    <w:rsid w:val="00883BFF"/>
    <w:rsid w:val="00885594"/>
    <w:rsid w:val="008A6B4A"/>
    <w:rsid w:val="008D25AF"/>
    <w:rsid w:val="008E2266"/>
    <w:rsid w:val="008E2769"/>
    <w:rsid w:val="00981EE3"/>
    <w:rsid w:val="00992F1D"/>
    <w:rsid w:val="009C48FE"/>
    <w:rsid w:val="009E0031"/>
    <w:rsid w:val="009E5AC9"/>
    <w:rsid w:val="009F15E1"/>
    <w:rsid w:val="00A10987"/>
    <w:rsid w:val="00A1687D"/>
    <w:rsid w:val="00A855FD"/>
    <w:rsid w:val="00A85927"/>
    <w:rsid w:val="00A911B5"/>
    <w:rsid w:val="00AA57D2"/>
    <w:rsid w:val="00AF35EB"/>
    <w:rsid w:val="00B07618"/>
    <w:rsid w:val="00B20355"/>
    <w:rsid w:val="00B3250E"/>
    <w:rsid w:val="00B73D8C"/>
    <w:rsid w:val="00B93489"/>
    <w:rsid w:val="00BC287B"/>
    <w:rsid w:val="00BD296F"/>
    <w:rsid w:val="00BD5F38"/>
    <w:rsid w:val="00BD7D22"/>
    <w:rsid w:val="00C3160D"/>
    <w:rsid w:val="00CE2D95"/>
    <w:rsid w:val="00D03C9C"/>
    <w:rsid w:val="00D13AD8"/>
    <w:rsid w:val="00DF7755"/>
    <w:rsid w:val="00E15791"/>
    <w:rsid w:val="00E24D9E"/>
    <w:rsid w:val="00E47D93"/>
    <w:rsid w:val="00F31D9F"/>
    <w:rsid w:val="00F32938"/>
    <w:rsid w:val="00F366C6"/>
    <w:rsid w:val="00F5626F"/>
    <w:rsid w:val="00F66C4B"/>
    <w:rsid w:val="00FF04B2"/>
    <w:rsid w:val="036A4FDB"/>
    <w:rsid w:val="06311492"/>
    <w:rsid w:val="0CD51A25"/>
    <w:rsid w:val="15DC10D1"/>
    <w:rsid w:val="23CC5F2C"/>
    <w:rsid w:val="2B312415"/>
    <w:rsid w:val="335E3BE4"/>
    <w:rsid w:val="587C2660"/>
    <w:rsid w:val="635A31C1"/>
    <w:rsid w:val="75547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unhideWhenUsed/>
    <w:qFormat/>
    <w:uiPriority w:val="39"/>
    <w:pPr>
      <w:ind w:left="420"/>
    </w:pPr>
    <w:rPr>
      <w:rFonts w:ascii="等线" w:hAnsi="等线" w:eastAsia="等线"/>
      <w:b/>
      <w:sz w:val="30"/>
      <w:szCs w:val="30"/>
    </w:rPr>
  </w:style>
  <w:style w:type="paragraph" w:styleId="3">
    <w:name w:val="Normal Indent"/>
    <w:basedOn w:val="1"/>
    <w:qFormat/>
    <w:uiPriority w:val="0"/>
    <w:pPr>
      <w:ind w:firstLine="200" w:firstLineChars="200"/>
    </w:pPr>
  </w:style>
  <w:style w:type="paragraph" w:styleId="4">
    <w:name w:val="Date"/>
    <w:basedOn w:val="1"/>
    <w:next w:val="1"/>
    <w:link w:val="12"/>
    <w:semiHidden/>
    <w:unhideWhenUsed/>
    <w:qFormat/>
    <w:uiPriority w:val="99"/>
    <w:pPr>
      <w:ind w:left="100" w:leftChars="2500"/>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character" w:customStyle="1" w:styleId="10">
    <w:name w:val="页眉 Char"/>
    <w:basedOn w:val="9"/>
    <w:link w:val="6"/>
    <w:qFormat/>
    <w:uiPriority w:val="99"/>
    <w:rPr>
      <w:rFonts w:ascii="Calibri" w:hAnsi="Calibri" w:eastAsia="宋体" w:cs="Times New Roman"/>
      <w:sz w:val="18"/>
      <w:szCs w:val="18"/>
    </w:rPr>
  </w:style>
  <w:style w:type="character" w:customStyle="1" w:styleId="11">
    <w:name w:val="页脚 Char"/>
    <w:basedOn w:val="9"/>
    <w:link w:val="5"/>
    <w:qFormat/>
    <w:uiPriority w:val="99"/>
    <w:rPr>
      <w:rFonts w:ascii="Calibri" w:hAnsi="Calibri" w:eastAsia="宋体" w:cs="Times New Roman"/>
      <w:sz w:val="18"/>
      <w:szCs w:val="18"/>
    </w:rPr>
  </w:style>
  <w:style w:type="character" w:customStyle="1" w:styleId="12">
    <w:name w:val="日期 Char"/>
    <w:basedOn w:val="9"/>
    <w:link w:val="4"/>
    <w:semiHidden/>
    <w:qFormat/>
    <w:uiPriority w:val="99"/>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174</Words>
  <Characters>996</Characters>
  <Lines>8</Lines>
  <Paragraphs>2</Paragraphs>
  <TotalTime>0</TotalTime>
  <ScaleCrop>false</ScaleCrop>
  <LinksUpToDate>false</LinksUpToDate>
  <CharactersWithSpaces>1168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2023-08-15T03:14:00Z</dcterms:created>
  <dc:creator>王娟</dc:creator>
  <cp:lastModifiedBy>dell</cp:lastModifiedBy>
  <dcterms:modified xsi:type="dcterms:W3CDTF">2024-08-28T02:15:08Z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