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left="0" w:leftChars="0" w:firstLine="0" w:firstLineChars="0"/>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2023年度部门绩效评价</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p>
    <w:p>
      <w:pPr>
        <w:pStyle w:val="2"/>
        <w:ind w:left="0" w:leftChars="0" w:firstLine="0" w:firstLineChars="0"/>
        <w:rPr>
          <w:rFonts w:hint="default"/>
          <w:lang w:val="en-US" w:eastAsia="zh-CN"/>
        </w:rPr>
      </w:pPr>
      <w:r>
        <w:rPr>
          <w:rFonts w:hint="eastAsia" w:ascii="仿宋" w:hAnsi="仿宋" w:eastAsia="仿宋" w:cs="仿宋"/>
          <w:b w:val="0"/>
          <w:bCs/>
          <w:sz w:val="32"/>
          <w:szCs w:val="32"/>
          <w:lang w:val="en-US" w:eastAsia="zh-CN"/>
        </w:rPr>
        <w:t>第一部分：预算绩效开展情况</w:t>
      </w:r>
      <w:bookmarkStart w:id="15" w:name="_GoBack"/>
      <w:bookmarkEnd w:id="15"/>
    </w:p>
    <w:p>
      <w:pPr>
        <w:pStyle w:val="2"/>
        <w:rPr>
          <w:rFonts w:hint="default" w:ascii="仿宋" w:hAnsi="仿宋" w:eastAsia="仿宋" w:cs="仿宋"/>
          <w:b w:val="0"/>
          <w:bCs/>
          <w:sz w:val="32"/>
          <w:szCs w:val="32"/>
          <w:lang w:val="en-US" w:eastAsia="zh-CN"/>
        </w:rPr>
      </w:pPr>
      <w:r>
        <w:rPr>
          <w:rFonts w:hint="default" w:ascii="仿宋" w:hAnsi="仿宋" w:eastAsia="仿宋" w:cs="仿宋"/>
          <w:b w:val="0"/>
          <w:bCs/>
          <w:sz w:val="32"/>
          <w:szCs w:val="32"/>
          <w:lang w:val="en-US" w:eastAsia="zh-CN"/>
        </w:rPr>
        <w:t>2023年度月坛街道全年部门整体支出项目支出金额32097.2</w:t>
      </w:r>
      <w:r>
        <w:rPr>
          <w:rFonts w:hint="eastAsia" w:ascii="仿宋" w:hAnsi="仿宋" w:eastAsia="仿宋" w:cs="仿宋"/>
          <w:b w:val="0"/>
          <w:bCs/>
          <w:sz w:val="32"/>
          <w:szCs w:val="32"/>
          <w:lang w:val="en-US" w:eastAsia="zh-CN"/>
        </w:rPr>
        <w:t>万元，</w:t>
      </w:r>
      <w:r>
        <w:rPr>
          <w:rFonts w:hint="default" w:ascii="仿宋" w:hAnsi="仿宋" w:eastAsia="仿宋" w:cs="仿宋"/>
          <w:b w:val="0"/>
          <w:bCs/>
          <w:sz w:val="32"/>
          <w:szCs w:val="32"/>
          <w:lang w:val="en-US" w:eastAsia="zh-CN"/>
        </w:rPr>
        <w:t>选取自评项目总金额32097.2</w:t>
      </w:r>
      <w:r>
        <w:rPr>
          <w:rFonts w:hint="eastAsia" w:ascii="仿宋" w:hAnsi="仿宋" w:eastAsia="仿宋" w:cs="仿宋"/>
          <w:b w:val="0"/>
          <w:bCs/>
          <w:sz w:val="32"/>
          <w:szCs w:val="32"/>
          <w:lang w:val="en-US" w:eastAsia="zh-CN"/>
        </w:rPr>
        <w:t>万元，2</w:t>
      </w:r>
      <w:r>
        <w:rPr>
          <w:rFonts w:hint="default" w:ascii="仿宋" w:hAnsi="仿宋" w:eastAsia="仿宋" w:cs="仿宋"/>
          <w:b w:val="0"/>
          <w:bCs/>
          <w:sz w:val="32"/>
          <w:szCs w:val="32"/>
          <w:lang w:val="en-US" w:eastAsia="zh-CN"/>
        </w:rPr>
        <w:t>023年度项目支出总数量208</w:t>
      </w:r>
      <w:r>
        <w:rPr>
          <w:rFonts w:hint="eastAsia" w:ascii="仿宋" w:hAnsi="仿宋" w:eastAsia="仿宋" w:cs="仿宋"/>
          <w:b w:val="0"/>
          <w:bCs/>
          <w:sz w:val="32"/>
          <w:szCs w:val="32"/>
          <w:lang w:val="en-US" w:eastAsia="zh-CN"/>
        </w:rPr>
        <w:t>个，</w:t>
      </w:r>
      <w:r>
        <w:rPr>
          <w:rFonts w:hint="default" w:ascii="仿宋" w:hAnsi="仿宋" w:eastAsia="仿宋" w:cs="仿宋"/>
          <w:b w:val="0"/>
          <w:bCs/>
          <w:sz w:val="32"/>
          <w:szCs w:val="32"/>
          <w:lang w:val="en-US" w:eastAsia="zh-CN"/>
        </w:rPr>
        <w:t>选取自评项目支出总数量208</w:t>
      </w:r>
      <w:r>
        <w:rPr>
          <w:rFonts w:hint="eastAsia" w:ascii="仿宋" w:hAnsi="仿宋" w:eastAsia="仿宋" w:cs="仿宋"/>
          <w:b w:val="0"/>
          <w:bCs/>
          <w:sz w:val="32"/>
          <w:szCs w:val="32"/>
          <w:lang w:val="en-US" w:eastAsia="zh-CN"/>
        </w:rPr>
        <w:t>个，自评得分总计97.87分。</w:t>
      </w:r>
    </w:p>
    <w:p>
      <w:pPr>
        <w:pStyle w:val="2"/>
        <w:spacing w:line="560" w:lineRule="exact"/>
        <w:rPr>
          <w:rFonts w:hint="eastAsia" w:ascii="仿宋" w:hAnsi="仿宋" w:eastAsia="仿宋" w:cs="仿宋"/>
          <w:b w:val="0"/>
          <w:bCs/>
          <w:sz w:val="32"/>
          <w:szCs w:val="32"/>
        </w:rPr>
      </w:pPr>
    </w:p>
    <w:p>
      <w:pPr>
        <w:pStyle w:val="2"/>
        <w:spacing w:line="560" w:lineRule="exact"/>
        <w:ind w:left="0" w:leftChars="0" w:firstLine="0" w:firstLineChars="0"/>
        <w:rPr>
          <w:rFonts w:hint="eastAsia" w:ascii="仿宋" w:hAnsi="仿宋" w:eastAsia="仿宋" w:cs="仿宋"/>
          <w:sz w:val="32"/>
          <w:szCs w:val="32"/>
        </w:rPr>
      </w:pPr>
      <w:r>
        <w:rPr>
          <w:rFonts w:hint="eastAsia" w:ascii="仿宋" w:hAnsi="仿宋" w:eastAsia="仿宋" w:cs="仿宋"/>
          <w:b w:val="0"/>
          <w:bCs/>
          <w:sz w:val="32"/>
          <w:szCs w:val="32"/>
          <w:lang w:eastAsia="zh-CN"/>
        </w:rPr>
        <w:t>第二部分：</w:t>
      </w:r>
      <w:r>
        <w:rPr>
          <w:rFonts w:hint="eastAsia" w:ascii="仿宋" w:hAnsi="仿宋" w:eastAsia="仿宋" w:cs="仿宋"/>
          <w:b w:val="0"/>
          <w:bCs/>
          <w:sz w:val="32"/>
          <w:szCs w:val="32"/>
        </w:rPr>
        <w:t>部门整体绩效报告</w:t>
      </w:r>
    </w:p>
    <w:p>
      <w:pPr>
        <w:spacing w:line="60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一、部门概况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（一）机构设置及职责工作任务情况</w:t>
      </w:r>
    </w:p>
    <w:p>
      <w:pPr>
        <w:pStyle w:val="2"/>
        <w:ind w:firstLine="42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rPr>
        <w:t>1．机构设置情况</w:t>
      </w:r>
      <w:r>
        <w:rPr>
          <w:rFonts w:hint="eastAsia" w:ascii="仿宋" w:hAnsi="仿宋" w:eastAsia="仿宋" w:cs="仿宋"/>
          <w:sz w:val="32"/>
          <w:szCs w:val="32"/>
        </w:rPr>
        <w:t>。</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根据《中共北京市西城区委月坛街道工作委员会北京市西城区人民政府月坛街道办事处主要职责内设机构和人员编制规定》、《北京市机构编制委员会办公室关于开展街道各类机构综合设置和派驻机构属地化管理试点工作的指导意见》和《西城区街道各类机构综合设置全面试点工作实施方案》精神，月坛街道工委、办事处设置以下 7 个内设机构，即综合办公室、党群工作办公室、平安建设办公室、城市管理办公室、社区建设办公室、民生保障办公室、地区协调服务办公室；月坛街道所属事业单位机构设置为3个中心，即党群服务中心、市民服务中心、全响应街区治理中心。</w:t>
      </w:r>
    </w:p>
    <w:p>
      <w:pPr>
        <w:pStyle w:val="2"/>
        <w:ind w:firstLine="960" w:firstLineChars="300"/>
        <w:rPr>
          <w:rFonts w:hint="eastAsia" w:ascii="仿宋" w:hAnsi="仿宋" w:eastAsia="仿宋" w:cs="仿宋"/>
          <w:sz w:val="32"/>
          <w:szCs w:val="32"/>
        </w:rPr>
      </w:pPr>
      <w:r>
        <w:rPr>
          <w:rFonts w:hint="eastAsia" w:ascii="仿宋" w:hAnsi="仿宋" w:eastAsia="仿宋" w:cs="仿宋"/>
          <w:sz w:val="32"/>
          <w:szCs w:val="32"/>
        </w:rPr>
        <w:t>第一、</w:t>
      </w:r>
      <w:r>
        <w:rPr>
          <w:rFonts w:hint="eastAsia" w:ascii="仿宋" w:hAnsi="仿宋" w:eastAsia="仿宋" w:cs="仿宋"/>
          <w:sz w:val="32"/>
          <w:szCs w:val="32"/>
        </w:rPr>
        <w:t>综合办公室</w:t>
      </w:r>
    </w:p>
    <w:p>
      <w:pPr>
        <w:pStyle w:val="2"/>
        <w:ind w:firstLine="960" w:firstLineChars="300"/>
        <w:rPr>
          <w:rFonts w:hint="eastAsia" w:ascii="仿宋" w:hAnsi="仿宋" w:eastAsia="仿宋" w:cs="仿宋"/>
          <w:sz w:val="32"/>
          <w:szCs w:val="32"/>
        </w:rPr>
      </w:pPr>
      <w:r>
        <w:rPr>
          <w:rFonts w:hint="eastAsia" w:ascii="仿宋" w:hAnsi="仿宋" w:eastAsia="仿宋" w:cs="仿宋"/>
          <w:sz w:val="32"/>
          <w:szCs w:val="32"/>
        </w:rPr>
        <w:t>承担街道指挥调度、决策支持、督查督办和综合协调服务职能；负责辖区应急处置工作；负责实施全响应管理，推进数据资源共享，规划并组织实施街道重点信息化建设项目；负责文电、会务、机要、保密、档案、信息、对外联络、财务、安全保卫、后勤保障等机关日常工作；负责依法行政、党务政务公开、信息公开、绩效管理、重要文稿起草和调研等工作。</w:t>
      </w:r>
    </w:p>
    <w:p>
      <w:pPr>
        <w:pStyle w:val="2"/>
        <w:ind w:firstLine="960" w:firstLineChars="300"/>
        <w:rPr>
          <w:rFonts w:hint="eastAsia" w:ascii="仿宋" w:hAnsi="仿宋" w:eastAsia="仿宋" w:cs="仿宋"/>
          <w:sz w:val="32"/>
          <w:szCs w:val="32"/>
        </w:rPr>
      </w:pPr>
      <w:r>
        <w:rPr>
          <w:rFonts w:hint="eastAsia" w:ascii="仿宋" w:hAnsi="仿宋" w:eastAsia="仿宋" w:cs="仿宋"/>
          <w:sz w:val="32"/>
          <w:szCs w:val="32"/>
        </w:rPr>
        <w:t>第二、</w:t>
      </w:r>
      <w:r>
        <w:rPr>
          <w:rFonts w:hint="eastAsia" w:ascii="仿宋" w:hAnsi="仿宋" w:eastAsia="仿宋" w:cs="仿宋"/>
          <w:sz w:val="32"/>
          <w:szCs w:val="32"/>
        </w:rPr>
        <w:t>党群工作办公室（人大代表工作委员会、总工会、团工委、妇联）</w:t>
      </w:r>
    </w:p>
    <w:p>
      <w:pPr>
        <w:pStyle w:val="2"/>
        <w:ind w:firstLine="960" w:firstLineChars="300"/>
        <w:rPr>
          <w:rFonts w:hint="eastAsia" w:ascii="仿宋" w:hAnsi="仿宋" w:eastAsia="仿宋" w:cs="仿宋"/>
          <w:sz w:val="32"/>
          <w:szCs w:val="32"/>
        </w:rPr>
      </w:pPr>
      <w:r>
        <w:rPr>
          <w:rFonts w:hint="eastAsia" w:ascii="仿宋" w:hAnsi="仿宋" w:eastAsia="仿宋" w:cs="仿宋"/>
          <w:sz w:val="32"/>
          <w:szCs w:val="32"/>
        </w:rPr>
        <w:t>承担全面从严治党主体责任相关工作，落实基层党建工作责任制；统筹推进区域化党建、</w:t>
      </w:r>
      <w:r>
        <w:rPr>
          <w:rFonts w:hint="eastAsia" w:ascii="仿宋" w:hAnsi="仿宋" w:eastAsia="仿宋" w:cs="仿宋"/>
          <w:sz w:val="32"/>
          <w:szCs w:val="32"/>
        </w:rPr>
        <w:t>“</w:t>
      </w:r>
      <w:r>
        <w:rPr>
          <w:rFonts w:hint="eastAsia" w:ascii="仿宋" w:hAnsi="仿宋" w:eastAsia="仿宋" w:cs="仿宋"/>
          <w:sz w:val="32"/>
          <w:szCs w:val="32"/>
        </w:rPr>
        <w:t>两新</w:t>
      </w:r>
      <w:r>
        <w:rPr>
          <w:rFonts w:hint="eastAsia" w:ascii="仿宋" w:hAnsi="仿宋" w:eastAsia="仿宋" w:cs="仿宋"/>
          <w:sz w:val="32"/>
          <w:szCs w:val="32"/>
        </w:rPr>
        <w:t>”</w:t>
      </w:r>
      <w:r>
        <w:rPr>
          <w:rFonts w:hint="eastAsia" w:ascii="仿宋" w:hAnsi="仿宋" w:eastAsia="仿宋" w:cs="仿宋"/>
          <w:sz w:val="32"/>
          <w:szCs w:val="32"/>
        </w:rPr>
        <w:t>组织党建和社区党建工作；负责机关党组织建设、党员队伍建设和管理工作；宣传党的路线、方针、政策，及党中央、市委、区委的决议；负责思想政治和意识形态相关工作，组织开展精神文明创建活动；负责人大、政协、统战、群团等相关工作；负责机关及所属事业单位人事及机构编制管理、干部队伍建设、工资福利、离退休干部管理等工作，对职能部门派出机构相关工作人员的任免、调动、奖惩提出意见。</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第三、</w:t>
      </w:r>
      <w:r>
        <w:rPr>
          <w:rFonts w:hint="eastAsia" w:ascii="仿宋" w:hAnsi="仿宋" w:eastAsia="仿宋" w:cs="仿宋"/>
          <w:sz w:val="32"/>
          <w:szCs w:val="32"/>
        </w:rPr>
        <w:t>平安建设办公室（政法工作办公室、人民武装部、司法所）</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组织维护辖区安全稳定，协调推动社会治安综合治理；协助开展流动人口及出租房屋综合管理、反邪教反恐怖主义、维护国家安全和消防安全等工作；协助开展辖区安全生产工作；负责辖区人民防空、防震减灾和突发事件应对工作；承担辖区征兵、民兵、预备役等工作；负责信访、法治宣传、矫正帮教、社区戒毒及人民调解等工作。</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第四、</w:t>
      </w:r>
      <w:r>
        <w:rPr>
          <w:rFonts w:hint="eastAsia" w:ascii="仿宋" w:hAnsi="仿宋" w:eastAsia="仿宋" w:cs="仿宋"/>
          <w:sz w:val="32"/>
          <w:szCs w:val="32"/>
        </w:rPr>
        <w:t>城市管理办公室（区城管执法监察局月坛执法队）</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承担辖区市容环境卫生、绿化美化的管理工作；组织、协调城市管理综合执法和环境秩序综合治理工作；推进街巷长、河长制相关工作；负责辖区防汛抗洪等工作；统筹辖区机动车停车管理工作；协助开展辖区食品安全、环境保护、节约用水、老旧小区综合整治、施工监督管理等工作。负责辖区市容环境卫生、公用事业管理、市政管理、施工现场管理、园林绿化等方面的专业性执法工作。</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第五、</w:t>
      </w:r>
      <w:r>
        <w:rPr>
          <w:rFonts w:hint="eastAsia" w:ascii="仿宋" w:hAnsi="仿宋" w:eastAsia="仿宋" w:cs="仿宋"/>
          <w:sz w:val="32"/>
          <w:szCs w:val="32"/>
        </w:rPr>
        <w:t>社区建设办公室</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统筹推进辖区社会建设和社区管理工作；参与制定并组织实施社区建设规划和公共服务设施规划；负责社区居民委员会建设，指导其开展工作；推进居民自治，动员社会力量参与社会治理，服务社区发展；培育和发展社区社会组织；指导、监督社区业主委员会；负责社区工作者队伍管理；配合做好义务教育实施及学区制相关工作，负责辖区人口和计划生育工作，组织开展爱国卫生运动、群众性卫生活动相关工作；综合协调公共卫生、社区卫生服务、动物防疫等相关工作；协调开展学前教育、社区科普活动及公共文化相关工作，统筹辖区全民健身工作；研究提出社区教育计划并组织实施。</w:t>
      </w:r>
    </w:p>
    <w:p>
      <w:pPr>
        <w:ind w:firstLine="1120" w:firstLineChars="350"/>
        <w:rPr>
          <w:rFonts w:hint="eastAsia" w:ascii="仿宋" w:hAnsi="仿宋" w:eastAsia="仿宋" w:cs="仿宋"/>
          <w:sz w:val="32"/>
          <w:szCs w:val="32"/>
        </w:rPr>
      </w:pPr>
      <w:r>
        <w:rPr>
          <w:rFonts w:hint="eastAsia" w:ascii="仿宋" w:hAnsi="仿宋" w:eastAsia="仿宋" w:cs="仿宋"/>
          <w:sz w:val="32"/>
          <w:szCs w:val="32"/>
        </w:rPr>
        <w:t>第六、</w:t>
      </w:r>
      <w:r>
        <w:rPr>
          <w:rFonts w:hint="eastAsia" w:ascii="仿宋" w:hAnsi="仿宋" w:eastAsia="仿宋" w:cs="仿宋"/>
          <w:sz w:val="32"/>
          <w:szCs w:val="32"/>
        </w:rPr>
        <w:t>民生保障办公室（残联）</w:t>
      </w:r>
    </w:p>
    <w:p>
      <w:pPr>
        <w:ind w:firstLine="1120" w:firstLineChars="350"/>
        <w:rPr>
          <w:rFonts w:hint="eastAsia" w:ascii="仿宋" w:hAnsi="仿宋" w:eastAsia="仿宋" w:cs="仿宋"/>
          <w:sz w:val="32"/>
          <w:szCs w:val="32"/>
        </w:rPr>
      </w:pPr>
      <w:r>
        <w:rPr>
          <w:rFonts w:hint="eastAsia" w:ascii="仿宋" w:hAnsi="仿宋" w:eastAsia="仿宋" w:cs="仿宋"/>
          <w:sz w:val="32"/>
          <w:szCs w:val="32"/>
        </w:rPr>
        <w:t>落实人力社保、低保、社会救助、住房保障、养老等各项民生政策和措施，并承担相关工作；负责辖区双拥优抚、残疾人权益保障等工作；协助开展优待抚恤、伤残评定、社会捐助、劳动保障等工作。</w:t>
      </w:r>
    </w:p>
    <w:p>
      <w:pPr>
        <w:ind w:firstLine="1120" w:firstLineChars="350"/>
        <w:rPr>
          <w:rFonts w:hint="eastAsia" w:ascii="仿宋" w:hAnsi="仿宋" w:eastAsia="仿宋" w:cs="仿宋"/>
          <w:sz w:val="32"/>
          <w:szCs w:val="32"/>
        </w:rPr>
      </w:pPr>
      <w:r>
        <w:rPr>
          <w:rFonts w:hint="eastAsia" w:ascii="仿宋" w:hAnsi="仿宋" w:eastAsia="仿宋" w:cs="仿宋"/>
          <w:sz w:val="32"/>
          <w:szCs w:val="32"/>
        </w:rPr>
        <w:t>第七、</w:t>
      </w:r>
      <w:r>
        <w:rPr>
          <w:rFonts w:hint="eastAsia" w:ascii="仿宋" w:hAnsi="仿宋" w:eastAsia="仿宋" w:cs="仿宋"/>
          <w:sz w:val="32"/>
          <w:szCs w:val="32"/>
        </w:rPr>
        <w:t>地区协调服务办公室（统计所）</w:t>
      </w:r>
    </w:p>
    <w:p>
      <w:pPr>
        <w:ind w:firstLine="1120" w:firstLineChars="350"/>
        <w:rPr>
          <w:rFonts w:hint="eastAsia" w:ascii="仿宋" w:hAnsi="仿宋" w:eastAsia="仿宋" w:cs="仿宋"/>
          <w:sz w:val="32"/>
          <w:szCs w:val="32"/>
        </w:rPr>
      </w:pPr>
      <w:r>
        <w:rPr>
          <w:rFonts w:hint="eastAsia" w:ascii="仿宋" w:hAnsi="仿宋" w:eastAsia="仿宋" w:cs="仿宋"/>
          <w:sz w:val="32"/>
          <w:szCs w:val="32"/>
        </w:rPr>
        <w:t>负责联系、服务辖区单位；协调相关部门为企业提供公共服务和政策服务；组织实施辖区相关专业统计调查及各种普查和专项调查工作；开展辖区协税护税工作；协调推动区域经济、产业提升和功能区建设，推进重大项目落地。</w:t>
      </w:r>
    </w:p>
    <w:p>
      <w:pPr>
        <w:pStyle w:val="2"/>
        <w:ind w:firstLine="560"/>
        <w:rPr>
          <w:rFonts w:hint="eastAsia" w:ascii="仿宋" w:hAnsi="仿宋" w:eastAsia="仿宋" w:cs="仿宋"/>
          <w:sz w:val="32"/>
          <w:szCs w:val="32"/>
        </w:rPr>
      </w:pPr>
      <w:r>
        <w:rPr>
          <w:rFonts w:hint="eastAsia" w:ascii="仿宋" w:hAnsi="仿宋" w:eastAsia="仿宋" w:cs="仿宋"/>
          <w:sz w:val="32"/>
          <w:szCs w:val="32"/>
        </w:rPr>
        <w:t>2.人员情况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月坛街道办事处公务员编制为184人，事业人员编制89人。</w:t>
      </w:r>
      <w:r>
        <w:rPr>
          <w:rFonts w:hint="eastAsia" w:ascii="仿宋" w:hAnsi="仿宋" w:eastAsia="仿宋" w:cs="仿宋"/>
          <w:sz w:val="32"/>
          <w:szCs w:val="32"/>
        </w:rPr>
        <w:t>其中工委书记1名，副书记2名（其中1名由办事处主任兼任）；办事处主任1名，副主任4名，纪工委（监察组）书记（组长）1名，总工会主席1名，武装部长1名；科级领导职数44正22副。政法专项编制7名，其中科级领导职数1正1副。执法专项编制35名，其中科级领导职数2正3副。</w:t>
      </w:r>
      <w:r>
        <w:rPr>
          <w:rFonts w:hint="eastAsia" w:ascii="仿宋" w:hAnsi="仿宋" w:eastAsia="仿宋" w:cs="仿宋"/>
          <w:sz w:val="32"/>
          <w:szCs w:val="32"/>
        </w:rPr>
        <w:t>截至2023底，本单位年末实有公务员165人，参公管理的事业编制人员88人。</w:t>
      </w:r>
    </w:p>
    <w:p>
      <w:pPr>
        <w:pStyle w:val="2"/>
        <w:ind w:firstLine="560"/>
        <w:rPr>
          <w:rFonts w:hint="eastAsia" w:ascii="仿宋" w:hAnsi="仿宋" w:eastAsia="仿宋" w:cs="仿宋"/>
          <w:sz w:val="32"/>
          <w:szCs w:val="32"/>
        </w:rPr>
      </w:pPr>
      <w:r>
        <w:rPr>
          <w:rFonts w:hint="eastAsia" w:ascii="仿宋" w:hAnsi="仿宋" w:eastAsia="仿宋" w:cs="仿宋"/>
          <w:sz w:val="32"/>
          <w:szCs w:val="32"/>
        </w:rPr>
        <w:t>3.主要职能及工作任务情况。</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rPr>
        <w:t>街道工委主要职责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sz w:val="32"/>
          <w:szCs w:val="32"/>
        </w:rPr>
        <w:t>宣传和执行党的路线、方针、政策，宣传和执行党中央、市委、区委的决议，及时向区委报告辖区有关情况、反映问题、提出意见建议。</w:t>
      </w:r>
    </w:p>
    <w:p>
      <w:pPr>
        <w:pStyle w:val="2"/>
        <w:ind w:firstLine="560"/>
        <w:rPr>
          <w:rFonts w:hint="eastAsia" w:ascii="仿宋" w:hAnsi="仿宋" w:eastAsia="仿宋" w:cs="仿宋"/>
          <w:sz w:val="32"/>
          <w:szCs w:val="32"/>
        </w:rPr>
      </w:pPr>
      <w:r>
        <w:rPr>
          <w:rFonts w:hint="eastAsia" w:ascii="仿宋" w:hAnsi="仿宋" w:eastAsia="仿宋" w:cs="仿宋"/>
          <w:sz w:val="32"/>
          <w:szCs w:val="32"/>
        </w:rPr>
        <w:t>②</w:t>
      </w:r>
      <w:r>
        <w:rPr>
          <w:rFonts w:hint="eastAsia" w:ascii="仿宋" w:hAnsi="仿宋" w:eastAsia="仿宋" w:cs="仿宋"/>
          <w:sz w:val="32"/>
          <w:szCs w:val="32"/>
        </w:rPr>
        <w:t>讨论并决定辖区重大问题，统筹推进平安建设、城市管理、社区建设、民生保障等工作，统筹、协调辖区单位和组织，团结、组织党内外干部和群众，抓好决策部署的组织实施和督促落实。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③</w:t>
      </w:r>
      <w:r>
        <w:rPr>
          <w:rFonts w:hint="eastAsia" w:ascii="仿宋" w:hAnsi="仿宋" w:eastAsia="仿宋" w:cs="仿宋"/>
          <w:sz w:val="32"/>
          <w:szCs w:val="32"/>
        </w:rPr>
        <w:t>履行全面从严治党主体责任，全面推进辖区党的政治建设、思想建设、组织建设、作风建设、纪律建设，把制度建设贯穿其中，组织协调反腐败工作。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④</w:t>
      </w:r>
      <w:r>
        <w:rPr>
          <w:rFonts w:hint="eastAsia" w:ascii="仿宋" w:hAnsi="仿宋" w:eastAsia="仿宋" w:cs="仿宋"/>
          <w:sz w:val="32"/>
          <w:szCs w:val="32"/>
        </w:rPr>
        <w:t>落实基层党建工作责任制，加强街道党工委自身建设和基层党组织建设，统筹推进区域化党建和“两新”组织党建、社区党建工作。对党员进行教育、管理、监督和服务，做好经常性的发展党员工作。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⑤</w:t>
      </w:r>
      <w:r>
        <w:rPr>
          <w:rFonts w:hint="eastAsia" w:ascii="仿宋" w:hAnsi="仿宋" w:eastAsia="仿宋" w:cs="仿宋"/>
          <w:sz w:val="32"/>
          <w:szCs w:val="32"/>
        </w:rPr>
        <w:t>按照管理权限，对街道机关及所属单位干部进行教育、培训、任免、考核和监督，对市、区政府职能部门派出机构相关工作人员的任免、调动、奖惩提出意见，对社区工作者队伍进行教育、管理。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⑥</w:t>
      </w:r>
      <w:r>
        <w:rPr>
          <w:rFonts w:hint="eastAsia" w:ascii="仿宋" w:hAnsi="仿宋" w:eastAsia="仿宋" w:cs="仿宋"/>
          <w:sz w:val="32"/>
          <w:szCs w:val="32"/>
        </w:rPr>
        <w:t>负责思想政治、意识形态、精神文明、统一战线工作，领导街道纪工委、人大工委、总工会、团工委、妇联、残联等组织，支持和保证其依照党内法规、法律、法规、规章、各自的章程开展工作。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⑦</w:t>
      </w:r>
      <w:r>
        <w:rPr>
          <w:rFonts w:hint="eastAsia" w:ascii="仿宋" w:hAnsi="仿宋" w:eastAsia="仿宋" w:cs="仿宋"/>
          <w:sz w:val="32"/>
          <w:szCs w:val="32"/>
        </w:rPr>
        <w:t>组织维护辖区安全稳定，协调推动社会治安综合治理，承担民兵预备役、征兵、民防工作。</w:t>
      </w:r>
    </w:p>
    <w:p>
      <w:pPr>
        <w:pStyle w:val="2"/>
        <w:ind w:firstLine="560"/>
        <w:rPr>
          <w:rFonts w:hint="eastAsia" w:ascii="仿宋" w:hAnsi="仿宋" w:eastAsia="仿宋" w:cs="仿宋"/>
          <w:sz w:val="32"/>
          <w:szCs w:val="32"/>
        </w:rPr>
      </w:pPr>
      <w:r>
        <w:rPr>
          <w:rFonts w:hint="eastAsia" w:ascii="仿宋" w:hAnsi="仿宋" w:eastAsia="仿宋" w:cs="仿宋"/>
          <w:sz w:val="32"/>
          <w:szCs w:val="32"/>
        </w:rPr>
        <w:t>⑧</w:t>
      </w:r>
      <w:r>
        <w:rPr>
          <w:rFonts w:hint="eastAsia" w:ascii="仿宋" w:hAnsi="仿宋" w:eastAsia="仿宋" w:cs="仿宋"/>
          <w:sz w:val="32"/>
          <w:szCs w:val="32"/>
        </w:rPr>
        <w:t>承办区委交办的其他事项。</w:t>
      </w:r>
    </w:p>
    <w:p>
      <w:pPr>
        <w:pStyle w:val="2"/>
        <w:ind w:firstLine="56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rPr>
        <w:t>街道办事处主要职责</w:t>
      </w:r>
    </w:p>
    <w:p>
      <w:pPr>
        <w:pStyle w:val="2"/>
        <w:ind w:firstLine="560"/>
        <w:rPr>
          <w:rFonts w:hint="eastAsia"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sz w:val="32"/>
          <w:szCs w:val="32"/>
        </w:rPr>
        <w:t>贯彻执行法律、法规、规章和市、区政府的决策部署，依法管理基层公共事务。</w:t>
      </w:r>
    </w:p>
    <w:p>
      <w:pPr>
        <w:pStyle w:val="2"/>
        <w:ind w:firstLine="560"/>
        <w:rPr>
          <w:rFonts w:hint="eastAsia" w:ascii="仿宋" w:hAnsi="仿宋" w:eastAsia="仿宋" w:cs="仿宋"/>
          <w:sz w:val="32"/>
          <w:szCs w:val="32"/>
        </w:rPr>
      </w:pPr>
      <w:r>
        <w:rPr>
          <w:rFonts w:hint="eastAsia" w:ascii="仿宋" w:hAnsi="仿宋" w:eastAsia="仿宋" w:cs="仿宋"/>
          <w:sz w:val="32"/>
          <w:szCs w:val="32"/>
        </w:rPr>
        <w:t>②</w:t>
      </w:r>
      <w:r>
        <w:rPr>
          <w:rFonts w:hint="eastAsia" w:ascii="仿宋" w:hAnsi="仿宋" w:eastAsia="仿宋" w:cs="仿宋"/>
          <w:sz w:val="32"/>
          <w:szCs w:val="32"/>
        </w:rPr>
        <w:t>承担辖区市容环境卫生、绿化美化的管理工作，推进街巷长、河长制工作，组织、协调城市管理综合执法和环境秩序综合治理工作，推进城市精细化管理。</w:t>
      </w:r>
    </w:p>
    <w:p>
      <w:pPr>
        <w:pStyle w:val="2"/>
        <w:ind w:firstLine="560"/>
        <w:rPr>
          <w:rFonts w:hint="eastAsia" w:ascii="仿宋" w:hAnsi="仿宋" w:eastAsia="仿宋" w:cs="仿宋"/>
          <w:sz w:val="32"/>
          <w:szCs w:val="32"/>
        </w:rPr>
      </w:pPr>
      <w:r>
        <w:rPr>
          <w:rFonts w:hint="eastAsia" w:ascii="仿宋" w:hAnsi="仿宋" w:eastAsia="仿宋" w:cs="仿宋"/>
          <w:sz w:val="32"/>
          <w:szCs w:val="32"/>
        </w:rPr>
        <w:t>③</w:t>
      </w:r>
      <w:r>
        <w:rPr>
          <w:rFonts w:hint="eastAsia" w:ascii="仿宋" w:hAnsi="仿宋" w:eastAsia="仿宋" w:cs="仿宋"/>
          <w:sz w:val="32"/>
          <w:szCs w:val="32"/>
        </w:rPr>
        <w:t>协助依法履行安全生产、消防安全、食品安全、环境保护、劳动保障、流动人口及出租房屋监督管理工作，承担辖区应急、防汛和防灾减灾工作。</w:t>
      </w:r>
    </w:p>
    <w:p>
      <w:pPr>
        <w:pStyle w:val="2"/>
        <w:ind w:firstLine="560"/>
        <w:rPr>
          <w:rFonts w:hint="eastAsia" w:ascii="仿宋" w:hAnsi="仿宋" w:eastAsia="仿宋" w:cs="仿宋"/>
          <w:sz w:val="32"/>
          <w:szCs w:val="32"/>
        </w:rPr>
      </w:pPr>
      <w:r>
        <w:rPr>
          <w:rFonts w:hint="eastAsia" w:ascii="仿宋" w:hAnsi="仿宋" w:eastAsia="仿宋" w:cs="仿宋"/>
          <w:sz w:val="32"/>
          <w:szCs w:val="32"/>
        </w:rPr>
        <w:t>④</w:t>
      </w:r>
      <w:r>
        <w:rPr>
          <w:rFonts w:hint="eastAsia" w:ascii="仿宋" w:hAnsi="仿宋" w:eastAsia="仿宋" w:cs="仿宋"/>
          <w:sz w:val="32"/>
          <w:szCs w:val="32"/>
        </w:rPr>
        <w:t>参与制定并组织实施社区建设规划和公共服务设施规划，组织辖区单位、居民和志愿者队伍为社区发展服务。</w:t>
      </w:r>
    </w:p>
    <w:p>
      <w:pPr>
        <w:pStyle w:val="2"/>
        <w:ind w:firstLine="560"/>
        <w:rPr>
          <w:rFonts w:hint="eastAsia" w:ascii="仿宋" w:hAnsi="仿宋" w:eastAsia="仿宋" w:cs="仿宋"/>
          <w:sz w:val="32"/>
          <w:szCs w:val="32"/>
        </w:rPr>
      </w:pPr>
      <w:r>
        <w:rPr>
          <w:rFonts w:hint="eastAsia" w:ascii="仿宋" w:hAnsi="仿宋" w:eastAsia="仿宋" w:cs="仿宋"/>
          <w:sz w:val="32"/>
          <w:szCs w:val="32"/>
        </w:rPr>
        <w:t>⑤</w:t>
      </w:r>
      <w:r>
        <w:rPr>
          <w:rFonts w:hint="eastAsia" w:ascii="仿宋" w:hAnsi="仿宋" w:eastAsia="仿宋" w:cs="仿宋"/>
          <w:sz w:val="32"/>
          <w:szCs w:val="32"/>
        </w:rPr>
        <w:t>负责社区居民委员会建设，指导社区居民委员会工作，培育、发展社区社会组织，指导、监督社区业主委员会。</w:t>
      </w:r>
    </w:p>
    <w:p>
      <w:pPr>
        <w:pStyle w:val="2"/>
        <w:ind w:firstLine="560"/>
        <w:rPr>
          <w:rFonts w:hint="eastAsia" w:ascii="仿宋" w:hAnsi="仿宋" w:eastAsia="仿宋" w:cs="仿宋"/>
          <w:sz w:val="32"/>
          <w:szCs w:val="32"/>
        </w:rPr>
      </w:pPr>
      <w:r>
        <w:rPr>
          <w:rFonts w:hint="eastAsia" w:ascii="仿宋" w:hAnsi="仿宋" w:eastAsia="仿宋" w:cs="仿宋"/>
          <w:sz w:val="32"/>
          <w:szCs w:val="32"/>
        </w:rPr>
        <w:t>⑥</w:t>
      </w:r>
      <w:r>
        <w:rPr>
          <w:rFonts w:hint="eastAsia" w:ascii="仿宋" w:hAnsi="仿宋" w:eastAsia="仿宋" w:cs="仿宋"/>
          <w:sz w:val="32"/>
          <w:szCs w:val="32"/>
        </w:rPr>
        <w:t>推进居民自治，动员社会力量参与社区治理，推动形成社区共治合力。向上级政府反映社情民意。</w:t>
      </w:r>
    </w:p>
    <w:p>
      <w:pPr>
        <w:pStyle w:val="2"/>
        <w:ind w:firstLine="560"/>
        <w:rPr>
          <w:rFonts w:hint="eastAsia" w:ascii="仿宋" w:hAnsi="仿宋" w:eastAsia="仿宋" w:cs="仿宋"/>
          <w:sz w:val="32"/>
          <w:szCs w:val="32"/>
        </w:rPr>
      </w:pPr>
      <w:r>
        <w:rPr>
          <w:rFonts w:hint="eastAsia" w:ascii="仿宋" w:hAnsi="仿宋" w:eastAsia="仿宋" w:cs="仿宋"/>
          <w:sz w:val="32"/>
          <w:szCs w:val="32"/>
        </w:rPr>
        <w:t>⑦</w:t>
      </w:r>
      <w:r>
        <w:rPr>
          <w:rFonts w:hint="eastAsia" w:ascii="仿宋" w:hAnsi="仿宋" w:eastAsia="仿宋" w:cs="仿宋"/>
          <w:sz w:val="32"/>
          <w:szCs w:val="32"/>
        </w:rPr>
        <w:t>组织开展群众性文化、体育、科普活动，开展法治宣传和社会公德教育，推动社区公益事业发展。</w:t>
      </w:r>
    </w:p>
    <w:p>
      <w:pPr>
        <w:pStyle w:val="2"/>
        <w:ind w:firstLine="560"/>
        <w:rPr>
          <w:rFonts w:hint="eastAsia" w:ascii="仿宋" w:hAnsi="仿宋" w:eastAsia="仿宋" w:cs="仿宋"/>
          <w:sz w:val="32"/>
          <w:szCs w:val="32"/>
        </w:rPr>
      </w:pPr>
      <w:r>
        <w:rPr>
          <w:rFonts w:hint="eastAsia" w:ascii="仿宋" w:hAnsi="仿宋" w:eastAsia="仿宋" w:cs="仿宋"/>
          <w:sz w:val="32"/>
          <w:szCs w:val="32"/>
        </w:rPr>
        <w:t>⑧</w:t>
      </w:r>
      <w:r>
        <w:rPr>
          <w:rFonts w:hint="eastAsia" w:ascii="仿宋" w:hAnsi="仿宋" w:eastAsia="仿宋" w:cs="仿宋"/>
          <w:sz w:val="32"/>
          <w:szCs w:val="32"/>
        </w:rPr>
        <w:t>组织开展公共服务，落实人力社保、民政、卫生健康、教育、住房保障、便民服务等政策，维护老年人、妇女、未成年人、残疾人等合法权益。</w:t>
      </w:r>
    </w:p>
    <w:p>
      <w:pPr>
        <w:pStyle w:val="2"/>
        <w:ind w:firstLine="560"/>
        <w:rPr>
          <w:rFonts w:hint="eastAsia" w:ascii="仿宋" w:hAnsi="仿宋" w:eastAsia="仿宋" w:cs="仿宋"/>
          <w:sz w:val="32"/>
          <w:szCs w:val="32"/>
        </w:rPr>
      </w:pPr>
      <w:r>
        <w:rPr>
          <w:rFonts w:hint="eastAsia" w:ascii="仿宋" w:hAnsi="仿宋" w:eastAsia="仿宋" w:cs="仿宋"/>
          <w:sz w:val="32"/>
          <w:szCs w:val="32"/>
        </w:rPr>
        <w:t>⑨</w:t>
      </w:r>
      <w:r>
        <w:rPr>
          <w:rFonts w:hint="eastAsia" w:ascii="仿宋" w:hAnsi="仿宋" w:eastAsia="仿宋" w:cs="仿宋"/>
          <w:sz w:val="32"/>
          <w:szCs w:val="32"/>
        </w:rPr>
        <w:t>负责联系、服务辖区单位，营造良好的营商环境。</w:t>
      </w:r>
    </w:p>
    <w:p>
      <w:pPr>
        <w:pStyle w:val="2"/>
        <w:ind w:firstLine="560"/>
        <w:rPr>
          <w:rFonts w:hint="eastAsia" w:ascii="仿宋" w:hAnsi="仿宋" w:eastAsia="仿宋" w:cs="仿宋"/>
          <w:sz w:val="32"/>
          <w:szCs w:val="32"/>
        </w:rPr>
      </w:pPr>
      <w:r>
        <w:rPr>
          <w:rFonts w:hint="eastAsia" w:ascii="仿宋" w:hAnsi="仿宋" w:eastAsia="仿宋" w:cs="仿宋"/>
          <w:sz w:val="32"/>
          <w:szCs w:val="32"/>
        </w:rPr>
        <w:t>⑩</w:t>
      </w:r>
      <w:r>
        <w:rPr>
          <w:rFonts w:hint="eastAsia" w:ascii="仿宋" w:hAnsi="仿宋" w:eastAsia="仿宋" w:cs="仿宋"/>
          <w:sz w:val="32"/>
          <w:szCs w:val="32"/>
        </w:rPr>
        <w:t>承办区政府交办的其他事项。</w:t>
      </w:r>
    </w:p>
    <w:p>
      <w:pPr>
        <w:pStyle w:val="2"/>
        <w:ind w:firstLine="56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rPr>
        <w:t>纪律检查工作委员会（监察组）职责</w:t>
      </w:r>
    </w:p>
    <w:p>
      <w:pPr>
        <w:pStyle w:val="2"/>
        <w:ind w:firstLine="560"/>
        <w:rPr>
          <w:rFonts w:hint="eastAsia" w:ascii="仿宋" w:hAnsi="仿宋" w:eastAsia="仿宋" w:cs="仿宋"/>
          <w:sz w:val="32"/>
          <w:szCs w:val="32"/>
        </w:rPr>
      </w:pPr>
      <w:r>
        <w:rPr>
          <w:rFonts w:hint="eastAsia" w:ascii="仿宋" w:hAnsi="仿宋" w:eastAsia="仿宋" w:cs="仿宋"/>
          <w:sz w:val="32"/>
          <w:szCs w:val="32"/>
        </w:rPr>
        <w:t>街道纪律检查工作委员会是区纪律检查委员会的派出机构，监察组是区监察委员会的派出机构，与纪律检查工作委员会合署办公。</w:t>
      </w:r>
    </w:p>
    <w:p>
      <w:pPr>
        <w:pStyle w:val="2"/>
        <w:ind w:firstLine="560"/>
        <w:rPr>
          <w:rFonts w:hint="eastAsia" w:ascii="仿宋" w:hAnsi="仿宋" w:eastAsia="仿宋" w:cs="仿宋"/>
          <w:sz w:val="32"/>
          <w:szCs w:val="32"/>
        </w:rPr>
      </w:pPr>
      <w:r>
        <w:rPr>
          <w:rFonts w:hint="eastAsia" w:ascii="仿宋" w:hAnsi="仿宋" w:eastAsia="仿宋" w:cs="仿宋"/>
          <w:sz w:val="32"/>
          <w:szCs w:val="32"/>
        </w:rPr>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三重一大”事项的决策、实施进行监督。负责社区纪检专员日常管理和业务指导工作。根据授权，依法对街道管辖范围内行使公权力的公职人员进行监督检查，提出监察建议。协助区监委开展调查工作。</w:t>
      </w:r>
    </w:p>
    <w:p>
      <w:pPr>
        <w:pStyle w:val="2"/>
        <w:ind w:firstLine="56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rPr>
        <w:t>安全生产工作职责</w:t>
      </w:r>
    </w:p>
    <w:p>
      <w:pPr>
        <w:pStyle w:val="2"/>
        <w:ind w:firstLine="560"/>
        <w:rPr>
          <w:rFonts w:hint="eastAsia"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sz w:val="32"/>
          <w:szCs w:val="32"/>
        </w:rPr>
        <w:t>落实安全生产属地管理责任，贯彻执行安全生产法律、法规、规章，建立健全安全生产“党政同责、一岗双责”的安全生产责任体系及辖区安全管理制度。</w:t>
      </w:r>
    </w:p>
    <w:p>
      <w:pPr>
        <w:pStyle w:val="2"/>
        <w:ind w:firstLine="560"/>
        <w:rPr>
          <w:rFonts w:hint="eastAsia" w:ascii="仿宋" w:hAnsi="仿宋" w:eastAsia="仿宋" w:cs="仿宋"/>
          <w:sz w:val="32"/>
          <w:szCs w:val="32"/>
        </w:rPr>
      </w:pPr>
      <w:r>
        <w:rPr>
          <w:rFonts w:hint="eastAsia" w:ascii="仿宋" w:hAnsi="仿宋" w:eastAsia="仿宋" w:cs="仿宋"/>
          <w:sz w:val="32"/>
          <w:szCs w:val="32"/>
        </w:rPr>
        <w:t>②</w:t>
      </w:r>
      <w:r>
        <w:rPr>
          <w:rFonts w:hint="eastAsia" w:ascii="仿宋" w:hAnsi="仿宋" w:eastAsia="仿宋" w:cs="仿宋"/>
          <w:sz w:val="32"/>
          <w:szCs w:val="32"/>
        </w:rPr>
        <w:t>推进辖区安全生产预防控制体系、隐患排查治理体系建设，协助有关部门开展辖区安全风险评估、城市安全隐患治理和企业隐患排查治理工作。</w:t>
      </w:r>
    </w:p>
    <w:p>
      <w:pPr>
        <w:pStyle w:val="2"/>
        <w:ind w:firstLine="560"/>
        <w:rPr>
          <w:rFonts w:hint="eastAsia" w:ascii="仿宋" w:hAnsi="仿宋" w:eastAsia="仿宋" w:cs="仿宋"/>
          <w:sz w:val="32"/>
          <w:szCs w:val="32"/>
        </w:rPr>
      </w:pPr>
      <w:r>
        <w:rPr>
          <w:rFonts w:hint="eastAsia" w:ascii="仿宋" w:hAnsi="仿宋" w:eastAsia="仿宋" w:cs="仿宋"/>
          <w:sz w:val="32"/>
          <w:szCs w:val="32"/>
        </w:rPr>
        <w:t>③</w:t>
      </w:r>
      <w:r>
        <w:rPr>
          <w:rFonts w:hint="eastAsia" w:ascii="仿宋" w:hAnsi="仿宋" w:eastAsia="仿宋" w:cs="仿宋"/>
          <w:sz w:val="32"/>
          <w:szCs w:val="32"/>
        </w:rPr>
        <w:t>对安全生产事故隐患或安全生产违法行为责令排除或改正，及时向安全生产监督管理部门和政府其他有关部门报告。</w:t>
      </w:r>
    </w:p>
    <w:p>
      <w:pPr>
        <w:pStyle w:val="2"/>
        <w:ind w:firstLine="560"/>
        <w:rPr>
          <w:rFonts w:hint="eastAsia" w:ascii="仿宋" w:hAnsi="仿宋" w:eastAsia="仿宋" w:cs="仿宋"/>
          <w:sz w:val="32"/>
          <w:szCs w:val="32"/>
        </w:rPr>
      </w:pPr>
      <w:r>
        <w:rPr>
          <w:rFonts w:hint="eastAsia" w:ascii="仿宋" w:hAnsi="仿宋" w:eastAsia="仿宋" w:cs="仿宋"/>
          <w:sz w:val="32"/>
          <w:szCs w:val="32"/>
        </w:rPr>
        <w:t>④</w:t>
      </w:r>
      <w:r>
        <w:rPr>
          <w:rFonts w:hint="eastAsia" w:ascii="仿宋" w:hAnsi="仿宋" w:eastAsia="仿宋" w:cs="仿宋"/>
          <w:sz w:val="32"/>
          <w:szCs w:val="32"/>
        </w:rPr>
        <w:t>建立完善辖区生产经营单位台账。监督、检查生产经营单位落实安全生产主体责任。</w:t>
      </w:r>
    </w:p>
    <w:p>
      <w:pPr>
        <w:pStyle w:val="2"/>
        <w:ind w:firstLine="560"/>
        <w:rPr>
          <w:rFonts w:hint="eastAsia" w:ascii="仿宋" w:hAnsi="仿宋" w:eastAsia="仿宋" w:cs="仿宋"/>
          <w:sz w:val="32"/>
          <w:szCs w:val="32"/>
        </w:rPr>
      </w:pPr>
      <w:r>
        <w:rPr>
          <w:rFonts w:hint="eastAsia" w:ascii="仿宋" w:hAnsi="仿宋" w:eastAsia="仿宋" w:cs="仿宋"/>
          <w:sz w:val="32"/>
          <w:szCs w:val="32"/>
        </w:rPr>
        <w:t>⑤</w:t>
      </w:r>
      <w:r>
        <w:rPr>
          <w:rFonts w:hint="eastAsia" w:ascii="仿宋" w:hAnsi="仿宋" w:eastAsia="仿宋" w:cs="仿宋"/>
          <w:sz w:val="32"/>
          <w:szCs w:val="32"/>
        </w:rPr>
        <w:t>加强和推进专职安全员队伍建设及日常管理工作。</w:t>
      </w:r>
    </w:p>
    <w:p>
      <w:pPr>
        <w:pStyle w:val="2"/>
        <w:ind w:firstLine="560"/>
        <w:rPr>
          <w:rFonts w:hint="eastAsia" w:ascii="仿宋" w:hAnsi="仿宋" w:eastAsia="仿宋" w:cs="仿宋"/>
          <w:sz w:val="32"/>
          <w:szCs w:val="32"/>
        </w:rPr>
      </w:pPr>
      <w:r>
        <w:rPr>
          <w:rFonts w:hint="eastAsia" w:ascii="仿宋" w:hAnsi="仿宋" w:eastAsia="仿宋" w:cs="仿宋"/>
          <w:sz w:val="32"/>
          <w:szCs w:val="32"/>
        </w:rPr>
        <w:t>⑥</w:t>
      </w:r>
      <w:r>
        <w:rPr>
          <w:rFonts w:hint="eastAsia" w:ascii="仿宋" w:hAnsi="仿宋" w:eastAsia="仿宋" w:cs="仿宋"/>
          <w:sz w:val="32"/>
          <w:szCs w:val="32"/>
        </w:rPr>
        <w:t>组织开展安全生产宣传教育以及安全社区建设工作。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⑦</w:t>
      </w:r>
      <w:r>
        <w:rPr>
          <w:rFonts w:hint="eastAsia" w:ascii="仿宋" w:hAnsi="仿宋" w:eastAsia="仿宋" w:cs="仿宋"/>
          <w:sz w:val="32"/>
          <w:szCs w:val="32"/>
        </w:rPr>
        <w:t>对以本街道工委、办事处名义承办的各类重大活动的安全工作承担主体责任。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⑧</w:t>
      </w:r>
      <w:r>
        <w:rPr>
          <w:rFonts w:hint="eastAsia" w:ascii="仿宋" w:hAnsi="仿宋" w:eastAsia="仿宋" w:cs="仿宋"/>
          <w:sz w:val="32"/>
          <w:szCs w:val="32"/>
        </w:rPr>
        <w:t>对本机关及所属单位的安全工作承担领导责任。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rPr>
        <w:t>环境保护工作职责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sz w:val="32"/>
          <w:szCs w:val="32"/>
        </w:rPr>
        <w:t>落实生态环境保护属地责任，严格实行“党政同责、一岗双责”。动员和组织社会力量积极参与并认真做好污染源普查工作，对重点领域污染源实施台账管理。配合区环境保护主管部门开展辖区污染源的监督和巡查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②</w:t>
      </w:r>
      <w:r>
        <w:rPr>
          <w:rFonts w:hint="eastAsia" w:ascii="仿宋" w:hAnsi="仿宋" w:eastAsia="仿宋" w:cs="仿宋"/>
          <w:sz w:val="32"/>
          <w:szCs w:val="32"/>
        </w:rPr>
        <w:t>负责辖区大气污染防治精细化管理推进工作。配合做好日常禁煤、控车减油、治污减排、清洁降尘等大气污染防治相关任务和政策措施。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③</w:t>
      </w:r>
      <w:r>
        <w:rPr>
          <w:rFonts w:hint="eastAsia" w:ascii="仿宋" w:hAnsi="仿宋" w:eastAsia="仿宋" w:cs="仿宋"/>
          <w:sz w:val="32"/>
          <w:szCs w:val="32"/>
        </w:rPr>
        <w:t>开展辖区有关水污染防治工作，督促供水单位定期监测、检测和评估辖区饮用水安全状况。落实河长制工作，配合有关部门开展河湖生态环境治理与保护工作。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④</w:t>
      </w:r>
      <w:r>
        <w:rPr>
          <w:rFonts w:hint="eastAsia" w:ascii="仿宋" w:hAnsi="仿宋" w:eastAsia="仿宋" w:cs="仿宋"/>
          <w:sz w:val="32"/>
          <w:szCs w:val="32"/>
        </w:rPr>
        <w:t>配合做好辖区土壤污染防治工作，发现在污染地块、疑似污染地块实施开发建设活动的，及时通报区环境保护主管部门调查处理。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⑤</w:t>
      </w:r>
      <w:r>
        <w:rPr>
          <w:rFonts w:hint="eastAsia" w:ascii="仿宋" w:hAnsi="仿宋" w:eastAsia="仿宋" w:cs="仿宋"/>
          <w:sz w:val="32"/>
          <w:szCs w:val="32"/>
        </w:rPr>
        <w:t>协助开展确定重点监管对象、划分监管等级、健全监管档案、采取差别化监管措施等环境监管工作。根据分工组织落实辖区的网格化环境监管责任。配合区环境保护主管部门开展环境保护监察执法。参与突发环境事件的应急准备、应急处置和事后恢复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⑥</w:t>
      </w:r>
      <w:r>
        <w:rPr>
          <w:rFonts w:hint="eastAsia" w:ascii="仿宋" w:hAnsi="仿宋" w:eastAsia="仿宋" w:cs="仿宋"/>
          <w:sz w:val="32"/>
          <w:szCs w:val="32"/>
        </w:rPr>
        <w:t>组织开展环境保护宣传工作，普及环境保护法律法规和科学知识。</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（二）部门整体绩效目标设立情况（</w:t>
      </w:r>
      <w:r>
        <w:rPr>
          <w:rFonts w:hint="eastAsia" w:ascii="仿宋" w:hAnsi="仿宋" w:eastAsia="仿宋" w:cs="仿宋"/>
          <w:color w:val="000000" w:themeColor="text1"/>
          <w:sz w:val="32"/>
          <w:szCs w:val="32"/>
          <w14:textFill>
            <w14:solidFill>
              <w14:schemeClr w14:val="tx1"/>
            </w14:solidFill>
          </w14:textFill>
        </w:rPr>
        <w:t>包括绩效目标设立依据、目标</w:t>
      </w:r>
      <w:r>
        <w:rPr>
          <w:rFonts w:hint="eastAsia" w:ascii="仿宋" w:hAnsi="仿宋" w:eastAsia="仿宋" w:cs="仿宋"/>
          <w:color w:val="000000" w:themeColor="text1"/>
          <w:sz w:val="32"/>
          <w:szCs w:val="32"/>
          <w14:textFill>
            <w14:solidFill>
              <w14:schemeClr w14:val="tx1"/>
            </w14:solidFill>
          </w14:textFill>
        </w:rPr>
        <w:t>与</w:t>
      </w:r>
      <w:r>
        <w:rPr>
          <w:rFonts w:hint="eastAsia" w:ascii="仿宋" w:hAnsi="仿宋" w:eastAsia="仿宋" w:cs="仿宋"/>
          <w:color w:val="000000" w:themeColor="text1"/>
          <w:sz w:val="32"/>
          <w:szCs w:val="32"/>
          <w14:textFill>
            <w14:solidFill>
              <w14:schemeClr w14:val="tx1"/>
            </w14:solidFill>
          </w14:textFill>
        </w:rPr>
        <w:t>职责任务匹配情况、目标合理性等</w:t>
      </w:r>
      <w:r>
        <w:rPr>
          <w:rFonts w:hint="eastAsia" w:ascii="仿宋" w:hAnsi="仿宋" w:eastAsia="仿宋" w:cs="仿宋"/>
          <w:sz w:val="32"/>
          <w:szCs w:val="32"/>
        </w:rPr>
        <w:t>）。</w:t>
      </w:r>
    </w:p>
    <w:p>
      <w:pPr>
        <w:pStyle w:val="2"/>
        <w:ind w:firstLine="42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rPr>
        <w:t>为进一步提高财政支出管理水平，检验财政支出预期目标实现程度，考核财政支出的经济性、效率性和效果性，为以后年度安排财政资金，科学配置财政资源提供重要支撑，根据《中共北京市委 北京市人民政府关于全面实施预算绩效管理的实施意见》（京发〔2019〕12号）、《北京市项目支出绩效评价管理办法》（京财绩效〔2020〕2146号）等有关规定的工作要求，北京市西城区人民政府月坛街道办事处（以下简称“月坛街道办事处”）成立绩效自评工作组，对2023年度部门整体支出的绩效情况开展绩效评价工作，形成整体支出绩效评价报告。</w:t>
      </w:r>
    </w:p>
    <w:p>
      <w:pPr>
        <w:rPr>
          <w:rFonts w:hint="eastAsia" w:ascii="仿宋" w:hAnsi="仿宋" w:eastAsia="仿宋" w:cs="仿宋"/>
          <w:sz w:val="32"/>
          <w:szCs w:val="32"/>
        </w:rPr>
      </w:pPr>
      <w:r>
        <w:rPr>
          <w:rFonts w:hint="eastAsia" w:ascii="仿宋" w:hAnsi="仿宋" w:eastAsia="仿宋" w:cs="仿宋"/>
          <w:sz w:val="32"/>
          <w:szCs w:val="32"/>
        </w:rPr>
        <w:t xml:space="preserve">    本次绩效评价严格按照《中共北京市委 北京市人民政府关于全面实施预算绩效管理的实施意见》（京发〔2019〕12号）、《北京市项目支出绩效评价管理办法》（京财绩效〔2020〕2146号）的要求开展工作。主要评价内容包括：月坛街道办事处2023年部门整体支出绩效目标以及项目支出绩效目标的设定情况、部门决策情况、部门资金投入、预算执行和管理情况、制度建立与执行情况，部门绩效目标的实现程度和财政支出的效果情况。同时，也关注部门资产管理、制度建设、部门履职以及预算绩效管理情况。</w:t>
      </w:r>
    </w:p>
    <w:p>
      <w:pPr>
        <w:pStyle w:val="2"/>
        <w:ind w:firstLine="560"/>
        <w:rPr>
          <w:rFonts w:hint="eastAsia" w:ascii="仿宋" w:hAnsi="仿宋" w:eastAsia="仿宋" w:cs="仿宋"/>
          <w:sz w:val="32"/>
          <w:szCs w:val="32"/>
        </w:rPr>
      </w:pPr>
      <w:r>
        <w:rPr>
          <w:rFonts w:hint="eastAsia" w:ascii="仿宋" w:hAnsi="仿宋" w:eastAsia="仿宋" w:cs="仿宋"/>
          <w:sz w:val="32"/>
          <w:szCs w:val="32"/>
        </w:rPr>
        <w:t>月坛街道办事处根据2023年度部门重点工作任务分解和部门年度工作计划制定了部门年度绩效目标，总体绩效目标为：</w:t>
      </w:r>
    </w:p>
    <w:p>
      <w:pPr>
        <w:pStyle w:val="2"/>
        <w:ind w:firstLine="560"/>
        <w:rPr>
          <w:rFonts w:hint="eastAsia" w:ascii="仿宋" w:hAnsi="仿宋" w:eastAsia="仿宋" w:cs="仿宋"/>
          <w:sz w:val="32"/>
          <w:szCs w:val="32"/>
        </w:rPr>
      </w:pPr>
      <w:r>
        <w:rPr>
          <w:rFonts w:hint="eastAsia" w:ascii="仿宋" w:hAnsi="仿宋" w:eastAsia="仿宋" w:cs="仿宋"/>
          <w:sz w:val="32"/>
          <w:szCs w:val="32"/>
        </w:rPr>
        <w:t>深入学习宣传贯彻党的十九大精神，坚持以习近平新时代中国特色社会主义思想为指引，深入落实首都城市战略定位，按照区委总体部署和要求，坚持稳中求进工作总基调，牢牢把握首都城市战略定位，认真落实京津冀协同发展战略，加快疏功能、转方式、治环境、补短板、促协同，全面做好促改革、调结构、惠民生、防风险各项工作，大力实施发展转型和管理转型，深入推进科学治理、全面提升发展品质，更好地保障首都职能履行、更好地服务市民生活宜居、更好地展现城市文化风采，2023年度重点做好以下工作：</w:t>
      </w:r>
    </w:p>
    <w:p>
      <w:pPr>
        <w:pStyle w:val="2"/>
        <w:ind w:firstLine="560"/>
        <w:rPr>
          <w:rFonts w:hint="eastAsia" w:ascii="仿宋" w:hAnsi="仿宋" w:eastAsia="仿宋" w:cs="仿宋"/>
          <w:sz w:val="32"/>
          <w:szCs w:val="32"/>
        </w:rPr>
      </w:pPr>
      <w:r>
        <w:rPr>
          <w:rFonts w:hint="eastAsia" w:ascii="仿宋" w:hAnsi="仿宋" w:eastAsia="仿宋" w:cs="仿宋"/>
          <w:sz w:val="32"/>
          <w:szCs w:val="32"/>
        </w:rPr>
        <w:t>1.牢牢扛起管党治党责任，推动全面从严治党向纵深发展。</w:t>
      </w:r>
    </w:p>
    <w:p>
      <w:pPr>
        <w:pStyle w:val="2"/>
        <w:ind w:firstLine="560"/>
        <w:rPr>
          <w:rFonts w:hint="eastAsia" w:ascii="仿宋" w:hAnsi="仿宋" w:eastAsia="仿宋" w:cs="仿宋"/>
          <w:sz w:val="32"/>
          <w:szCs w:val="32"/>
        </w:rPr>
      </w:pPr>
      <w:r>
        <w:rPr>
          <w:rFonts w:hint="eastAsia" w:ascii="仿宋" w:hAnsi="仿宋" w:eastAsia="仿宋" w:cs="仿宋"/>
          <w:sz w:val="32"/>
          <w:szCs w:val="32"/>
        </w:rPr>
        <w:t>2.以社会主义核心价值观为统领，推动辖区文化繁荣发展。</w:t>
      </w:r>
    </w:p>
    <w:p>
      <w:pPr>
        <w:pStyle w:val="2"/>
        <w:ind w:firstLine="560"/>
        <w:rPr>
          <w:rFonts w:hint="eastAsia" w:ascii="仿宋" w:hAnsi="仿宋" w:eastAsia="仿宋" w:cs="仿宋"/>
          <w:sz w:val="32"/>
          <w:szCs w:val="32"/>
        </w:rPr>
      </w:pPr>
      <w:r>
        <w:rPr>
          <w:rFonts w:hint="eastAsia" w:ascii="仿宋" w:hAnsi="仿宋" w:eastAsia="仿宋" w:cs="仿宋"/>
          <w:sz w:val="32"/>
          <w:szCs w:val="32"/>
        </w:rPr>
        <w:t>3.牢固树立安全意识，全力做好安全稳定工作。</w:t>
      </w:r>
    </w:p>
    <w:p>
      <w:pPr>
        <w:pStyle w:val="2"/>
        <w:ind w:firstLine="560"/>
        <w:rPr>
          <w:rFonts w:hint="eastAsia" w:ascii="仿宋" w:hAnsi="仿宋" w:eastAsia="仿宋" w:cs="仿宋"/>
          <w:sz w:val="32"/>
          <w:szCs w:val="32"/>
        </w:rPr>
      </w:pPr>
      <w:r>
        <w:rPr>
          <w:rFonts w:hint="eastAsia" w:ascii="仿宋" w:hAnsi="仿宋" w:eastAsia="仿宋" w:cs="仿宋"/>
          <w:sz w:val="32"/>
          <w:szCs w:val="32"/>
        </w:rPr>
        <w:t>4.积极创新社会治理方式，构建社会治理新格局。</w:t>
      </w:r>
    </w:p>
    <w:p>
      <w:pPr>
        <w:pStyle w:val="2"/>
        <w:ind w:firstLine="560"/>
        <w:rPr>
          <w:rFonts w:hint="eastAsia" w:ascii="仿宋" w:hAnsi="仿宋" w:eastAsia="仿宋" w:cs="仿宋"/>
          <w:sz w:val="32"/>
          <w:szCs w:val="32"/>
        </w:rPr>
      </w:pPr>
      <w:r>
        <w:rPr>
          <w:rFonts w:hint="eastAsia" w:ascii="仿宋" w:hAnsi="仿宋" w:eastAsia="仿宋" w:cs="仿宋"/>
          <w:sz w:val="32"/>
          <w:szCs w:val="32"/>
        </w:rPr>
        <w:t>5.推进“疏解整治促提升专项行动”，促进宜居月坛建设。</w:t>
      </w:r>
    </w:p>
    <w:p>
      <w:pPr>
        <w:pStyle w:val="2"/>
        <w:ind w:firstLine="560"/>
        <w:rPr>
          <w:rFonts w:hint="eastAsia" w:ascii="仿宋" w:hAnsi="仿宋" w:eastAsia="仿宋" w:cs="仿宋"/>
          <w:sz w:val="32"/>
          <w:szCs w:val="32"/>
        </w:rPr>
      </w:pPr>
      <w:r>
        <w:rPr>
          <w:rFonts w:hint="eastAsia" w:ascii="仿宋" w:hAnsi="仿宋" w:eastAsia="仿宋" w:cs="仿宋"/>
          <w:sz w:val="32"/>
          <w:szCs w:val="32"/>
        </w:rPr>
        <w:t>6.提高城市精细化管理水平，大力改善区域环境。</w:t>
      </w:r>
    </w:p>
    <w:p>
      <w:pPr>
        <w:pStyle w:val="2"/>
        <w:ind w:firstLine="560"/>
        <w:rPr>
          <w:rFonts w:hint="eastAsia" w:ascii="仿宋" w:hAnsi="仿宋" w:eastAsia="仿宋" w:cs="仿宋"/>
          <w:sz w:val="32"/>
          <w:szCs w:val="32"/>
        </w:rPr>
      </w:pPr>
      <w:r>
        <w:rPr>
          <w:rFonts w:hint="eastAsia" w:ascii="仿宋" w:hAnsi="仿宋" w:eastAsia="仿宋" w:cs="仿宋"/>
          <w:sz w:val="32"/>
          <w:szCs w:val="32"/>
        </w:rPr>
        <w:t>7.切实解决群众的实际问题，大力保障和改善民生。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（三）月坛街道绩效评价小组情况</w:t>
      </w:r>
    </w:p>
    <w:p>
      <w:pPr>
        <w:pStyle w:val="2"/>
        <w:ind w:firstLine="560"/>
        <w:rPr>
          <w:rFonts w:hint="eastAsia" w:ascii="仿宋" w:hAnsi="仿宋" w:eastAsia="仿宋" w:cs="仿宋"/>
          <w:sz w:val="32"/>
          <w:szCs w:val="32"/>
        </w:rPr>
      </w:pPr>
      <w:r>
        <w:rPr>
          <w:rFonts w:hint="eastAsia" w:ascii="仿宋" w:hAnsi="仿宋" w:eastAsia="仿宋" w:cs="仿宋"/>
          <w:sz w:val="32"/>
          <w:szCs w:val="32"/>
        </w:rPr>
        <w:t>1.工作分工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根据北京市财政局下发的《北京市财政局关于开展2024年预算绩效管理相关工作的函》的文件精神，我街道决定成立街道绩效评价自评工作领导小组，具体名单如下：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组长：杜鹃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副组长：周琳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组员：张欣媛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组长杜鹃主要负责组织安排绩效评价工作，承办、督办工作；监督绩效评价自评工作小组严格执行国家有关法律、法规和规章，按时、按质、按量完成绩效工作任务。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副组长周琳主要负责协助组长定期布置、检查、总结绩效评价工作，发现问题及时解决，提出绩效项目评价的有关建议，不断提高工作效率和管理质量。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员张欣媛负责真实准确的记录绩效评价工作事项，负责将绩效相关原始资料、文件、凭证、账本、绩效的工作底稿、自评报告、绩效报告、被绩效单位反馈意见及被绩效单位提供的各种资料进行整理、分类及数据信息和汇总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2.自评工作过程。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（1）由组长分配工作任务及安排考核时间，组织小组成员根据“三定”方案中所赋予的职责和年度承担的重点工作，对部门活动的设定在部门所确定的职责范围之内进行考核并评分。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（2）对部门活动符合党委、政府的发展规划及本部门的年度工作安排与发展规划进行考核并评分。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（3）对主要考核部门预算的合理性，即是否符合本部门职责、是否符合区委区政府的方针政策和工作要求，资金有无根据项目的轻重缓急进行分配进行考核并评分。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（4）对主要考核部门是否按规定对符合绩效目标申报项目进行了绩效目标申报，绩效目标申报工作是否及时、规范、完整进行考核并评分。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由财务工作人员对主要考核部门资金支出规范性，包括单位基本支出管理、项目（含专项工作经费）资金管理、费用支出等制度是否严格执行；会计核算是否存在支出依据不合规、虚列支出的情况；是否存在截留、挤占、挪用项目资金情况；是否存在超标准开支等情况进行检查考核并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（6）由财务工作人员辅助自评小组成员对单位的资产是否登记造册、保存完整、使用合规、配置合理、处置规范、收入及时足额上缴，用于反映和考核部门的资产管理和使用情况进行检查考核并评分。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（7）对主要考核部门项目工作完成及时性和质量情况进行检查考核并评分。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（8）对主要考核项目实施直接产生的社会、经济、政治效益，主要通过项目资金使用效果的个性指标完成的情况反映进行检查考核并评分。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（9）对部门提供依据反映社会公众或部门的服务对象对部门履职效果的满意度进行考核。</w:t>
      </w:r>
    </w:p>
    <w:p>
      <w:pPr>
        <w:spacing w:line="600" w:lineRule="exact"/>
        <w:ind w:left="105" w:leftChars="50" w:firstLine="480" w:firstLineChars="150"/>
        <w:rPr>
          <w:rFonts w:hint="eastAsia" w:ascii="仿宋" w:hAnsi="仿宋" w:eastAsia="仿宋" w:cs="仿宋"/>
          <w:b w:val="0"/>
          <w:bCs/>
          <w:sz w:val="32"/>
          <w:szCs w:val="32"/>
        </w:rPr>
      </w:pPr>
      <w:r>
        <w:rPr>
          <w:rFonts w:hint="eastAsia" w:ascii="仿宋" w:hAnsi="仿宋" w:eastAsia="仿宋" w:cs="仿宋"/>
          <w:b w:val="0"/>
          <w:bCs/>
          <w:sz w:val="32"/>
          <w:szCs w:val="32"/>
        </w:rPr>
        <w:t>二、当年预算执行情况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2023年月坛街道办事处全年预算数4197.68万元，其中，基本支出预算数9840.48万元，项目支出预算数32097.2万元，其他支出预算数0万元。资金总体支出4197.68万元，其中，基本支出9840.48万元，项目支出32097.2万元，其他支出0万元。预算执行率为100%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2023年部门决算“三公”经费财政拨款支出0.43万元。其中，2023年财政拨款因公出国（境）费支出0万元；财政拨款公务接待费支出0万元；公务用车购置及运行维护费支出0.43万元，其中公务用车购置费0万元，公务用车运行维护费0.43万元。</w:t>
      </w:r>
    </w:p>
    <w:p>
      <w:pPr>
        <w:spacing w:line="600" w:lineRule="exact"/>
        <w:ind w:left="105" w:leftChars="50" w:firstLine="480" w:firstLineChars="150"/>
        <w:rPr>
          <w:rFonts w:hint="eastAsia" w:ascii="仿宋" w:hAnsi="仿宋" w:eastAsia="仿宋" w:cs="仿宋"/>
          <w:b w:val="0"/>
          <w:bCs/>
          <w:sz w:val="32"/>
          <w:szCs w:val="32"/>
        </w:rPr>
      </w:pPr>
      <w:r>
        <w:rPr>
          <w:rFonts w:hint="eastAsia" w:ascii="仿宋" w:hAnsi="仿宋" w:eastAsia="仿宋" w:cs="仿宋"/>
          <w:b w:val="0"/>
          <w:bCs/>
          <w:sz w:val="32"/>
          <w:szCs w:val="32"/>
        </w:rPr>
        <w:t>三、整体绩效目标实现情况</w:t>
      </w:r>
    </w:p>
    <w:p>
      <w:pPr>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（一）产出完成情况分析</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1.产出数量及产出质量</w:t>
      </w:r>
    </w:p>
    <w:p>
      <w:pPr>
        <w:pStyle w:val="2"/>
        <w:ind w:firstLine="560"/>
        <w:rPr>
          <w:rFonts w:hint="eastAsia" w:ascii="仿宋" w:hAnsi="仿宋" w:eastAsia="仿宋" w:cs="仿宋"/>
          <w:sz w:val="32"/>
          <w:szCs w:val="32"/>
        </w:rPr>
      </w:pPr>
      <w:r>
        <w:rPr>
          <w:rFonts w:hint="eastAsia" w:ascii="仿宋" w:hAnsi="仿宋" w:eastAsia="仿宋" w:cs="仿宋"/>
          <w:sz w:val="32"/>
          <w:szCs w:val="32"/>
        </w:rPr>
        <w:t>2023年度纳入部门预算管理的监控项目共218个，其中：项目预算执行率100%以上16个；预算执行率90%以上17个；</w:t>
      </w:r>
    </w:p>
    <w:p>
      <w:pPr>
        <w:pStyle w:val="2"/>
        <w:ind w:firstLine="560"/>
        <w:rPr>
          <w:rFonts w:hint="eastAsia" w:ascii="仿宋" w:hAnsi="仿宋" w:eastAsia="仿宋" w:cs="仿宋"/>
          <w:sz w:val="32"/>
          <w:szCs w:val="32"/>
        </w:rPr>
      </w:pPr>
      <w:r>
        <w:rPr>
          <w:rFonts w:hint="eastAsia" w:ascii="仿宋" w:hAnsi="仿宋" w:eastAsia="仿宋" w:cs="仿宋"/>
          <w:sz w:val="32"/>
          <w:szCs w:val="32"/>
        </w:rPr>
        <w:t>预算执行率50%-90%为34个；预算执行率50%以下（不含0%）为114个；预算执行率为0的37个。</w:t>
      </w:r>
    </w:p>
    <w:p>
      <w:pPr>
        <w:pStyle w:val="2"/>
        <w:ind w:firstLine="560"/>
        <w:rPr>
          <w:rFonts w:hint="eastAsia" w:ascii="仿宋" w:hAnsi="仿宋" w:eastAsia="仿宋" w:cs="仿宋"/>
          <w:sz w:val="32"/>
          <w:szCs w:val="32"/>
        </w:rPr>
      </w:pPr>
      <w:r>
        <w:rPr>
          <w:rFonts w:hint="eastAsia" w:ascii="仿宋" w:hAnsi="仿宋" w:eastAsia="仿宋" w:cs="仿宋"/>
          <w:sz w:val="32"/>
          <w:szCs w:val="32"/>
        </w:rPr>
        <w:t>2023年度月坛街道整体绩效产出目标完成情况如下：</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坚持党建引领，勇担职责使命完成重点工作</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1）系统扎实推动主题教育走深走实。深学细悟，不断加强理论学习。处级领导班子开局领学，5天集中学习、专题研讨；机关、社区、“两新”党组织以党支部为单位，利用集体学、个人学、小组学等多种形式，读书、听课、交流、调研等多种方法，“月读+”、党群服务中心、西城党校月坛分校等多种载体，累计开展集体学习115次，主题党日活动47次，支部书记讲党课25次，集中培训13期，共计15000人次参与其中。坚持“三必看”、“三回头”，采取书记主任“双调研”、现场推进会等方式开展集体调研，制定调查研究工作手册及实施方案。着力推进“红墙先锋工程”和“双提升”工程与主题教育深度融合、统筹衔接，吸收转化街道“工作效能水平提升”专班在建章立制方面的成果，梳理形成理论学习、政治素质、能力本领、担当作为、工作作风、廉洁自律等6个方面的8个突出问题，进一步明确整改措施、整改目标、整改时限、牵头总负责人和责任部门，进行台账式管理、项目化推进。总结梳理出33项机制制度，其中街道级项目13个，大办级项目16个，社区级项目4个，“接诉即办新十条”、“新邻心悦”、“无围墙养老服务联合体”29项机制制度已完成建立。</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2）全面深入促进“两个工程”落地见效。通过组织街道领导班子每月一次集中研讨、街道各党支部每月一次外出调研交流、每月一次月末讲堂、每月一期赋能分享“四个一”持续推动干部素质能力提升。组织“吐槽会”、三级干部“恳谈会”，以工作中的难点、堵点为切入口谈现象、说原因、找不足；邀请包片处级领导、社区专员、居民代表、地区单位代表开展“交心会”，深挖各社区在基层治理方面存在的物管会向业委会转化、社会资源整合等个性问题，推进社区治理效能提升；28名青年干部开展交流会，分享入职以来遇到的问题、难点，处理解决问题的经验、做法，交流提升自身素养、工作效能水平的计划；打造关于如何赋予“无围墙敬老院”品牌新的内涵等18门课程“微讲堂”，街道处级领导、科长、老同志、年轻干部纷纷化身“导师”，分享自己的亲身经历和工作感悟。坚持以知促行，街道处级领导召开“思想汇”、大办部门召开“会商汇”共同分享工作中的堵点、难点，汇总建立大应急理念等8个议题、14个难点问题。开展“揭榜挂帅”大调研、青年干部大调研等活动，根据查摆汇总出的问题、现象，街道处级领导、青年干部结合自身工作，对“高质量推进月坛地区央地联动的思考与研究”“关于接诉即办工作的思考与研究”“关于执法工作中轻普法现象的研究”等“9+41”个课题，深入社区开展调查研究，形成一批案例和机制制度。</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（3）共建联建凝聚基层治理强大合力。深入推进央地联动，依托街道党建工作协调委员会，进一步汇聚党建合力。实施“大部委牵手小社区 携手共当红墙先锋”五大类联学共建项目，制定“红墙先锋工程”联学共建项目细化落实清单，共计22项具体落实措施。联手广电数字电影节目管理中心、首都博物馆等地区单位，为党员群众提供电影片源、伟大征程特展等丰富资源，建设开在家门口的电影院，全年播放红色主题、儿童成长、励志电影等200余场接待190多家单位及社区党支部和个人党员群众近1万人次参观学习。持续与国家图书馆合作，引进数字资源阅读终端，图书1.5万册，打造“三里月新”阅读空间，服务1.5万余人次。针对暑期儿童自习室需求，和学生课后作业辅导需要，延长中心开放时间。开展“爱心捐书”活动，打造共建共享的“初心书苑”。推出“小积分”换“大能量”积分奖励兑换机制，充分激发志愿者力量，恒华七月党群服务中心每月定期开展“七月公益”志愿活动，三里月新党群服务中心积极开展志愿服务“捎带手”，为老人服务超过200余次。发起基层治理“随手拍”活动，全年240余人参与其中，日均上报问题线索约11条，反馈公共设施、环境卫生和安全防范等问题3688余次，第一时间落实解决618件。创新项目示范点与街道党群服务中心“结对子”联系机制，健全完善联系党外人士制度，扎实做好各项统战工作。在56个业委会建立临时党支部，覆盖党员190人，强化党建引领地区物业管理。26个社区与“双报到”单位党组织对接并形成44个为民办实事项目，16个入选全区百件实事项目。开展“社区统一行动日”活动，发动地区单位、结对单位及机关党支部以整建制报到的形式到社区报到开展志愿服务，截至10月31日，各社区党委利用“红墙先锋报到”平台累计注册志愿者5838人，发起739个志愿服务活动，20000余人次参与社区志愿服务。</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以保一方平安为目标，妥善防范化解风险挑战</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1）全面保障好各类重大活动。以责无旁贷的使命感和扎实有效的举措，锲而不舍、久久为功，在提升“四个服务”水平上持续下功夫。高标准完成全国“两会”期间天泰宾馆、职工之家两个代表住地、“一带一路”国际合作高峰论坛等多个重大活动服务保障任务，确保辖区社会面秩序良好。按照区、街、社区统一指挥、三级联动、协同高效的组织指挥体系，深化固化重大活动服务保障组织设计、制度安排、工作流程、资源支撑、社会动员等经验做法，按照“精精益求精，万万无一失，一失为负”的更高要求，把基础保障能力建设有机融入街道日常工作中，无缝衔接做好平战转换。牵头组织西单交通大队、执法小分队、综合执法中心等部门，持续开展儿童医院周边、白云观观前街“并肩治乱”专项行动、社会治安秩序综合整治行动。持续深入开展扫黑除恶重点行业整治，发放宣传海报7800张，为行业整治营造良好的社会舆论环境。</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（2）全面推进法治政府建设。建设专项法律服务线上线下普法阵地，共开展街道级普法活动10场，社区普法活动132场，登记法律咨询工单3040条，其中“宣传家庭教育法 助力开学第一课”普法活动获得央媒报道。推行“党建+”工作模式，依托“恒华七月党群中心”，围绕街道调委会、社区调委会以及12345调解案件中的突出矛盾纠纷，开展“普法直通车”活动，实现法院与街道调委会、社区调委会三级联合，截至目前调处矛盾纠纷393起。发挥政府法律顾问对街道重大决策、合同签订等进行法律审查的作用，共审核合同420件，提升街道合同合法性审查效能，助力法治政府建设。</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3）深入开展安全生产和火灾隐患大排查大整治大提升工作。加强施工工地安全监管，全年共检查施工单位740家，发现问题隐患1670处。开展动火作业专项检查，共计检查动火作业现场198处，指导动火作业单位主动填写“企安安”火灾隐患管理中动火报备模块。企安安正式库企业数量1327家，使用企安安企事业单位开展自查自纠和部门检查覆盖率均达到动态100%。企业使用企安安共开展自查自改6533家次，自查隐患616项，已整改616项，整改率100%。部门及企业自查隐患2813项，整改2813项，整改率100%。深刻汲取4.18丰台长峰医院火灾事故教训，迅速在医疗机构、养老机构、学校、大型商业综合体等人密场所开展安全生产和消防隐患排查治理，紧盯施工地、燃气、有限空间等重点领域开展专项检查。新增集中电动自行车充电设施28处（200个插口），为辖区重点区域消防安全重点人员配置消防安全四件套1930套、加装联网式感烟报警器2311个，配置防火通道机动车移车器90套，有效降低火灾风险隐患，辖区安全生产形势总体平稳。全力保障个人违规电动三四轮车年底前有序退出，截至目前，已回收淘汰处置居民个人车辆1322辆，达到上账底数的91.9%。</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不断完善体制机制，提升治理“精细化”水平</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1）不断提升基层治理水平。今年三里河一区2号院、三里河一区3号院、真武庙二条7号院等9个央产老旧小区，由房屋权属单位作为实施主体开展改造工作，占央产小区总量的7.8%。向区老旧小区联席会议申报15个市、区属老旧小区21栋楼，建筑面积15.07万平方米，纳入老旧小区综合整治范围，持续抓好方案细化完善、确定实施主体等前期准备工作，积极落实改造内容，推进项目开工。南沙沟小区、西便门外大街10号院、真武庙五里3号院和三里河南七巷1号院小区分别被评为西城区第三批、第四批“最美院落”。第一批10条优美街巷已上报市里等待验收。强化大气污染防治，1-10月PM2.5指数排名全区最优，TSP指数排名位居全区前列，降尘量显著改善。街道级河长共巡河1912人次、8270公里，其他人员巡河人数超过6000人次，全力做好水质监测和环境保护工作。截至目前，共拆除违法建设94处,拆除面积5663.78平方米，占全年任务的97.7%。</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2）不断加强城市精细化水平。全年9项拟为群众办实事项目，已完成8项，其中三里河一区1-19号楼小区路面改造工程和三里河横三条东段道路面和污水管线改造已全部完成，小区铺设透水砖、铺设沥青、柏油路面，大幅改善通行条件及周边环境品质，为48处老旧小区楼门更换安装防盗门禁（原计划20处），复外社区儿童活动空间项目正在稳步推进实施，得到居民一致好评。4个小微空间改造已经全部完成施工，是全区改造点位最多的街道，涉及三里河三区、公安社区、地藏庵南巷、五金家属院，改造面积共计 2910.63 平方米。在三里河南二巷、南四巷安装违停摄像头，设置单行线，在南二巷和南一巷实现交通微循环。在南、北两口设立禁停标识，设立共享单车电子围栏和制作禁止停放共享单车牌，利用技术执法手段，使国家部委周边机动车违停情况大幅降低，非机动车停放数量明显减少，交通秩序改善成效显著。</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3）两个“关键小事”扎实推进。全面指导物管会重新组建工作，稳妥有序引导群众参与，54个物管会已重新组建。与汇灵物业签订《“大部委牵手小社区”物业治理项目框架协议》，以党建引领为抓手，促进物业单位与社区党委共同提升小区整体环境。在“三供一业”小区，建立街道、物业、社区三方沟通交流互动微信群，凝聚小区管理共识，及时化解居民反映的房屋维修、卫生死角等问题，提升服务质量。全年创建大件和可回收物垃圾示范社区2个、达标小区62个，定时定点投放实验小区3个。</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4）扎实推进更高水平文明城区创建。设立街道创城实地组，每周对社区进行实地检查，针对发现重点问题，召开建设专题调度例会，明确责任分工，实时追踪跟进，确保闭环整改。全力开展“文明晾晒”“文明养犬”“废旧非机动车置换”等专项工作，坚持宣传为先、劝导为主，在重点时段、点位定期巡查，对发现的“乱晾晒”行为进行面对面宣传引导，定制安装267组公共晾衣架，统一设计张贴文明晾晒公约和公共晾晒区域标识。在公园广场、文明社区、景区景点等重要点位、显著位置新增设置造型别致的社会主义核心价值观景观小品11座，为月坛增色添彩。对440个宣传栏的破旧损坏情况进行实地摸排，新安装宣传栏49组，拆除15处，规范宣传内容322处，实现宣传栏扮靓焕新。</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强化思想理论武装，全面加强基层党的建设</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1）创新打造月坛特色党建品牌活动。三里月新党群服务中心入选首批北京市党群服务中心示范点，与恒华七月党群服务中心一同获评西城区“品质+”党群服务中心。与辖区单位联合组织“党群阵地@你”、开设“午间益小时”、“七月咖啡”、“月读+”等系列特色活动，全年开展活动106次，惠及党员群众4572人次。通过“小哥驿站”持续为月坛小哥提供“能量补给”。以“党务+政务”为重点，设立西城区恒华七月政务服务站，将政务服务、政策服务等功能融入党群服务中心，利用会议室、商务洽谈区、阅读区等空间建设“开放式”服务平台，依托西城家园预约平台提供电子地图，并开通线上预约功能，为企业和群众提供就近就便的智能、优质、高效服务。聚焦关爱新业态新就业群体，擦亮“月坛小哥”党建品牌，街道工委承办“西城小哥”服务大集，设置“幸福小哥、快乐小哥、文明小哥、爱心小哥、学习小哥”五大体验场景，实现“享在西城、融在西城、安在西城、情在西城、赋在西城”等五大服务内容。深入推进“一社一品”建设，成立10个调研走访小组，下沉社区挖掘优秀党建品牌案例，26个社区挖掘收集30项社区优秀品牌案例，提炼出“联盟会商工作法”“零距离工作法”“走动式工作法”等特色工作亮点，并在26个社区分享推广。</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2）牢牢把握意识形态正确方向。严格按照市委、区委工作要求，完善落实《月坛街道党委意识形态工作责任制实施细则》，从监控到处理，从处理到反馈闭环，持续推进舆论环境整治工作。充分发挥政治理论学习的先导性、基础性作用，组织理论学习中心组集体学习23次。紧紧抓牢网络宣传阵地建设。制定《月坛街道微信公众号新闻线索报送工作制度》，进一步规范街道内部信息报送流程。紧紧围绕中心发展大局，结合学习贯彻党的二十大精神，围绕垃圾分类、消防安全、防灾减灾等主题进行知识科普，根据各工作实际开设“月学习、月动态、月服务”专栏，新增社区动态、街道活动、宣传普法等便民为民专栏，共发布信息推送807条，微信公众号“魅力月坛”成为月坛街道对外展示风采的重要平台。坚定不移用理论学习成果指导实践、推动工作，积极开展具有月坛特色的新时代文明实践活动，27个文明实践所（站）共开展党的二十大精神宣讲、垃圾分类宣讲、反电信防诈骗法律普及、非遗传承手工制作等文明实践活动1844场，通过榜样示范、文明引导，不断提高辖区文明程度和居民文明素养。</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3）着力建设高素质干部队伍。月坛街道现有基层党支部233个，党委29个，党员8700余人。2023年公务员退休12人、调出11人、调入2人、新入职3人，事业单位调出1人、新入职5人。聚焦支部标准化规范化建设，制定并动态调整完善《月坛街道发展党员内部参考手册》，发展党员26名，完成预备党员转正20名，进一步规范党员发展，推动党员发展形成梯次化结构。组织完成街道机关党委、机关纪委成立及选举工作，开展社区党委委员补选工作，完成17个社区、21名社区党委委员补选工作，社区党委组织架构及人员构成得到进一步完善。规范党费及各项经费管理使用，高标准开展党建信息化建设、党员组织关系转接、党员走访慰问等各项工作。召开2022年度基层党建工作述职评议会，走访29家两新党组织了解党建情况，每月发布一篇党务工作指导建议，组织两新党组织书记参加“半月谈”、“赋能计划”等培训提升工作效能，有效提升两新党组织规范化建设。以社区书记工作室建设为抓手，开展9期基层党组织书记“半月谈”，创新实施政治理论学习、业务知识讲授、心理健康调适等多元培训，组织社区书记代表赴上海市长宁区虹桥街道开展调研学习，强化社区党组织带头人队伍建设。</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4）坚定不移全面从严治党。制定街道工委落实全面从严治党主体责任清单43项，落实全面从严治党主体责任重点任务30项。通过工委会主任办公会会前学习、召开月坛街道警示教育大会、在元旦春节、清明、五一端午等重要节点开展廉政教育等方式，大力推进党风廉政建设和反腐败工作，强化党内法规贯彻执行。建立纪检监察与街道主体办定期沟通机制，结合街道实际梳理专项监督事项，分解细化年度重点监督工作任务，实行台账式跟踪管理和监督检查。坚决落实全面从严治党主体责任，开展“一把手”和领导班子监督意见落实情况、“三重一大”制度执行情况、纠治“二传手”“躺平”作风建设等多项专题监督检查工作。进一步规范议事规则，通过定期通报、阶段性汇报等方式，扎实推进安全生产、接诉即办、大气精细化治理等重要工作。严肃认真开展党内政治生活开展基层党组织组织生活会和民主评议党员工作，233个党支部8652名党员参加，扎实做好基层党建述职评议考核工作。</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2.产出</w:t>
      </w:r>
      <w:r>
        <w:rPr>
          <w:rFonts w:hint="eastAsia" w:ascii="仿宋" w:hAnsi="仿宋" w:eastAsia="仿宋" w:cs="仿宋"/>
          <w:sz w:val="32"/>
          <w:szCs w:val="32"/>
        </w:rPr>
        <w:t>进度</w:t>
      </w:r>
    </w:p>
    <w:p>
      <w:pPr>
        <w:pStyle w:val="2"/>
        <w:ind w:firstLine="560"/>
        <w:rPr>
          <w:rFonts w:hint="eastAsia" w:ascii="仿宋" w:hAnsi="仿宋" w:eastAsia="仿宋" w:cs="仿宋"/>
          <w:sz w:val="32"/>
          <w:szCs w:val="32"/>
        </w:rPr>
      </w:pPr>
      <w:r>
        <w:rPr>
          <w:rFonts w:hint="eastAsia" w:ascii="仿宋" w:hAnsi="仿宋" w:eastAsia="仿宋" w:cs="仿宋"/>
          <w:sz w:val="32"/>
          <w:szCs w:val="32"/>
        </w:rPr>
        <w:t>2023度月坛街道绩效产出目标完成情况如下：</w:t>
      </w:r>
    </w:p>
    <w:p>
      <w:pPr>
        <w:pStyle w:val="2"/>
        <w:ind w:firstLine="560"/>
        <w:rPr>
          <w:rFonts w:hint="eastAsia" w:ascii="仿宋" w:hAnsi="仿宋" w:eastAsia="仿宋" w:cs="仿宋"/>
          <w:sz w:val="32"/>
          <w:szCs w:val="32"/>
        </w:rPr>
      </w:pPr>
      <w:r>
        <w:rPr>
          <w:rFonts w:hint="eastAsia" w:ascii="仿宋" w:hAnsi="仿宋" w:eastAsia="仿宋" w:cs="仿宋"/>
          <w:sz w:val="32"/>
          <w:szCs w:val="32"/>
        </w:rPr>
        <w:t>自觉践行“红墙意识”，勇担职责使命完成重点工作</w:t>
      </w:r>
    </w:p>
    <w:p>
      <w:pPr>
        <w:pStyle w:val="2"/>
        <w:ind w:firstLine="560"/>
        <w:rPr>
          <w:rFonts w:hint="eastAsia" w:ascii="仿宋" w:hAnsi="仿宋" w:eastAsia="仿宋" w:cs="仿宋"/>
          <w:sz w:val="32"/>
          <w:szCs w:val="32"/>
        </w:rPr>
      </w:pPr>
      <w:r>
        <w:rPr>
          <w:rFonts w:hint="eastAsia" w:ascii="仿宋" w:hAnsi="仿宋" w:eastAsia="仿宋" w:cs="仿宋"/>
          <w:sz w:val="32"/>
          <w:szCs w:val="32"/>
        </w:rPr>
        <w:t>一是全力推进“两个工程”工作。建立“四个一”学习制度，用好“一纲一册”，将“两个工程”学懂学透。街道主要领导和班子成员结合各领域工作带头进行宣讲，让全员对“红墙先锋工程”的任务目标准确把握，对“双提升”的核心要义理解透彻，共宣讲38场。举办“四会一堂”系列活动，提高站位想问题“吐槽会”2场，瞄准“小切口”三级干部“恳谈会”7场，社区结合实际的“交心会”26场；“青年开放麦”交流会1场；对哪项工作想进一步学习，每两周一次与大家进行交流互动，目前已举办5期。让干部说出需要改进的地方，说出产生不足的具体原因及提升的具体举措，筛选出确实能转化为工作实践，能取得提升效果的真现象，最终确定能够转化为工作机制的46项，形成案例的32项，形成调研报告的15项。结合孙硕书记调研工作要求，发挥党建协调委员会作用，畅通新就业群体、社区志愿者等各类人员参与基层治理途径，持续探索党建引领基层社会治理工作模式；深化“无围墙敬老院”品牌，创新完善“234”就近精准居家社区养老服务体系，持续保障“老有所养”；坚持用好复盘、演练、通报机制，查找薄弱环节，纠正错误方法，提升办理水平，持续固化体制机制，确保“两个工程”结出更多硕果。</w:t>
      </w:r>
    </w:p>
    <w:p>
      <w:pPr>
        <w:pStyle w:val="2"/>
        <w:ind w:firstLine="560"/>
        <w:rPr>
          <w:rFonts w:hint="eastAsia" w:ascii="仿宋" w:hAnsi="仿宋" w:eastAsia="仿宋" w:cs="仿宋"/>
          <w:sz w:val="32"/>
          <w:szCs w:val="32"/>
        </w:rPr>
      </w:pPr>
      <w:r>
        <w:rPr>
          <w:rFonts w:hint="eastAsia" w:ascii="仿宋" w:hAnsi="仿宋" w:eastAsia="仿宋" w:cs="仿宋"/>
          <w:sz w:val="32"/>
          <w:szCs w:val="32"/>
        </w:rPr>
        <w:t>二是不断深化央地联动。依托党建协调委员会，进一步丰富“大部委牵手小社区”党建品牌内涵，与成员单位签订五大类联学共建项目。走访5家地区单位，上门宣传“红墙先锋工程”，推动联学共建项目实施，促党建共建平台发挥作用。召开央地联动调研座谈2次，发动中央单位发挥自身资源优势参与辖区治理，并就区域党建、民生、城市治理等工作，征求驻区中央单位意见建议，助推高质量发展。上半年服务中央单位及驻京部队事项228项，争取中央单位及驻京部队支持事项12项。结合电子医保卡等新兴业务，聚焦中央部委和驻京部队所需以及政务服务中心高频办理事项，制作“月坛街道政务服务中心红墙先锋服务卡”折页和易拉宝，为上门服务提供抓手，推动提升政务服务软实力。已开展中国农业银行总行、国家烟草总局、金币总公司、金融集楼宇政务服务上门宣讲及办理活动，共办理家庭经济关系登记表143份，退役军人登记表34份，解答咨询业务400余人次。</w:t>
      </w:r>
    </w:p>
    <w:p>
      <w:pPr>
        <w:pStyle w:val="2"/>
        <w:ind w:firstLine="560"/>
        <w:rPr>
          <w:rFonts w:hint="eastAsia" w:ascii="仿宋" w:hAnsi="仿宋" w:eastAsia="仿宋" w:cs="仿宋"/>
          <w:sz w:val="32"/>
          <w:szCs w:val="32"/>
        </w:rPr>
      </w:pPr>
      <w:r>
        <w:rPr>
          <w:rFonts w:hint="eastAsia" w:ascii="仿宋" w:hAnsi="仿宋" w:eastAsia="仿宋" w:cs="仿宋"/>
          <w:sz w:val="32"/>
          <w:szCs w:val="32"/>
        </w:rPr>
        <w:t>三是全面落实好安全生产各项工作。组织街道领导班子成员、安委会成员单位及地区960家生产经营单位签订《2023年安全生产工作责任书》。上半年，街道主要领导研究部署安全生产重点工作8次，工委会、主任办公室专题研究安全生产重点工作5次。深刻汲取重大事故教训，开展安全生产和火灾隐患大排查大整治，对辖区重点点位、堆物堆料情况开展统计、清理工作。对防火安全隐患点位、七小单位、人密场所、建筑施工单位、公共场所、医疗机构等持续开展检查摸排。上半年共检查生产经营单位1487家次，发现隐患1326项，开具责令整改1326份，均已全部整改。检查施工工地369家，共计查出隐患871处，未进行备案手续工地停工47家，约谈47家。加大电动自行车充电设施安装力度,为地区安装充电设施28处。持续开展地区违规电动三四轮车综合整治，已对街道、社区及职能部门65辆电动三四轮车进行封存，建立台账，摸清底数，扎实细致做好群众工作，引导个人违规车辆有序退出。</w:t>
      </w:r>
    </w:p>
    <w:p>
      <w:pPr>
        <w:pStyle w:val="2"/>
        <w:ind w:firstLine="560"/>
        <w:rPr>
          <w:rFonts w:hint="eastAsia" w:ascii="仿宋" w:hAnsi="仿宋" w:eastAsia="仿宋" w:cs="仿宋"/>
          <w:sz w:val="32"/>
          <w:szCs w:val="32"/>
        </w:rPr>
      </w:pPr>
      <w:r>
        <w:rPr>
          <w:rFonts w:hint="eastAsia" w:ascii="仿宋" w:hAnsi="仿宋" w:eastAsia="仿宋" w:cs="仿宋"/>
          <w:sz w:val="32"/>
          <w:szCs w:val="32"/>
        </w:rPr>
        <w:t>坚持走好新时代党的群众路线，努力提升服务群众水平</w:t>
      </w:r>
    </w:p>
    <w:p>
      <w:pPr>
        <w:pStyle w:val="2"/>
        <w:ind w:firstLine="560"/>
        <w:rPr>
          <w:rFonts w:hint="eastAsia" w:ascii="仿宋" w:hAnsi="仿宋" w:eastAsia="仿宋" w:cs="仿宋"/>
          <w:sz w:val="32"/>
          <w:szCs w:val="32"/>
        </w:rPr>
      </w:pPr>
      <w:r>
        <w:rPr>
          <w:rFonts w:hint="eastAsia" w:ascii="仿宋" w:hAnsi="仿宋" w:eastAsia="仿宋" w:cs="仿宋"/>
          <w:sz w:val="32"/>
          <w:szCs w:val="32"/>
        </w:rPr>
        <w:t>一是加快建设更高水平文明城区。深入落实三级书记联席会工作部署，全力打造文明、和谐环境。成立实地组对26个社区、街巷路面环境进行实地检查，并对整改问题实行追踪跟进，推动工作形成闭环管理。针对公共晾衣设施少、居民和沿街商铺“晾晒难”“乱晾晒”问题，坚持宣传为先、劝导为主，统一设计张贴文明晾晒公约和公共晾晒区域标识，定制267组公共晾衣架已全部安装完毕投入使用。深入开展宣传栏“体检”更新专项工作，对辖区内主次干道、背街小巷、小区内外440个宣传栏的破旧损坏情况进行实地摸排、梳理登记，统一拆除、更换，总计新安装宣传栏49组，拆除陈旧宣传栏15处，规范宣传内容288处。</w:t>
      </w:r>
    </w:p>
    <w:p>
      <w:pPr>
        <w:pStyle w:val="2"/>
        <w:ind w:firstLine="560"/>
        <w:rPr>
          <w:rFonts w:hint="eastAsia" w:ascii="仿宋" w:hAnsi="仿宋" w:eastAsia="仿宋" w:cs="仿宋"/>
          <w:sz w:val="32"/>
          <w:szCs w:val="32"/>
        </w:rPr>
      </w:pPr>
      <w:r>
        <w:rPr>
          <w:rFonts w:hint="eastAsia" w:ascii="仿宋" w:hAnsi="仿宋" w:eastAsia="仿宋" w:cs="仿宋"/>
          <w:sz w:val="32"/>
          <w:szCs w:val="32"/>
        </w:rPr>
        <w:t>二是提升服务地区居民整体水平。通过社会工作专业引领、区级专家督导、社会资源引入等破解社区治理难题，提升社会工作服务水平，提高社会工作服务能力。建立《新邻心悦新居民走访机制》，发放《温馨服务卡》让新入住到月坛地区的居民感受到社区对居民的关注，感受到舒适感、获得归属感。及时更新常住人口信息台账，访民情、听民意、解民忧，先行一步了解居民诉求，力争未诉先办。向居民提供基层民主协商讲解、社区参与式分层协商议事规则及步骤解析、议事会模拟演练、议事协商成果宣传推广与展示等全流程服务，全面提升社区协商自治水平。打造铁二二社区协商议事厅和社会路社区楼门院示范点，积极开展分层协商。</w:t>
      </w:r>
    </w:p>
    <w:p>
      <w:pPr>
        <w:pStyle w:val="2"/>
        <w:ind w:firstLine="560"/>
        <w:rPr>
          <w:rFonts w:hint="eastAsia" w:ascii="仿宋" w:hAnsi="仿宋" w:eastAsia="仿宋" w:cs="仿宋"/>
          <w:sz w:val="32"/>
          <w:szCs w:val="32"/>
        </w:rPr>
      </w:pPr>
      <w:r>
        <w:rPr>
          <w:rFonts w:hint="eastAsia" w:ascii="仿宋" w:hAnsi="仿宋" w:eastAsia="仿宋" w:cs="仿宋"/>
          <w:sz w:val="32"/>
          <w:szCs w:val="32"/>
        </w:rPr>
        <w:t>三是不断推进接诉即办工作。紧盯重点难点问题，心怀为人民服务宗旨和不忘初心的激情，努力提高解决率。将解决率、满意率低的案件和“多人同诉”案件作为工作重点，迎难而上，依托“吹哨报到”机制，进一步打开从“主动破题”到“有效解题”的通道。上半年共接收“12345”案件5750件，诉求主要集中在：噪音扰民765件、物业管理846件、消防安全隐患479件、停车管理495件。</w:t>
      </w:r>
    </w:p>
    <w:p>
      <w:pPr>
        <w:pStyle w:val="2"/>
        <w:ind w:firstLine="560"/>
        <w:rPr>
          <w:rFonts w:hint="eastAsia" w:ascii="仿宋" w:hAnsi="仿宋" w:eastAsia="仿宋" w:cs="仿宋"/>
          <w:sz w:val="32"/>
          <w:szCs w:val="32"/>
        </w:rPr>
      </w:pPr>
      <w:r>
        <w:rPr>
          <w:rFonts w:hint="eastAsia" w:ascii="仿宋" w:hAnsi="仿宋" w:eastAsia="仿宋" w:cs="仿宋"/>
          <w:sz w:val="32"/>
          <w:szCs w:val="32"/>
        </w:rPr>
        <w:t>四是全面做好地区企业服务工作。做好辖区税源企业走访工作，上半年，共走访企业365家，实地和电话走访47家“服务包”企业，解决服务包企业诉求31条，办结率100%，满意率100%。密切联系23家异地经营企业，及时发现企业外迁风险，迅速启动挽留机制。积极对接北京海悟实业有限公司，了解企业入驻月坛情况及公司下一步发展，帮助企业做好后续落地工作。加强空间资源梳理，盘活低效闲置资源，已梳理辖区商用楼宇98座，总面积231万平方米，空置面积6.83万平方米，帮助天云五金大楼对接相关部门，跟进服务该楼宇转型升级。</w:t>
      </w:r>
    </w:p>
    <w:p>
      <w:pPr>
        <w:pStyle w:val="2"/>
        <w:ind w:firstLine="560"/>
        <w:rPr>
          <w:rFonts w:hint="eastAsia" w:ascii="仿宋" w:hAnsi="仿宋" w:eastAsia="仿宋" w:cs="仿宋"/>
          <w:sz w:val="32"/>
          <w:szCs w:val="32"/>
        </w:rPr>
      </w:pPr>
      <w:r>
        <w:rPr>
          <w:rFonts w:hint="eastAsia" w:ascii="仿宋" w:hAnsi="仿宋" w:eastAsia="仿宋" w:cs="仿宋"/>
          <w:sz w:val="32"/>
          <w:szCs w:val="32"/>
        </w:rPr>
        <w:t>五是认真落实各项疫情防控政策。根据新冠病毒感染“乙类乙管”工作方案，落实“乙类乙管”相关措施，建立高龄空巢、婴幼儿、孕妇、重病大病、残疾人等重点任务服务需求台账，做好居民健康观宣传引导。进一步提升接种服务水平，上半年共接种疫苗1838剂次，其中一针52剂次，二针62剂次，三针110剂次，四针1614剂次。接种80岁以上老年人一针17人，筑牢地区免疫屏障。</w:t>
      </w:r>
    </w:p>
    <w:p>
      <w:pPr>
        <w:pStyle w:val="2"/>
        <w:ind w:firstLine="560"/>
        <w:rPr>
          <w:rFonts w:hint="eastAsia" w:ascii="仿宋" w:hAnsi="仿宋" w:eastAsia="仿宋" w:cs="仿宋"/>
          <w:sz w:val="32"/>
          <w:szCs w:val="32"/>
        </w:rPr>
      </w:pPr>
      <w:r>
        <w:rPr>
          <w:rFonts w:hint="eastAsia" w:ascii="仿宋" w:hAnsi="仿宋" w:eastAsia="仿宋" w:cs="仿宋"/>
          <w:sz w:val="32"/>
          <w:szCs w:val="32"/>
        </w:rPr>
        <w:t>六是不断提高为老服务水平。深入推进党建引领老干部工作向基层延伸，引导街道离退休干部主动到社区报到，开展“我在红墙边”老党员先锋队志愿服务实践活动，强化26个社区老党员先锋队规范化建设。依托社区养老服务驿站及周边生活性服务业基础资源，依托街道紧密型联合体的带动、示范、辐射作用，将“15分钟养老服务圈”进一步升级为“10分钟便民养老服务圈”，及时、便捷、全面的提升老年人日常生活满意度。与华方集团、长安商场共同牵手，在长安商场地下一层打造月坛街道华方居家养老餐集配中心，4月6日集配中心正式投入运营。5月18日公安大学建立养老助餐点试运营。上半年新增四家养老助餐点，截至目前，养老助餐点服务数量累计42297人次，其中华方养老餐集配中心服务数量累计18733人次。养老服务驿站开展辐射服务共计64564人次。</w:t>
      </w:r>
    </w:p>
    <w:p>
      <w:pPr>
        <w:pStyle w:val="2"/>
        <w:ind w:firstLine="560"/>
        <w:rPr>
          <w:rFonts w:hint="eastAsia" w:ascii="仿宋" w:hAnsi="仿宋" w:eastAsia="仿宋" w:cs="仿宋"/>
          <w:sz w:val="32"/>
          <w:szCs w:val="32"/>
        </w:rPr>
      </w:pPr>
      <w:r>
        <w:rPr>
          <w:rFonts w:hint="eastAsia" w:ascii="仿宋" w:hAnsi="仿宋" w:eastAsia="仿宋" w:cs="仿宋"/>
          <w:sz w:val="32"/>
          <w:szCs w:val="32"/>
        </w:rPr>
        <w:t>以保一方平安为目标，妥善防范化解风险挑战</w:t>
      </w:r>
    </w:p>
    <w:p>
      <w:pPr>
        <w:pStyle w:val="2"/>
        <w:ind w:firstLine="560"/>
        <w:rPr>
          <w:rFonts w:hint="eastAsia" w:ascii="仿宋" w:hAnsi="仿宋" w:eastAsia="仿宋" w:cs="仿宋"/>
          <w:sz w:val="32"/>
          <w:szCs w:val="32"/>
        </w:rPr>
      </w:pPr>
      <w:r>
        <w:rPr>
          <w:rFonts w:hint="eastAsia" w:ascii="仿宋" w:hAnsi="仿宋" w:eastAsia="仿宋" w:cs="仿宋"/>
          <w:sz w:val="32"/>
          <w:szCs w:val="32"/>
        </w:rPr>
        <w:t>一是精准发力提升地区平安建设水平。高标准完成全国“两会”天泰宾馆、职工之家2个代表住地服务保障任务。自3月1日到全国“两会”结束期间，启动一级超常防控等级，以天泰宾馆、职工之家住地周边及路线周边为重点，看护二环路沿线、过街天桥路口及地区21个过街天桥、地下通道、立交桥。发动群防群治力量3827人，对330个点位开展巡视看护，“两会”期间，辖区社会面秩序良好。</w:t>
      </w:r>
    </w:p>
    <w:p>
      <w:pPr>
        <w:pStyle w:val="2"/>
        <w:ind w:firstLine="560"/>
        <w:rPr>
          <w:rFonts w:hint="eastAsia" w:ascii="仿宋" w:hAnsi="仿宋" w:eastAsia="仿宋" w:cs="仿宋"/>
          <w:sz w:val="32"/>
          <w:szCs w:val="32"/>
        </w:rPr>
      </w:pPr>
      <w:r>
        <w:rPr>
          <w:rFonts w:hint="eastAsia" w:ascii="仿宋" w:hAnsi="仿宋" w:eastAsia="仿宋" w:cs="仿宋"/>
          <w:sz w:val="32"/>
          <w:szCs w:val="32"/>
        </w:rPr>
        <w:t>二是持续推进法治政府建设。严格落实市委、区委决策部署，发扬党内民主，自觉接受人大代表、政协委员工作监督。收到人大建议、政协提案1件，已全部按要求按时限办理完毕。多渠道推进人民调解工作，上半年共制作人民调解案卷270件。在管社区服刑人员11名、在册刑释解教人员132名，未出现因监管、帮扶、救助不到位而引发的重新犯罪。认真落实“八五”普法年度工作任务，共完成普法讲座6期，组织领导干部会前学法3次。年度无行政复议、应诉案件。</w:t>
      </w:r>
    </w:p>
    <w:p>
      <w:pPr>
        <w:pStyle w:val="2"/>
        <w:ind w:firstLine="560"/>
        <w:rPr>
          <w:rFonts w:hint="eastAsia" w:ascii="仿宋" w:hAnsi="仿宋" w:eastAsia="仿宋" w:cs="仿宋"/>
          <w:sz w:val="32"/>
          <w:szCs w:val="32"/>
        </w:rPr>
      </w:pPr>
      <w:r>
        <w:rPr>
          <w:rFonts w:hint="eastAsia" w:ascii="仿宋" w:hAnsi="仿宋" w:eastAsia="仿宋" w:cs="仿宋"/>
          <w:sz w:val="32"/>
          <w:szCs w:val="32"/>
        </w:rPr>
        <w:t>三是推动各项惠民政策落到实处。严格落实社会救助和便民惠民政策，切实履行好城市低保、住房保障、关心关爱各类特殊特扶群体等职责。低保救助484户，739人，发放低保金400余万元。医疗救助1240人次，发放医疗救助金金200余万元。发放特扶一次性救助14人，14万元。为地区2709名残疾人开展康复医疗、技能培训、普法宣传等一系列线上和线下精准服务项目。充分发挥“就业互助组”和“就业服务平台”两大作用，通过街、企合作联盟，深度挖掘空岗信息，匹配失业人员就业需求，助其实现再就业，上半年帮助570名就业困难人员实现就业，登记失业人员就业率49.16%。完成地区非本市户籍适龄儿童入学证明审核工作，34名学生顺利审核通过。加强施工单位备案管理，完善备案4个施工工地，8家分包施工单位，涉及员工260余人。办理劳动人事争议调解案件4件，涉及16人，为涉事员工讨回工资8.6万元。</w:t>
      </w:r>
    </w:p>
    <w:p>
      <w:pPr>
        <w:pStyle w:val="2"/>
        <w:ind w:firstLine="560"/>
        <w:rPr>
          <w:rFonts w:hint="eastAsia" w:ascii="仿宋" w:hAnsi="仿宋" w:eastAsia="仿宋" w:cs="仿宋"/>
          <w:sz w:val="32"/>
          <w:szCs w:val="32"/>
        </w:rPr>
      </w:pPr>
      <w:r>
        <w:rPr>
          <w:rFonts w:hint="eastAsia" w:ascii="仿宋" w:hAnsi="仿宋" w:eastAsia="仿宋" w:cs="仿宋"/>
          <w:sz w:val="32"/>
          <w:szCs w:val="32"/>
        </w:rPr>
        <w:t>持续深化老旧小区改造，深入实施城市更新运行</w:t>
      </w:r>
    </w:p>
    <w:p>
      <w:pPr>
        <w:pStyle w:val="2"/>
        <w:ind w:firstLine="560"/>
        <w:rPr>
          <w:rFonts w:hint="eastAsia" w:ascii="仿宋" w:hAnsi="仿宋" w:eastAsia="仿宋" w:cs="仿宋"/>
          <w:sz w:val="32"/>
          <w:szCs w:val="32"/>
        </w:rPr>
      </w:pPr>
      <w:r>
        <w:rPr>
          <w:rFonts w:hint="eastAsia" w:ascii="仿宋" w:hAnsi="仿宋" w:eastAsia="仿宋" w:cs="仿宋"/>
          <w:sz w:val="32"/>
          <w:szCs w:val="32"/>
        </w:rPr>
        <w:t>一是加快推进老旧小区改造。向区老旧小区联席会议申报14个市区属老旧小区20栋楼，建筑面积13.71万平方米，纳入老旧小区综合整治范围，目前相关预算已通过区住建委复核，正在等待市住建委审批。积极推进三里河一区28号楼危旧楼改建项目前期工作，组织相关科室和有关单位共商具体事项，努力做好居民工作。配合区住建委等相关部门及有关实施主体，协同开展真武庙三里、西便门外大街10号院央产老旧小区综合整治试点工作。</w:t>
      </w:r>
    </w:p>
    <w:p>
      <w:pPr>
        <w:pStyle w:val="2"/>
        <w:ind w:firstLine="560"/>
        <w:rPr>
          <w:rFonts w:hint="eastAsia" w:ascii="仿宋" w:hAnsi="仿宋" w:eastAsia="仿宋" w:cs="仿宋"/>
          <w:sz w:val="32"/>
          <w:szCs w:val="32"/>
        </w:rPr>
      </w:pPr>
      <w:r>
        <w:rPr>
          <w:rFonts w:hint="eastAsia" w:ascii="仿宋" w:hAnsi="仿宋" w:eastAsia="仿宋" w:cs="仿宋"/>
          <w:sz w:val="32"/>
          <w:szCs w:val="32"/>
        </w:rPr>
        <w:t>二是推进精细化治理见成效。大力推进为民办实事工程项目，实施三里河一区1-19号楼小区路面改造工程，对横三条东段道路进行施工改造，改造面积约12000平方米；完成三里河三区11号楼南侧区域改造，面积约1700平方米；完成三里河三区38号楼停车管理系统建设；开展复外社区儿童活动空间建设，拓展儿童人文参与空间。月坛街道小微城市公共空间改造项目已经完成施工并交付使用，月坛南街沿线公共空间改造提升项目实施方案已完成评审。拆除违法建设68处，拆除面积共计2153.97平米，占全年任务比37%。做好中央单位及部委周边服务保障，开展交通整治，修缮破损路面，打通部委周边交通微循环。“西便门外大街10号院”和“南沙沟小区”被评为北京市西城区“最美院落”。</w:t>
      </w:r>
    </w:p>
    <w:p>
      <w:pPr>
        <w:pStyle w:val="2"/>
        <w:ind w:firstLine="560"/>
        <w:rPr>
          <w:rFonts w:hint="eastAsia" w:ascii="仿宋" w:hAnsi="仿宋" w:eastAsia="仿宋" w:cs="仿宋"/>
          <w:sz w:val="32"/>
          <w:szCs w:val="32"/>
        </w:rPr>
      </w:pPr>
      <w:r>
        <w:rPr>
          <w:rFonts w:hint="eastAsia" w:ascii="仿宋" w:hAnsi="仿宋" w:eastAsia="仿宋" w:cs="仿宋"/>
          <w:sz w:val="32"/>
          <w:szCs w:val="32"/>
        </w:rPr>
        <w:t>三是持续改善生态环境。纵深精细推进污染防治工作，加大对汽修、印刷行业等生产部门危险化学品管控力度，定期进行联合执法检查。加强与地区医院、卫生站联系，对医院实验室、药品存储等部门和环节进行关注，避免出现局部土壤和大气污染。截至6月底，月坛街道PM2.5指数年累计平均值为40，按照浓度由高到低排名（后同）全区最优；TSP指数年累计平均值为104，排名并列全区第7名。高位调度，全面部署，做好第二轮北京市环保督察迎检工作。对地区重点区域采取洒水抑尘等降尘措施，同时根据天气的变化，随时调整作业内容和频次。上半年，街道级河长共巡河691人次、4579.13公里，其他人员巡河人数超过3000人次。</w:t>
      </w:r>
    </w:p>
    <w:p>
      <w:pPr>
        <w:pStyle w:val="2"/>
        <w:ind w:firstLine="560"/>
        <w:rPr>
          <w:rFonts w:hint="eastAsia" w:ascii="仿宋" w:hAnsi="仿宋" w:eastAsia="仿宋" w:cs="仿宋"/>
          <w:sz w:val="32"/>
          <w:szCs w:val="32"/>
        </w:rPr>
      </w:pPr>
      <w:r>
        <w:rPr>
          <w:rFonts w:hint="eastAsia" w:ascii="仿宋" w:hAnsi="仿宋" w:eastAsia="仿宋" w:cs="仿宋"/>
          <w:sz w:val="32"/>
          <w:szCs w:val="32"/>
        </w:rPr>
        <w:t>四是抓好“两个关键小事”。在辖区372组桶站、26个驿站发挥党员先锋模范带头作用，开展“敲门行动”，落实桶前值守。新建两个大件垃圾临时存放点,规范大件垃圾和建筑垃圾存放清运流程，提高社区整洁度。在“三供一业”小区，建立街道、物业、社区三方沟通交流互动微信群，凝聚小区管理共识，及时化解居民反映的房屋维修、卫生死角等问题，改善服务质量；与汇灵物业签订《“大部委牵手小社区”物业治理项目框架协议》，以党建引领为抓手，促进小区整体环境提升。不断完善小区问题清单，从解决好群众关注的小区环境等问题入手，监督指导物业服务企业为小区居民提供服务，妥善解决老旧小区停车秩序、垃圾分类、物业纠纷等各类案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t xml:space="preserve"> 2023年度我单位产出进度完成率能达到90%以上。</w:t>
      </w:r>
    </w:p>
    <w:p>
      <w:pPr>
        <w:spacing w:line="600" w:lineRule="exact"/>
        <w:ind w:left="105" w:leftChars="50" w:firstLine="480" w:firstLineChars="150"/>
        <w:rPr>
          <w:rFonts w:hint="eastAsia" w:ascii="仿宋" w:hAnsi="仿宋" w:eastAsia="仿宋" w:cs="仿宋"/>
          <w:color w:val="000000"/>
          <w:kern w:val="0"/>
          <w:sz w:val="32"/>
          <w:szCs w:val="32"/>
        </w:rPr>
      </w:pPr>
      <w:r>
        <w:rPr>
          <w:rFonts w:hint="eastAsia" w:ascii="仿宋" w:hAnsi="仿宋" w:eastAsia="仿宋" w:cs="仿宋"/>
          <w:sz w:val="32"/>
          <w:szCs w:val="32"/>
        </w:rPr>
        <w:t>3</w:t>
      </w:r>
      <w:r>
        <w:rPr>
          <w:rFonts w:hint="eastAsia" w:ascii="仿宋" w:hAnsi="仿宋" w:eastAsia="仿宋" w:cs="仿宋"/>
          <w:sz w:val="32"/>
          <w:szCs w:val="32"/>
        </w:rPr>
        <w:t>.</w:t>
      </w:r>
      <w:r>
        <w:rPr>
          <w:rFonts w:hint="eastAsia" w:ascii="仿宋" w:hAnsi="仿宋" w:eastAsia="仿宋" w:cs="仿宋"/>
          <w:sz w:val="32"/>
          <w:szCs w:val="32"/>
        </w:rPr>
        <w:t>产出</w:t>
      </w:r>
      <w:r>
        <w:rPr>
          <w:rFonts w:hint="eastAsia" w:ascii="仿宋" w:hAnsi="仿宋" w:eastAsia="仿宋" w:cs="仿宋"/>
          <w:sz w:val="32"/>
          <w:szCs w:val="32"/>
        </w:rPr>
        <w:t>成本</w:t>
      </w:r>
      <w:r>
        <w:rPr>
          <w:rFonts w:hint="eastAsia" w:ascii="仿宋" w:hAnsi="仿宋" w:eastAsia="仿宋" w:cs="仿宋"/>
          <w:sz w:val="32"/>
          <w:szCs w:val="32"/>
        </w:rPr>
        <w:t xml:space="preserve"> </w:t>
      </w:r>
      <w:r>
        <w:rPr>
          <w:rFonts w:hint="eastAsia" w:ascii="仿宋" w:hAnsi="仿宋" w:eastAsia="仿宋" w:cs="仿宋"/>
          <w:color w:val="000000"/>
          <w:kern w:val="0"/>
          <w:sz w:val="32"/>
          <w:szCs w:val="32"/>
        </w:rPr>
        <w:t xml:space="preserve"> </w:t>
      </w:r>
    </w:p>
    <w:p>
      <w:pPr>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（1）预算收入情况</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1.2023年年初预算批复数为40650万元，其中基本支出预算为9449万元（其中人员支出8575万元、公用支出874万元），项目支出预算为31201万元（其中提前下达3036万元、2022年结转指标35万元）。</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2.2023年共计进行了4次预算调整，项目支出方面调增3289万元，调减3236万元，财政追加53万元；基本支出方面调增743万元，调减211万元，财政追加532万元。即预算调整增加585万元。</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各职能局追加指标共计3866万元</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综上2023年街道预算总额为45101万元。</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（2）总体支出情况</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全年支出为41938万元，执行率为92.99%。</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基本支出方面预算为9449万元，调整后预算为9981万元，支出为9840万元，执行率为98.59%；年底财政收回141万元；其中人员类调整后预算为9191万元，支出为9158万元，财政收回33万元，执行率为99.65%；公用类调整后预算为790万元，支出为682万元，财政收回108万元，执行率为86.37%.</w:t>
      </w:r>
    </w:p>
    <w:p>
      <w:pPr>
        <w:spacing w:line="600" w:lineRule="exact"/>
        <w:ind w:left="105" w:leftChars="50" w:firstLine="480" w:firstLineChars="150"/>
        <w:rPr>
          <w:rFonts w:hint="eastAsia" w:ascii="仿宋" w:hAnsi="仿宋" w:eastAsia="仿宋" w:cs="仿宋"/>
          <w:color w:val="000000"/>
          <w:kern w:val="0"/>
          <w:sz w:val="32"/>
          <w:szCs w:val="32"/>
        </w:rPr>
      </w:pPr>
      <w:r>
        <w:rPr>
          <w:rFonts w:hint="eastAsia" w:ascii="仿宋" w:hAnsi="仿宋" w:eastAsia="仿宋" w:cs="仿宋"/>
          <w:sz w:val="32"/>
          <w:szCs w:val="32"/>
        </w:rPr>
        <w:t>项目支出调增后（含各职能局指标）预算为35120万元,支出为32097万元，执行率为91.39%；年底财政收回3023万元，结转24年使用指标2606万元，即上缴财政418万元。</w:t>
      </w:r>
      <w:r>
        <w:rPr>
          <w:rFonts w:hint="eastAsia" w:ascii="仿宋" w:hAnsi="仿宋" w:eastAsia="仿宋" w:cs="仿宋"/>
          <w:color w:val="000000"/>
          <w:kern w:val="0"/>
          <w:sz w:val="32"/>
          <w:szCs w:val="32"/>
        </w:rPr>
        <w:t xml:space="preserve">                                </w:t>
      </w:r>
    </w:p>
    <w:p>
      <w:pPr>
        <w:spacing w:line="60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（二）效果</w:t>
      </w:r>
      <w:r>
        <w:rPr>
          <w:rFonts w:hint="eastAsia" w:ascii="仿宋" w:hAnsi="仿宋" w:eastAsia="仿宋" w:cs="仿宋"/>
          <w:sz w:val="32"/>
          <w:szCs w:val="32"/>
        </w:rPr>
        <w:t>实现情况分析</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1.经济</w:t>
      </w:r>
      <w:r>
        <w:rPr>
          <w:rFonts w:hint="eastAsia" w:ascii="仿宋" w:hAnsi="仿宋" w:eastAsia="仿宋" w:cs="仿宋"/>
          <w:sz w:val="32"/>
          <w:szCs w:val="32"/>
        </w:rPr>
        <w:t>效益</w:t>
      </w:r>
    </w:p>
    <w:p>
      <w:pPr>
        <w:pStyle w:val="2"/>
        <w:ind w:firstLine="560"/>
        <w:rPr>
          <w:rFonts w:hint="eastAsia" w:ascii="仿宋" w:hAnsi="仿宋" w:eastAsia="仿宋" w:cs="仿宋"/>
          <w:sz w:val="32"/>
          <w:szCs w:val="32"/>
        </w:rPr>
      </w:pPr>
      <w:r>
        <w:rPr>
          <w:rFonts w:hint="eastAsia" w:ascii="仿宋" w:hAnsi="仿宋" w:eastAsia="仿宋" w:cs="仿宋"/>
          <w:sz w:val="32"/>
          <w:szCs w:val="32"/>
        </w:rPr>
        <w:t>2023年度我单位产生的经济效益如下：</w:t>
      </w:r>
    </w:p>
    <w:p>
      <w:pPr>
        <w:pStyle w:val="2"/>
        <w:ind w:firstLine="560"/>
        <w:rPr>
          <w:rFonts w:hint="eastAsia" w:ascii="仿宋" w:hAnsi="仿宋" w:eastAsia="仿宋" w:cs="仿宋"/>
          <w:sz w:val="32"/>
          <w:szCs w:val="32"/>
        </w:rPr>
      </w:pPr>
      <w:r>
        <w:rPr>
          <w:rFonts w:hint="eastAsia" w:ascii="仿宋" w:hAnsi="仿宋" w:eastAsia="仿宋" w:cs="仿宋"/>
          <w:sz w:val="32"/>
          <w:szCs w:val="32"/>
        </w:rPr>
        <w:t>月坛街道深入贯彻落实西城区税源建设与收入管理工作总体部署，进一步规范和完善地区税源建设工作，最大限度控制税源流失，挖掘税收潜力，促进街道区域经济持续快速发展，职能职责落实情况如下：</w:t>
      </w:r>
    </w:p>
    <w:p>
      <w:pPr>
        <w:pStyle w:val="2"/>
        <w:ind w:firstLine="560"/>
        <w:rPr>
          <w:rFonts w:hint="eastAsia" w:ascii="仿宋" w:hAnsi="仿宋" w:eastAsia="仿宋" w:cs="仿宋"/>
          <w:sz w:val="32"/>
          <w:szCs w:val="32"/>
        </w:rPr>
      </w:pPr>
      <w:r>
        <w:rPr>
          <w:rFonts w:hint="eastAsia" w:ascii="仿宋" w:hAnsi="仿宋" w:eastAsia="仿宋" w:cs="仿宋"/>
          <w:sz w:val="32"/>
          <w:szCs w:val="32"/>
        </w:rPr>
        <w:t>（1）完成工作情况</w:t>
      </w:r>
    </w:p>
    <w:p>
      <w:pPr>
        <w:pStyle w:val="2"/>
        <w:ind w:firstLine="560"/>
        <w:rPr>
          <w:rFonts w:hint="eastAsia" w:ascii="仿宋" w:hAnsi="仿宋" w:eastAsia="仿宋" w:cs="仿宋"/>
          <w:sz w:val="32"/>
          <w:szCs w:val="32"/>
        </w:rPr>
      </w:pPr>
      <w:r>
        <w:rPr>
          <w:rFonts w:hint="eastAsia" w:ascii="仿宋" w:hAnsi="仿宋" w:eastAsia="仿宋" w:cs="仿宋"/>
          <w:sz w:val="32"/>
          <w:szCs w:val="32"/>
        </w:rPr>
        <w:t>重点税源企业对经济的发展、对税收收入的实现都起着举足轻重的作用，其经营的好坏不但影响本地区的经济，而且对就业、完善市场经济、财政收入的实现都有重要作用。</w:t>
      </w:r>
    </w:p>
    <w:p>
      <w:pPr>
        <w:pStyle w:val="2"/>
        <w:ind w:firstLine="560"/>
        <w:rPr>
          <w:rFonts w:hint="eastAsia" w:ascii="仿宋" w:hAnsi="仿宋" w:eastAsia="仿宋" w:cs="仿宋"/>
          <w:sz w:val="32"/>
          <w:szCs w:val="32"/>
        </w:rPr>
      </w:pPr>
      <w:r>
        <w:rPr>
          <w:rFonts w:hint="eastAsia" w:ascii="仿宋" w:hAnsi="仿宋" w:eastAsia="仿宋" w:cs="仿宋"/>
          <w:sz w:val="32"/>
          <w:szCs w:val="32"/>
        </w:rPr>
        <w:t>一是落实北京市发展总体规划。二是落实财源建设政策措施。全面落实减税降费、提升纳税便利度等各项财税政策，减轻企业负担。全力做好专业服务，积极培育发展新动能，涵养存量财源，培育新增财源。三是加强财政收入形势研判和政策研究支撑能力。提升工作的前瞻性，提高工作的精准度和有效性，为领导决策提供支持。</w:t>
      </w:r>
    </w:p>
    <w:p>
      <w:pPr>
        <w:pStyle w:val="2"/>
        <w:ind w:firstLine="560"/>
        <w:rPr>
          <w:rFonts w:hint="eastAsia" w:ascii="仿宋" w:hAnsi="仿宋" w:eastAsia="仿宋" w:cs="仿宋"/>
          <w:sz w:val="32"/>
          <w:szCs w:val="32"/>
        </w:rPr>
      </w:pPr>
      <w:r>
        <w:rPr>
          <w:rFonts w:hint="eastAsia" w:ascii="仿宋" w:hAnsi="仿宋" w:eastAsia="仿宋" w:cs="仿宋"/>
          <w:sz w:val="32"/>
          <w:szCs w:val="32"/>
        </w:rPr>
        <w:t>（2）工作措施</w:t>
      </w:r>
    </w:p>
    <w:p>
      <w:pPr>
        <w:pStyle w:val="2"/>
        <w:ind w:firstLine="560"/>
        <w:rPr>
          <w:rFonts w:hint="eastAsia" w:ascii="仿宋" w:hAnsi="仿宋" w:eastAsia="仿宋" w:cs="仿宋"/>
          <w:sz w:val="32"/>
          <w:szCs w:val="32"/>
        </w:rPr>
      </w:pPr>
      <w:r>
        <w:rPr>
          <w:rFonts w:hint="eastAsia" w:ascii="仿宋" w:hAnsi="仿宋" w:eastAsia="仿宋" w:cs="仿宋"/>
          <w:sz w:val="32"/>
          <w:szCs w:val="32"/>
        </w:rPr>
        <w:t>一是精准服务企业，稳固财源存量。依托“五经普”企业真实性核查工作结果，对企业实施更加精准的分类服务，持续提升对辖区企业的服务水平。辖区内共有企业4200余家，2023年度月税收收入194.85亿元，同期增长5.99%。按照全区统一部署，月坛街道大走访企业名单479家，“服务包”企业47家，目前走访完成率100%。街道通过成立财源建设领导小组，由处级领导牵头走访区级税收100万元以上的企业，充分发挥带头作用，开展全流程全方位服务，提高企业经营的归属感。</w:t>
      </w:r>
    </w:p>
    <w:p>
      <w:pPr>
        <w:pStyle w:val="2"/>
        <w:ind w:firstLine="560"/>
        <w:rPr>
          <w:rFonts w:hint="eastAsia" w:ascii="仿宋" w:hAnsi="仿宋" w:eastAsia="仿宋" w:cs="仿宋"/>
          <w:sz w:val="32"/>
          <w:szCs w:val="32"/>
        </w:rPr>
      </w:pPr>
      <w:r>
        <w:rPr>
          <w:rFonts w:hint="eastAsia" w:ascii="仿宋" w:hAnsi="仿宋" w:eastAsia="仿宋" w:cs="仿宋"/>
          <w:sz w:val="32"/>
          <w:szCs w:val="32"/>
        </w:rPr>
        <w:t>二是聚合部门资源，培育财源增量。整合多部门力量，多方挖潜优质财源。对有意向迁入的企业，积极与企业对接，了解企业未来发展规划，重点向企业介绍西城区的惠企政策，持续跟进企业整体迁转安排，做好后续企业落地的服务工作。探索通过采用与专业的招商引资机构合作的方式，研究按街区植入优质产业，对楼宇定位开展精细化分析。发挥文化赋能作用，搭建共建共享资源平台。邀请国家发改委等中央单位代表，北京农商行等辖区金融企业代表参与西城区第11届白云杯太极拳（械）邀请赛展演，搭建地区共建共享资源平台，增强月坛文化品牌影响力，提升企业归属感。</w:t>
      </w:r>
    </w:p>
    <w:p>
      <w:pPr>
        <w:pStyle w:val="2"/>
        <w:ind w:firstLine="560"/>
        <w:rPr>
          <w:rFonts w:hint="eastAsia" w:ascii="仿宋" w:hAnsi="仿宋" w:eastAsia="仿宋" w:cs="仿宋"/>
          <w:sz w:val="32"/>
          <w:szCs w:val="32"/>
        </w:rPr>
      </w:pPr>
      <w:r>
        <w:rPr>
          <w:rFonts w:hint="eastAsia" w:ascii="仿宋" w:hAnsi="仿宋" w:eastAsia="仿宋" w:cs="仿宋"/>
          <w:sz w:val="32"/>
          <w:szCs w:val="32"/>
        </w:rPr>
        <w:t>三是盘活低效资源，加速产业升级。加强空间资源梳理，盘活低效闲置资源。借助全国第五次经济普查清查工作，加强与辖区重点楼宇、单位物业联络，摸清楼宇空间资源，为下一步招商引资打好基础。截至2023年三季度，已梳理辖区98座商用楼宇，总面积231万平方米，空置面积6.83万平方米；11个保增长地块，空置面积2663平米，拟结合楼宇特点，针对性的开展招商引资。加强主动服务力度，积极推动业态升级。</w:t>
      </w:r>
    </w:p>
    <w:p>
      <w:pPr>
        <w:pStyle w:val="2"/>
        <w:ind w:firstLine="560"/>
        <w:rPr>
          <w:rFonts w:hint="eastAsia" w:ascii="仿宋" w:hAnsi="仿宋" w:eastAsia="仿宋" w:cs="仿宋"/>
          <w:sz w:val="32"/>
          <w:szCs w:val="32"/>
        </w:rPr>
      </w:pPr>
      <w:r>
        <w:rPr>
          <w:rFonts w:hint="eastAsia" w:ascii="仿宋" w:hAnsi="仿宋" w:eastAsia="仿宋" w:cs="仿宋"/>
          <w:sz w:val="32"/>
          <w:szCs w:val="32"/>
        </w:rPr>
        <w:t>四是密切关注动向，深化稳企服务。密切联系异地经营企业，对“两类异地”企业逐一分析研判，多措并举对症施策。主要领导亲自抓、分管领导具体抓、强化部门协同，实行一企一议，提供更精准的服务，全力推动企业实现经营地、注册地合一，积极争取落户本辖区。对走访中发现的有外迁风险的企业第一时间启动挽留机制。根据企业具体情况与特点，积极争取区领导与区专班的支持，及时上门“送政策、解难题、优服务”。成功挽留北京经纶全讯科技有限公司的工作已经取得初步成效。积极与中国投资协会财税与投资发展中心对接，宣讲我区惠企政策与辖区优势，倾听意见建议，发挥协会纽带作用，拓宽产业招商“朋友圈”。</w:t>
      </w:r>
    </w:p>
    <w:p>
      <w:pPr>
        <w:pStyle w:val="2"/>
        <w:ind w:firstLine="640"/>
        <w:rPr>
          <w:rFonts w:hint="eastAsia" w:ascii="仿宋" w:hAnsi="仿宋" w:eastAsia="仿宋" w:cs="仿宋"/>
          <w:sz w:val="32"/>
          <w:szCs w:val="32"/>
        </w:rPr>
      </w:pPr>
      <w:r>
        <w:rPr>
          <w:rFonts w:hint="eastAsia" w:ascii="仿宋" w:hAnsi="仿宋" w:eastAsia="仿宋" w:cs="仿宋"/>
          <w:sz w:val="32"/>
          <w:szCs w:val="32"/>
        </w:rPr>
        <w:t>2.社会效益</w:t>
      </w:r>
    </w:p>
    <w:p>
      <w:pPr>
        <w:pStyle w:val="2"/>
        <w:ind w:firstLine="42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t>2023年度我单位产生的社会效益如下：</w:t>
      </w:r>
    </w:p>
    <w:p>
      <w:pPr>
        <w:pStyle w:val="2"/>
        <w:ind w:firstLine="560"/>
        <w:rPr>
          <w:rFonts w:hint="eastAsia" w:ascii="仿宋" w:hAnsi="仿宋" w:eastAsia="仿宋" w:cs="仿宋"/>
          <w:sz w:val="32"/>
          <w:szCs w:val="32"/>
        </w:rPr>
      </w:pPr>
      <w:r>
        <w:rPr>
          <w:rFonts w:hint="eastAsia" w:ascii="仿宋" w:hAnsi="仿宋" w:eastAsia="仿宋" w:cs="仿宋"/>
          <w:sz w:val="32"/>
          <w:szCs w:val="32"/>
        </w:rPr>
        <w:t>强化思想理论武装，全面加强基层党的建设</w:t>
      </w:r>
    </w:p>
    <w:p>
      <w:pPr>
        <w:pStyle w:val="2"/>
        <w:ind w:firstLine="560"/>
        <w:rPr>
          <w:rFonts w:hint="eastAsia" w:ascii="仿宋" w:hAnsi="仿宋" w:eastAsia="仿宋" w:cs="仿宋"/>
          <w:sz w:val="32"/>
          <w:szCs w:val="32"/>
        </w:rPr>
      </w:pPr>
      <w:r>
        <w:rPr>
          <w:rFonts w:hint="eastAsia" w:ascii="仿宋" w:hAnsi="仿宋" w:eastAsia="仿宋" w:cs="仿宋"/>
          <w:sz w:val="32"/>
          <w:szCs w:val="32"/>
        </w:rPr>
        <w:t>一是不断加强思想政治学习。把学习宣传贯彻习近平新时代中国特色社会主义思想作为首要政治任务，上半年理论学习中心组开展学习交流研讨党的二十大精神6次，学习习近平总书记重要讲话3次。通过“课堂+党性”培养、“专家+专业”培养和“导师+实践”培养的方式，着力提升干部专业能力和综合素养，不断筑牢干部思想理论根基，教育引导广大干部把自己摆进去、把思想摆进去、把工作摆进去，实现“干部教、教干部”的良性循环。结合“月末大讲堂”、优秀年轻干部“青苗”培养计划和科级领导干部“领航”培养计划，实现不同职级、不同年龄段的干部能力素质双提升。</w:t>
      </w:r>
    </w:p>
    <w:p>
      <w:pPr>
        <w:pStyle w:val="2"/>
        <w:ind w:firstLine="560"/>
        <w:rPr>
          <w:rFonts w:hint="eastAsia" w:ascii="仿宋" w:hAnsi="仿宋" w:eastAsia="仿宋" w:cs="仿宋"/>
          <w:sz w:val="32"/>
          <w:szCs w:val="32"/>
        </w:rPr>
      </w:pPr>
      <w:r>
        <w:rPr>
          <w:rFonts w:hint="eastAsia" w:ascii="仿宋" w:hAnsi="仿宋" w:eastAsia="仿宋" w:cs="仿宋"/>
          <w:sz w:val="32"/>
          <w:szCs w:val="32"/>
        </w:rPr>
        <w:t>二是坚决落实意识形态工作责任。持续压紧压实意识形态工作责任制，围绕重点保障时段热点敏感舆情，实施舆情监测预警、分析研判、应对处置一体化，从监控到处理，从处理到反馈形成闭环。通过群众性精神文明常态化创建活动，强化引领、凝聚共识，27个文明实践所（站）共开展文明实践活动1100多场。深刻把握新时代宣传思想工作的新形势新任务，微信公众号“魅力月坛”紧紧围绕中心发展大局，弘扬主旋律，传播正能量,围绕学习党的二十大精神、接诉即办、老旧小区改造、安全生产等主题开展宣传，在公众号发布信息431篇，在市级以上新闻媒体刊发信息18篇，中央级新闻媒体刊发信息5篇。</w:t>
      </w:r>
    </w:p>
    <w:p>
      <w:pPr>
        <w:pStyle w:val="2"/>
        <w:ind w:firstLine="560"/>
        <w:rPr>
          <w:rFonts w:hint="eastAsia" w:ascii="仿宋" w:hAnsi="仿宋" w:eastAsia="仿宋" w:cs="仿宋"/>
          <w:sz w:val="32"/>
          <w:szCs w:val="32"/>
        </w:rPr>
      </w:pPr>
      <w:r>
        <w:rPr>
          <w:rFonts w:hint="eastAsia" w:ascii="仿宋" w:hAnsi="仿宋" w:eastAsia="仿宋" w:cs="仿宋"/>
          <w:sz w:val="32"/>
          <w:szCs w:val="32"/>
        </w:rPr>
        <w:t>三是夯实基层组织工作。持续优化“基层党组织书记半月谈”组织形式，倾听社区书记心声，探索形成查找堵点、破解难题、统一思想、推进工作的闭环机制。严格落实《基层党组织党建活动经费管理办法》，利用基层党组织党建活动经费开展有计划、有党味、有效果的各项活动，上半年已使用20余万元。高质量开展党员发展工作，把好党员入口关。2023年计划发展党员26名，截至目前，已有17名发展对象，由所在党支部召开党员大会确定接收为预备党员。制定并动态调整完善《月坛街道发展党员内部参考手册》，进一步规范党员发展，推动党员发展形成梯次化结构；制定《月坛街道年度基层党建工作考核实施方案》，完善组织力评价标准；修订《月坛街道基层党组织党建活动经费管理办法》，进一步规范党建活动经费使用；制定《月坛街道推动业委会实现党的组织覆盖工作方案》，指导社区党委做好业委会党的组织覆盖宣传动员、征求意见、研究酝酿等工作，并对社区党委上报的业委会临时党支部书记、副书记拟推荐人选进行了资格审核。在56个业委会建立临时党支部，覆盖党员190人，强化了党建引领地区物业管理。</w:t>
      </w:r>
    </w:p>
    <w:p>
      <w:pPr>
        <w:pStyle w:val="2"/>
        <w:ind w:firstLine="560"/>
        <w:rPr>
          <w:rFonts w:hint="eastAsia" w:ascii="仿宋" w:hAnsi="仿宋" w:eastAsia="仿宋" w:cs="仿宋"/>
          <w:sz w:val="32"/>
          <w:szCs w:val="32"/>
        </w:rPr>
      </w:pPr>
      <w:r>
        <w:rPr>
          <w:rFonts w:hint="eastAsia" w:ascii="仿宋" w:hAnsi="仿宋" w:eastAsia="仿宋" w:cs="仿宋"/>
          <w:sz w:val="32"/>
          <w:szCs w:val="32"/>
        </w:rPr>
        <w:t>四是开展新兴领域党建集中攻坚。加强街道工委制定处级领导联系“两新”党组织制度，调研走访问需多家企业，倾听建议、帮助发展。加大“两新”组织走访调研和联系指导力度，培育“党建强、发展强”的工作典型，选树体现时代特色、月坛特点、具有推广价值和影响力的“两新”组织党建品牌。引导新就业群体参与基层治理，当好城市“主人翁”，升级志愿积分兑换奖励，深化“捎带手”“文明随手拍”系列活动，推动其融入城市基层治理，实现“未诉先办”向前一步，以此助推街道解决好城市基层治理“最后一公里”问题，共同推动区域建设发展。共收集公共设施、环境卫生和安全防范等问题1013条，助力基层社会治理。</w:t>
      </w:r>
    </w:p>
    <w:p>
      <w:pPr>
        <w:pStyle w:val="2"/>
        <w:ind w:firstLine="560"/>
        <w:rPr>
          <w:rFonts w:hint="eastAsia" w:ascii="仿宋" w:hAnsi="仿宋" w:eastAsia="仿宋" w:cs="仿宋"/>
          <w:sz w:val="32"/>
          <w:szCs w:val="32"/>
        </w:rPr>
      </w:pPr>
      <w:r>
        <w:rPr>
          <w:rFonts w:hint="eastAsia" w:ascii="仿宋" w:hAnsi="仿宋" w:eastAsia="仿宋" w:cs="仿宋"/>
          <w:sz w:val="32"/>
          <w:szCs w:val="32"/>
        </w:rPr>
        <w:t>五是稳步推进统战群团工作。做好民族宗教领域安全维稳各项服务保障工作，关心关爱侨联同胞，开展走访慰问。加强工会基层组织建设，扎实有序推进新会员吸纳、职工之家建设、劳模服务等工作。积极组织干部群众参加“西城区全民健身运动会暨职工运动会”，在篮球比赛中拿到街道组第一名的好成绩。把妇联工作与法制宣传、扶贫助困结合起来，维护妇女合法权益，开展“家风家教”、“三八”妇女节等各类活动50余场。引领凝聚青年，加强基层团组织建设，开展困难家庭子女精准帮扶和预防青少年违法犯罪，组织开展各项志愿服务、主题团日活动60余场。</w:t>
      </w:r>
    </w:p>
    <w:p>
      <w:pPr>
        <w:pStyle w:val="2"/>
        <w:ind w:firstLine="560"/>
        <w:rPr>
          <w:rFonts w:hint="eastAsia" w:ascii="仿宋" w:hAnsi="仿宋" w:eastAsia="仿宋" w:cs="仿宋"/>
          <w:sz w:val="32"/>
          <w:szCs w:val="32"/>
        </w:rPr>
      </w:pPr>
      <w:r>
        <w:rPr>
          <w:rFonts w:hint="eastAsia" w:ascii="仿宋" w:hAnsi="仿宋" w:eastAsia="仿宋" w:cs="仿宋"/>
          <w:sz w:val="32"/>
          <w:szCs w:val="32"/>
        </w:rPr>
        <w:t>六是压实全面从严治党主体责任。通过工委扩大会定期研究党风廉政建设形势，将党风廉政建设同街道工作同部署、同落实，使班子成员充分认识到廉政建设的重要性和反对“四风”突出问题的紧迫性。制定街道工委落实全面从严治党主体责任清单43项，落实全面从严治党主体责任重点任务安排30项，处级领导干部将责任清单、重点任务安排要求落在行动上，进一步改进作风、走出办公室，积极与分管干部研究检查党风廉政建设情况，对存在的问题以及容易发生的各类苗头及时提醒，将工作落实全过程在《落实全面从严治党主体责任全程纪实手册》进行详实记录。</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3.环境效益</w:t>
      </w:r>
    </w:p>
    <w:p>
      <w:pPr>
        <w:pStyle w:val="2"/>
        <w:ind w:firstLine="560"/>
        <w:rPr>
          <w:rFonts w:hint="eastAsia" w:ascii="仿宋" w:hAnsi="仿宋" w:eastAsia="仿宋" w:cs="仿宋"/>
          <w:sz w:val="32"/>
          <w:szCs w:val="32"/>
        </w:rPr>
      </w:pPr>
      <w:r>
        <w:rPr>
          <w:rFonts w:hint="eastAsia" w:ascii="仿宋" w:hAnsi="仿宋" w:eastAsia="仿宋" w:cs="仿宋"/>
          <w:sz w:val="32"/>
          <w:szCs w:val="32"/>
        </w:rPr>
        <w:t>2023年度我单位产生的环境效益如下：</w:t>
      </w:r>
    </w:p>
    <w:p>
      <w:pPr>
        <w:pStyle w:val="2"/>
        <w:ind w:firstLine="560"/>
        <w:rPr>
          <w:rFonts w:hint="eastAsia" w:ascii="仿宋" w:hAnsi="仿宋" w:eastAsia="仿宋" w:cs="仿宋"/>
          <w:sz w:val="32"/>
          <w:szCs w:val="32"/>
        </w:rPr>
      </w:pPr>
      <w:r>
        <w:rPr>
          <w:rFonts w:hint="eastAsia" w:ascii="仿宋" w:hAnsi="仿宋" w:eastAsia="仿宋" w:cs="仿宋"/>
          <w:sz w:val="32"/>
          <w:szCs w:val="32"/>
        </w:rPr>
        <w:t>（1）净土</w:t>
      </w:r>
    </w:p>
    <w:p>
      <w:pPr>
        <w:pStyle w:val="2"/>
        <w:ind w:firstLine="560"/>
        <w:rPr>
          <w:rFonts w:hint="eastAsia" w:ascii="仿宋" w:hAnsi="仿宋" w:eastAsia="仿宋" w:cs="仿宋"/>
          <w:sz w:val="32"/>
          <w:szCs w:val="32"/>
        </w:rPr>
      </w:pPr>
      <w:r>
        <w:rPr>
          <w:rFonts w:hint="eastAsia" w:ascii="仿宋" w:hAnsi="仿宋" w:eastAsia="仿宋" w:cs="仿宋"/>
          <w:sz w:val="32"/>
          <w:szCs w:val="32"/>
        </w:rPr>
        <w:t>月坛地区现无已知发生的土壤污染情况。城市管理办公室联合平安建设办公室，加大对汽修、印刷行业等生产部门危险化学品管控力度，定期进行联合执法检查。对于疑似出现土壤污染的迹象，及时联系了区生态环境局进行监测，确保了月坛地区不发生土壤污染事件。</w:t>
      </w:r>
    </w:p>
    <w:p>
      <w:pPr>
        <w:pStyle w:val="2"/>
        <w:ind w:firstLine="560"/>
        <w:rPr>
          <w:rFonts w:hint="eastAsia" w:ascii="仿宋" w:hAnsi="仿宋" w:eastAsia="仿宋" w:cs="仿宋"/>
          <w:sz w:val="32"/>
          <w:szCs w:val="32"/>
        </w:rPr>
      </w:pPr>
      <w:r>
        <w:rPr>
          <w:rFonts w:hint="eastAsia" w:ascii="仿宋" w:hAnsi="仿宋" w:eastAsia="仿宋" w:cs="仿宋"/>
          <w:sz w:val="32"/>
          <w:szCs w:val="32"/>
        </w:rPr>
        <w:t>加强与地区医院、卫生站的联系，对医院实验室、药品存储等部门和环节进行关注，避免出现局部土壤和大气污染。定期关注地区中学化学实验室危险品储存、使用、回收情况，避免出现因化学物品挥发而造成局部的土壤和大气污染。</w:t>
      </w:r>
    </w:p>
    <w:p>
      <w:pPr>
        <w:pStyle w:val="2"/>
        <w:ind w:firstLine="560"/>
        <w:rPr>
          <w:rFonts w:hint="eastAsia" w:ascii="仿宋" w:hAnsi="仿宋" w:eastAsia="仿宋" w:cs="仿宋"/>
          <w:sz w:val="32"/>
          <w:szCs w:val="32"/>
        </w:rPr>
      </w:pPr>
      <w:r>
        <w:rPr>
          <w:rFonts w:hint="eastAsia" w:ascii="仿宋" w:hAnsi="仿宋" w:eastAsia="仿宋" w:cs="仿宋"/>
          <w:sz w:val="32"/>
          <w:szCs w:val="32"/>
        </w:rPr>
        <w:t>（2）碧水</w:t>
      </w:r>
    </w:p>
    <w:p>
      <w:pPr>
        <w:pStyle w:val="2"/>
        <w:ind w:firstLine="560"/>
        <w:rPr>
          <w:rFonts w:hint="eastAsia" w:ascii="仿宋" w:hAnsi="仿宋" w:eastAsia="仿宋" w:cs="仿宋"/>
          <w:sz w:val="32"/>
          <w:szCs w:val="32"/>
        </w:rPr>
      </w:pPr>
      <w:r>
        <w:rPr>
          <w:rFonts w:hint="eastAsia" w:ascii="仿宋" w:hAnsi="仿宋" w:eastAsia="仿宋" w:cs="仿宋"/>
          <w:sz w:val="32"/>
          <w:szCs w:val="32"/>
        </w:rPr>
        <w:t>以“三查、三清、三治、三管、三防”为工作目标，积极践行“节水优先、空间均衡、系统治理、两手发力”的治水方针。设立街道河长，由街道工委书记和办事处主任担任河长；河道沿岸各社区设立河段长，由社区党委书记、居委会主任担任河段长，定期巡查河道情况。</w:t>
      </w:r>
    </w:p>
    <w:p>
      <w:pPr>
        <w:pStyle w:val="2"/>
        <w:ind w:firstLine="560"/>
        <w:rPr>
          <w:rFonts w:hint="eastAsia" w:ascii="仿宋" w:hAnsi="仿宋" w:eastAsia="仿宋" w:cs="仿宋"/>
          <w:sz w:val="32"/>
          <w:szCs w:val="32"/>
        </w:rPr>
      </w:pPr>
      <w:r>
        <w:rPr>
          <w:rFonts w:hint="eastAsia" w:ascii="仿宋" w:hAnsi="仿宋" w:eastAsia="仿宋" w:cs="仿宋"/>
          <w:sz w:val="32"/>
          <w:szCs w:val="32"/>
        </w:rPr>
        <w:t>截至2023年12月20日，月坛街道的街道级河长共巡河2747人次、9974.93公里。其他人员巡河人数超过7200人次。</w:t>
      </w:r>
    </w:p>
    <w:p>
      <w:pPr>
        <w:pStyle w:val="2"/>
        <w:ind w:firstLine="560"/>
        <w:rPr>
          <w:rFonts w:hint="eastAsia" w:ascii="仿宋" w:hAnsi="仿宋" w:eastAsia="仿宋" w:cs="仿宋"/>
          <w:sz w:val="32"/>
          <w:szCs w:val="32"/>
        </w:rPr>
      </w:pPr>
      <w:r>
        <w:rPr>
          <w:rFonts w:hint="eastAsia" w:ascii="仿宋" w:hAnsi="仿宋" w:eastAsia="仿宋" w:cs="仿宋"/>
          <w:sz w:val="32"/>
          <w:szCs w:val="32"/>
        </w:rPr>
        <w:t>（3）大气</w:t>
      </w:r>
    </w:p>
    <w:p>
      <w:pPr>
        <w:pStyle w:val="2"/>
        <w:ind w:firstLine="560"/>
        <w:rPr>
          <w:rFonts w:hint="eastAsia" w:ascii="仿宋" w:hAnsi="仿宋" w:eastAsia="仿宋" w:cs="仿宋"/>
          <w:sz w:val="32"/>
          <w:szCs w:val="32"/>
        </w:rPr>
      </w:pPr>
      <w:r>
        <w:rPr>
          <w:rFonts w:hint="eastAsia" w:ascii="仿宋" w:hAnsi="仿宋" w:eastAsia="仿宋" w:cs="仿宋"/>
          <w:sz w:val="32"/>
          <w:szCs w:val="32"/>
        </w:rPr>
        <w:t>月坛地区现有三里河一区3号院和白云碧溪公园两个监测子站，分别安装PM2.5和TSP（粗颗粒物）监测设备。</w:t>
      </w:r>
    </w:p>
    <w:p>
      <w:pPr>
        <w:pStyle w:val="2"/>
        <w:ind w:firstLine="560"/>
        <w:rPr>
          <w:rFonts w:hint="eastAsia" w:ascii="仿宋" w:hAnsi="仿宋" w:eastAsia="仿宋" w:cs="仿宋"/>
          <w:sz w:val="32"/>
          <w:szCs w:val="32"/>
        </w:rPr>
      </w:pPr>
      <w:r>
        <w:rPr>
          <w:rFonts w:hint="eastAsia" w:ascii="仿宋" w:hAnsi="仿宋" w:eastAsia="仿宋" w:cs="仿宋"/>
          <w:sz w:val="32"/>
          <w:szCs w:val="32"/>
        </w:rPr>
        <w:t>第一、主责部分</w:t>
      </w:r>
    </w:p>
    <w:p>
      <w:pPr>
        <w:pStyle w:val="2"/>
        <w:ind w:firstLine="56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w:instrText>
      </w:r>
      <w:r>
        <w:rPr>
          <w:rFonts w:hint="eastAsia" w:ascii="仿宋" w:hAnsi="仿宋" w:eastAsia="仿宋" w:cs="仿宋"/>
          <w:sz w:val="32"/>
          <w:szCs w:val="32"/>
        </w:rPr>
        <w:instrText xml:space="preserve">= 1 \* GB3</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.完成空气质量改善目标，尽最大努力巩固空气质量改善成效。</w:t>
      </w:r>
    </w:p>
    <w:p>
      <w:pPr>
        <w:pStyle w:val="2"/>
        <w:ind w:firstLine="560"/>
        <w:rPr>
          <w:rFonts w:hint="eastAsia" w:ascii="仿宋" w:hAnsi="仿宋" w:eastAsia="仿宋" w:cs="仿宋"/>
          <w:sz w:val="32"/>
          <w:szCs w:val="32"/>
        </w:rPr>
      </w:pPr>
      <w:r>
        <w:rPr>
          <w:rFonts w:hint="eastAsia" w:ascii="仿宋" w:hAnsi="仿宋" w:eastAsia="仿宋" w:cs="仿宋"/>
          <w:sz w:val="32"/>
          <w:szCs w:val="32"/>
        </w:rPr>
        <w:t>督促并指导地区街巷环卫保洁单位进行精细化清扫保洁作业，进一步完善、细化人工清扫保洁、机械化清扫保洁和道路清洗、冲刷等工作，落实各环节工作责任人，确保严格按照各作业工艺流程、频次、顺序，开展道路机械化组合作业，确保保洁清扫及时彻底，不留死角。加大精细化治理力度，全面提升地区管控工作水平。</w:t>
      </w:r>
    </w:p>
    <w:p>
      <w:pPr>
        <w:pStyle w:val="2"/>
        <w:ind w:firstLine="560"/>
        <w:rPr>
          <w:rFonts w:hint="eastAsia" w:ascii="仿宋" w:hAnsi="仿宋" w:eastAsia="仿宋" w:cs="仿宋"/>
          <w:sz w:val="32"/>
          <w:szCs w:val="32"/>
        </w:rPr>
      </w:pPr>
      <w:r>
        <w:rPr>
          <w:rFonts w:hint="eastAsia" w:ascii="仿宋" w:hAnsi="仿宋" w:eastAsia="仿宋" w:cs="仿宋"/>
          <w:sz w:val="32"/>
          <w:szCs w:val="32"/>
        </w:rPr>
        <w:t>截至2023年12月25日数据，月坛街道PM2.5指数年累计平均值为36，按照浓度由高到低排名并列全区最优；TSP指数年累计平均值为97，按照浓度由高到低排名并列全区第5名。</w:t>
      </w:r>
    </w:p>
    <w:p>
      <w:pPr>
        <w:pStyle w:val="2"/>
        <w:ind w:firstLine="56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w:instrText>
      </w:r>
      <w:r>
        <w:rPr>
          <w:rFonts w:hint="eastAsia" w:ascii="仿宋" w:hAnsi="仿宋" w:eastAsia="仿宋" w:cs="仿宋"/>
          <w:sz w:val="32"/>
          <w:szCs w:val="32"/>
        </w:rPr>
        <w:instrText xml:space="preserve">= 2 \* GB3</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削减固定源NOx排放，巩固“无煤化”成果，严厉打击经营性企业非法使用、销售燃煤行为，严防散煤复烧。</w:t>
      </w:r>
    </w:p>
    <w:p>
      <w:pPr>
        <w:pStyle w:val="2"/>
        <w:ind w:firstLine="560"/>
        <w:rPr>
          <w:rFonts w:hint="eastAsia" w:ascii="仿宋" w:hAnsi="仿宋" w:eastAsia="仿宋" w:cs="仿宋"/>
          <w:sz w:val="32"/>
          <w:szCs w:val="32"/>
        </w:rPr>
      </w:pPr>
      <w:r>
        <w:rPr>
          <w:rFonts w:hint="eastAsia" w:ascii="仿宋" w:hAnsi="仿宋" w:eastAsia="仿宋" w:cs="仿宋"/>
          <w:sz w:val="32"/>
          <w:szCs w:val="32"/>
        </w:rPr>
        <w:t>持续高压态势打击街头游商，巩固“无煤化”成果，坚决打击、查处制作、使用、销售各类燃煤的行为。</w:t>
      </w:r>
    </w:p>
    <w:p>
      <w:pPr>
        <w:pStyle w:val="2"/>
        <w:ind w:firstLine="56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w:instrText>
      </w:r>
      <w:r>
        <w:rPr>
          <w:rFonts w:hint="eastAsia" w:ascii="仿宋" w:hAnsi="仿宋" w:eastAsia="仿宋" w:cs="仿宋"/>
          <w:sz w:val="32"/>
          <w:szCs w:val="32"/>
        </w:rPr>
        <w:instrText xml:space="preserve">= 3 \* GB3</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sz w:val="32"/>
          <w:szCs w:val="32"/>
        </w:rPr>
        <w:t>严控降尘量，全区及各街道降尘量控制在5吨/平方公里•月以内（扣除沙尘影响）。</w:t>
      </w:r>
    </w:p>
    <w:p>
      <w:pPr>
        <w:pStyle w:val="2"/>
        <w:ind w:firstLine="560"/>
        <w:rPr>
          <w:rFonts w:hint="eastAsia" w:ascii="仿宋" w:hAnsi="仿宋" w:eastAsia="仿宋" w:cs="仿宋"/>
          <w:sz w:val="32"/>
          <w:szCs w:val="32"/>
        </w:rPr>
      </w:pPr>
      <w:r>
        <w:rPr>
          <w:rFonts w:hint="eastAsia" w:ascii="仿宋" w:hAnsi="仿宋" w:eastAsia="仿宋" w:cs="仿宋"/>
          <w:sz w:val="32"/>
          <w:szCs w:val="32"/>
        </w:rPr>
        <w:t>根据中共西城区委生态文明委大气及气候工作小组办公室最新通报，截至11月数据，月坛街道降尘量累计平均值为4.9吨/月•平方公里，按照浓度由高到低进行排名全区第10名。</w:t>
      </w:r>
    </w:p>
    <w:p>
      <w:pPr>
        <w:pStyle w:val="2"/>
        <w:ind w:firstLine="56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w:instrText>
      </w:r>
      <w:r>
        <w:rPr>
          <w:rFonts w:hint="eastAsia" w:ascii="仿宋" w:hAnsi="仿宋" w:eastAsia="仿宋" w:cs="仿宋"/>
          <w:sz w:val="32"/>
          <w:szCs w:val="32"/>
        </w:rPr>
        <w:instrText xml:space="preserve">= 4 \* GB3</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Fonts w:hint="eastAsia" w:ascii="仿宋" w:hAnsi="仿宋" w:eastAsia="仿宋" w:cs="仿宋"/>
          <w:sz w:val="32"/>
          <w:szCs w:val="32"/>
        </w:rPr>
        <w:t>④</w:t>
      </w:r>
      <w:r>
        <w:rPr>
          <w:rFonts w:hint="eastAsia" w:ascii="仿宋" w:hAnsi="仿宋" w:eastAsia="仿宋" w:cs="仿宋"/>
          <w:sz w:val="32"/>
          <w:szCs w:val="32"/>
        </w:rPr>
        <w:fldChar w:fldCharType="end"/>
      </w:r>
      <w:r>
        <w:rPr>
          <w:rFonts w:hint="eastAsia" w:ascii="仿宋" w:hAnsi="仿宋" w:eastAsia="仿宋" w:cs="仿宋"/>
          <w:sz w:val="32"/>
          <w:szCs w:val="32"/>
        </w:rPr>
        <w:t>强化裸地扬尘管控，加大精细化治理力度</w:t>
      </w:r>
    </w:p>
    <w:p>
      <w:pPr>
        <w:pStyle w:val="2"/>
        <w:ind w:firstLine="560"/>
        <w:rPr>
          <w:rFonts w:hint="eastAsia" w:ascii="仿宋" w:hAnsi="仿宋" w:eastAsia="仿宋" w:cs="仿宋"/>
          <w:sz w:val="32"/>
          <w:szCs w:val="32"/>
        </w:rPr>
      </w:pPr>
      <w:r>
        <w:rPr>
          <w:rFonts w:hint="eastAsia" w:ascii="仿宋" w:hAnsi="仿宋" w:eastAsia="仿宋" w:cs="仿宋"/>
          <w:sz w:val="32"/>
          <w:szCs w:val="32"/>
        </w:rPr>
        <w:t>积极联系协调园林绿化部门，做好道路、绿地的绿化和补植工作。</w:t>
      </w:r>
    </w:p>
    <w:p>
      <w:pPr>
        <w:pStyle w:val="2"/>
        <w:ind w:firstLine="560"/>
        <w:rPr>
          <w:rFonts w:hint="eastAsia" w:ascii="仿宋" w:hAnsi="仿宋" w:eastAsia="仿宋" w:cs="仿宋"/>
          <w:sz w:val="32"/>
          <w:szCs w:val="32"/>
        </w:rPr>
      </w:pPr>
      <w:r>
        <w:rPr>
          <w:rFonts w:hint="eastAsia" w:ascii="仿宋" w:hAnsi="仿宋" w:eastAsia="仿宋" w:cs="仿宋"/>
          <w:sz w:val="32"/>
          <w:szCs w:val="32"/>
        </w:rPr>
        <w:t>针对地区老旧小区管理水平相对较低的情况，积极联系产权单位和物业管理单位，加大投入力度，最大限度的维护了小区环境秩序。</w:t>
      </w:r>
    </w:p>
    <w:p>
      <w:pPr>
        <w:pStyle w:val="2"/>
        <w:ind w:firstLine="56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w:instrText>
      </w:r>
      <w:r>
        <w:rPr>
          <w:rFonts w:hint="eastAsia" w:ascii="仿宋" w:hAnsi="仿宋" w:eastAsia="仿宋" w:cs="仿宋"/>
          <w:sz w:val="32"/>
          <w:szCs w:val="32"/>
        </w:rPr>
        <w:instrText xml:space="preserve">= 5 \* GB3</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Fonts w:hint="eastAsia" w:ascii="仿宋" w:hAnsi="仿宋" w:eastAsia="仿宋" w:cs="仿宋"/>
          <w:sz w:val="32"/>
          <w:szCs w:val="32"/>
        </w:rPr>
        <w:t>⑤</w:t>
      </w:r>
      <w:r>
        <w:rPr>
          <w:rFonts w:hint="eastAsia" w:ascii="仿宋" w:hAnsi="仿宋" w:eastAsia="仿宋" w:cs="仿宋"/>
          <w:sz w:val="32"/>
          <w:szCs w:val="32"/>
        </w:rPr>
        <w:fldChar w:fldCharType="end"/>
      </w:r>
      <w:r>
        <w:rPr>
          <w:rFonts w:hint="eastAsia" w:ascii="仿宋" w:hAnsi="仿宋" w:eastAsia="仿宋" w:cs="仿宋"/>
          <w:sz w:val="32"/>
          <w:szCs w:val="32"/>
        </w:rPr>
        <w:t>强化道路扬尘管控，提升了道路清扫保洁水平</w:t>
      </w:r>
    </w:p>
    <w:p>
      <w:pPr>
        <w:pStyle w:val="2"/>
        <w:ind w:firstLine="560"/>
        <w:rPr>
          <w:rFonts w:hint="eastAsia" w:ascii="仿宋" w:hAnsi="仿宋" w:eastAsia="仿宋" w:cs="仿宋"/>
          <w:sz w:val="32"/>
          <w:szCs w:val="32"/>
        </w:rPr>
      </w:pPr>
      <w:r>
        <w:rPr>
          <w:rFonts w:hint="eastAsia" w:ascii="仿宋" w:hAnsi="仿宋" w:eastAsia="仿宋" w:cs="仿宋"/>
          <w:sz w:val="32"/>
          <w:szCs w:val="32"/>
        </w:rPr>
        <w:t>督促并指导地区街巷环卫保洁单位进行精细化清扫保洁作业，进一步完善、细化人工清扫保洁、机械化清扫保洁和道路清洗、冲刷等工作，落实各环节工作责任人，确保严格按照各作业工艺流程、频次、顺序，开展道路机械化组合作业，确保保洁清扫及时彻底，不留死角。利用新型专业设备，每日进行饱和式作业。截至2023年12月25日，月坛街道共出动120452人次、各类车辆28802车次、洒水65322.6吨进行降尘作业。</w:t>
      </w:r>
    </w:p>
    <w:p>
      <w:pPr>
        <w:pStyle w:val="2"/>
        <w:ind w:firstLine="56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w:instrText>
      </w:r>
      <w:r>
        <w:rPr>
          <w:rFonts w:hint="eastAsia" w:ascii="仿宋" w:hAnsi="仿宋" w:eastAsia="仿宋" w:cs="仿宋"/>
          <w:sz w:val="32"/>
          <w:szCs w:val="32"/>
        </w:rPr>
        <w:instrText xml:space="preserve">= 6 \* GB3</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Fonts w:hint="eastAsia" w:ascii="仿宋" w:hAnsi="仿宋" w:eastAsia="仿宋" w:cs="仿宋"/>
          <w:sz w:val="32"/>
          <w:szCs w:val="32"/>
        </w:rPr>
        <w:t>⑥</w:t>
      </w:r>
      <w:r>
        <w:rPr>
          <w:rFonts w:hint="eastAsia" w:ascii="仿宋" w:hAnsi="仿宋" w:eastAsia="仿宋" w:cs="仿宋"/>
          <w:sz w:val="32"/>
          <w:szCs w:val="32"/>
        </w:rPr>
        <w:fldChar w:fldCharType="end"/>
      </w:r>
      <w:r>
        <w:rPr>
          <w:rFonts w:hint="eastAsia" w:ascii="仿宋" w:hAnsi="仿宋" w:eastAsia="仿宋" w:cs="仿宋"/>
          <w:sz w:val="32"/>
          <w:szCs w:val="32"/>
        </w:rPr>
        <w:t>强化施工扬尘精细化管控</w:t>
      </w:r>
    </w:p>
    <w:p>
      <w:pPr>
        <w:pStyle w:val="2"/>
        <w:ind w:firstLine="560"/>
        <w:rPr>
          <w:rFonts w:hint="eastAsia" w:ascii="仿宋" w:hAnsi="仿宋" w:eastAsia="仿宋" w:cs="仿宋"/>
          <w:sz w:val="32"/>
          <w:szCs w:val="32"/>
        </w:rPr>
      </w:pPr>
      <w:r>
        <w:rPr>
          <w:rFonts w:hint="eastAsia" w:ascii="仿宋" w:hAnsi="仿宋" w:eastAsia="仿宋" w:cs="仿宋"/>
          <w:sz w:val="32"/>
          <w:szCs w:val="32"/>
        </w:rPr>
        <w:t>全面加强地区各类施工工地执法检查力度，指导、督促施工单位落实扬尘管控措施。对于发现的问题，协调相关部门进行了就地整改；对于无法现场进行整改完成的，记录在案并全程关注、督促整改进程；对于问题相对复杂的、一时难以解决的问题，采取吹哨报道的机制，不断推进相关问题的整改和解决。</w:t>
      </w:r>
    </w:p>
    <w:p>
      <w:pPr>
        <w:pStyle w:val="2"/>
        <w:ind w:firstLine="560"/>
        <w:rPr>
          <w:rFonts w:hint="eastAsia" w:ascii="仿宋" w:hAnsi="仿宋" w:eastAsia="仿宋" w:cs="仿宋"/>
          <w:sz w:val="32"/>
          <w:szCs w:val="32"/>
        </w:rPr>
      </w:pPr>
      <w:r>
        <w:rPr>
          <w:rFonts w:hint="eastAsia" w:ascii="仿宋" w:hAnsi="仿宋" w:eastAsia="仿宋" w:cs="仿宋"/>
          <w:sz w:val="32"/>
          <w:szCs w:val="32"/>
        </w:rPr>
        <w:t>第二、协办部分</w:t>
      </w:r>
    </w:p>
    <w:p>
      <w:pPr>
        <w:pStyle w:val="2"/>
        <w:ind w:firstLine="56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w:instrText>
      </w:r>
      <w:r>
        <w:rPr>
          <w:rFonts w:hint="eastAsia" w:ascii="仿宋" w:hAnsi="仿宋" w:eastAsia="仿宋" w:cs="仿宋"/>
          <w:sz w:val="32"/>
          <w:szCs w:val="32"/>
        </w:rPr>
        <w:instrText xml:space="preserve">= 1 \* GB3</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加快高排放车淘汰，通过实施激励和约束等政策、加大执法力度、深入宣传动员等手段，综合施策加快本辖区国四排放标准营运柴油货车淘汰。</w:t>
      </w:r>
    </w:p>
    <w:p>
      <w:pPr>
        <w:pStyle w:val="2"/>
        <w:ind w:firstLine="560"/>
        <w:rPr>
          <w:rFonts w:hint="eastAsia" w:ascii="仿宋" w:hAnsi="仿宋" w:eastAsia="仿宋" w:cs="仿宋"/>
          <w:sz w:val="32"/>
          <w:szCs w:val="32"/>
        </w:rPr>
      </w:pPr>
      <w:r>
        <w:rPr>
          <w:rFonts w:hint="eastAsia" w:ascii="仿宋" w:hAnsi="仿宋" w:eastAsia="仿宋" w:cs="仿宋"/>
          <w:sz w:val="32"/>
          <w:szCs w:val="32"/>
        </w:rPr>
        <w:t>利用月坛政务通微信公众号等多媒体平台加大宣传力度，营造良好的舆论和工作氛围，倡导地区居民身体力行，自觉树立和践行绿色低碳、简约适度的生活理念。引导、鼓励居民采用绿色出行的方式，加大地区充电桩协调建设力度，鼓励居民购买新能源车辆，减少燃油车的使用。</w:t>
      </w:r>
    </w:p>
    <w:p>
      <w:pPr>
        <w:pStyle w:val="2"/>
        <w:ind w:firstLine="56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w:instrText>
      </w:r>
      <w:r>
        <w:rPr>
          <w:rFonts w:hint="eastAsia" w:ascii="仿宋" w:hAnsi="仿宋" w:eastAsia="仿宋" w:cs="仿宋"/>
          <w:sz w:val="32"/>
          <w:szCs w:val="32"/>
        </w:rPr>
        <w:instrText xml:space="preserve">= 2 \* GB3</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推进低VOCs含量产品源头替代，加强重点行业VOCs全流程管控。</w:t>
      </w:r>
    </w:p>
    <w:p>
      <w:pPr>
        <w:pStyle w:val="2"/>
        <w:ind w:firstLine="560"/>
        <w:rPr>
          <w:rFonts w:hint="eastAsia" w:ascii="仿宋" w:hAnsi="仿宋" w:eastAsia="仿宋" w:cs="仿宋"/>
          <w:sz w:val="32"/>
          <w:szCs w:val="32"/>
        </w:rPr>
      </w:pPr>
      <w:r>
        <w:rPr>
          <w:rFonts w:hint="eastAsia" w:ascii="仿宋" w:hAnsi="仿宋" w:eastAsia="仿宋" w:cs="仿宋"/>
          <w:sz w:val="32"/>
          <w:szCs w:val="32"/>
        </w:rPr>
        <w:t>加大宣传和执法检查力度。鼓励地区各类施工单位使用符合国家和本市标准的低VOCs含量涂料。配合相关部门全力推进低VOCs含量产品源头替代工作。</w:t>
      </w:r>
    </w:p>
    <w:p>
      <w:pPr>
        <w:pStyle w:val="2"/>
        <w:ind w:firstLine="560"/>
        <w:rPr>
          <w:rFonts w:hint="eastAsia" w:ascii="仿宋" w:hAnsi="仿宋" w:eastAsia="仿宋" w:cs="仿宋"/>
          <w:sz w:val="32"/>
          <w:szCs w:val="32"/>
        </w:rPr>
      </w:pPr>
      <w:r>
        <w:rPr>
          <w:rFonts w:hint="eastAsia" w:ascii="仿宋" w:hAnsi="仿宋" w:eastAsia="仿宋" w:cs="仿宋"/>
          <w:sz w:val="32"/>
          <w:szCs w:val="32"/>
        </w:rPr>
        <w:t>积极推行“一厂一策”制度，重点关注京安印刷厂、海荣印刷厂等2家驻区重点印刷企业的精细化治理工作，并配合相关部门做好检查工作。</w:t>
      </w:r>
    </w:p>
    <w:p>
      <w:pPr>
        <w:pStyle w:val="2"/>
        <w:ind w:firstLine="56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w:instrText>
      </w:r>
      <w:r>
        <w:rPr>
          <w:rFonts w:hint="eastAsia" w:ascii="仿宋" w:hAnsi="仿宋" w:eastAsia="仿宋" w:cs="仿宋"/>
          <w:sz w:val="32"/>
          <w:szCs w:val="32"/>
        </w:rPr>
        <w:instrText xml:space="preserve">= 3 \* GB3</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sz w:val="32"/>
          <w:szCs w:val="32"/>
        </w:rPr>
        <w:t>促进油品和储运环节油气减排。</w:t>
      </w:r>
    </w:p>
    <w:p>
      <w:pPr>
        <w:pStyle w:val="2"/>
        <w:ind w:firstLine="560"/>
        <w:rPr>
          <w:rFonts w:hint="eastAsia" w:ascii="仿宋" w:hAnsi="仿宋" w:eastAsia="仿宋" w:cs="仿宋"/>
          <w:sz w:val="32"/>
          <w:szCs w:val="32"/>
        </w:rPr>
      </w:pPr>
      <w:r>
        <w:rPr>
          <w:rFonts w:hint="eastAsia" w:ascii="仿宋" w:hAnsi="仿宋" w:eastAsia="仿宋" w:cs="仿宋"/>
          <w:sz w:val="32"/>
          <w:szCs w:val="32"/>
        </w:rPr>
        <w:t>配合相关部门对生产、销售和使用环节机动车和非道路移动机械用油品及清净剂、NOx还原剂等产品质量开展监督检查，依法查处不合格燃料。</w:t>
      </w:r>
    </w:p>
    <w:p>
      <w:pPr>
        <w:pStyle w:val="2"/>
        <w:ind w:firstLine="560"/>
        <w:rPr>
          <w:rFonts w:hint="eastAsia" w:ascii="仿宋" w:hAnsi="仿宋" w:eastAsia="仿宋" w:cs="仿宋"/>
          <w:sz w:val="32"/>
          <w:szCs w:val="32"/>
        </w:rPr>
      </w:pPr>
      <w:r>
        <w:rPr>
          <w:rFonts w:hint="eastAsia" w:ascii="仿宋" w:hAnsi="仿宋" w:eastAsia="仿宋" w:cs="仿宋"/>
          <w:sz w:val="32"/>
          <w:szCs w:val="32"/>
        </w:rPr>
        <w:t>配合相关部门开展清除无证无照经营黑加油站点、流动加油罐车专项整治行动；加大向施工工地非道路移动机械违法销售油品查处力度。</w:t>
      </w:r>
    </w:p>
    <w:p>
      <w:pPr>
        <w:pStyle w:val="2"/>
        <w:ind w:firstLine="56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w:instrText>
      </w:r>
      <w:r>
        <w:rPr>
          <w:rFonts w:hint="eastAsia" w:ascii="仿宋" w:hAnsi="仿宋" w:eastAsia="仿宋" w:cs="仿宋"/>
          <w:sz w:val="32"/>
          <w:szCs w:val="32"/>
        </w:rPr>
        <w:instrText xml:space="preserve">= 4 \* GB3</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Fonts w:hint="eastAsia" w:ascii="仿宋" w:hAnsi="仿宋" w:eastAsia="仿宋" w:cs="仿宋"/>
          <w:sz w:val="32"/>
          <w:szCs w:val="32"/>
        </w:rPr>
        <w:t>④</w:t>
      </w:r>
      <w:r>
        <w:rPr>
          <w:rFonts w:hint="eastAsia" w:ascii="仿宋" w:hAnsi="仿宋" w:eastAsia="仿宋" w:cs="仿宋"/>
          <w:sz w:val="32"/>
          <w:szCs w:val="32"/>
        </w:rPr>
        <w:fldChar w:fldCharType="end"/>
      </w:r>
      <w:r>
        <w:rPr>
          <w:rFonts w:hint="eastAsia" w:ascii="仿宋" w:hAnsi="仿宋" w:eastAsia="仿宋" w:cs="仿宋"/>
          <w:sz w:val="32"/>
          <w:szCs w:val="32"/>
        </w:rPr>
        <w:t>加强烟花爆竹管控、倡导文明祭祀。</w:t>
      </w:r>
    </w:p>
    <w:p>
      <w:pPr>
        <w:pStyle w:val="2"/>
        <w:ind w:firstLine="560"/>
        <w:rPr>
          <w:rFonts w:hint="eastAsia" w:ascii="仿宋" w:hAnsi="仿宋" w:eastAsia="仿宋" w:cs="仿宋"/>
          <w:sz w:val="32"/>
          <w:szCs w:val="32"/>
        </w:rPr>
      </w:pPr>
      <w:r>
        <w:rPr>
          <w:rFonts w:hint="eastAsia" w:ascii="仿宋" w:hAnsi="仿宋" w:eastAsia="仿宋" w:cs="仿宋"/>
          <w:sz w:val="32"/>
          <w:szCs w:val="32"/>
        </w:rPr>
        <w:t>在元旦、春节等重点时段，安排机关干部和社区干部上岗值守，劝阻燃放烟花炮竹的行为。采取多种方式，广泛宣传燃放烟花爆竹的危险性和对空气污染的情况，倡导居民采取文明的方式，环保、安全、祥和、欢乐的欢度佳节。</w:t>
      </w:r>
    </w:p>
    <w:p>
      <w:pPr>
        <w:pStyle w:val="2"/>
        <w:ind w:firstLine="560"/>
        <w:rPr>
          <w:rFonts w:hint="eastAsia" w:ascii="仿宋" w:hAnsi="仿宋" w:eastAsia="仿宋" w:cs="仿宋"/>
          <w:sz w:val="32"/>
          <w:szCs w:val="32"/>
        </w:rPr>
      </w:pPr>
      <w:r>
        <w:rPr>
          <w:rFonts w:hint="eastAsia" w:ascii="仿宋" w:hAnsi="仿宋" w:eastAsia="仿宋" w:cs="仿宋"/>
          <w:sz w:val="32"/>
          <w:szCs w:val="32"/>
        </w:rPr>
        <w:t>在重点时间、节点，安排人员加强巡查，劝阻焚烧等不文明行为，采取宣传、沟通等方式，倡导居民文明祭祀、寄托哀思。在尊重民族传统的基础上，宣传文明的祭奠方式。</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4.可持续</w:t>
      </w:r>
      <w:r>
        <w:rPr>
          <w:rFonts w:hint="eastAsia" w:ascii="仿宋" w:hAnsi="仿宋" w:eastAsia="仿宋" w:cs="仿宋"/>
          <w:sz w:val="32"/>
          <w:szCs w:val="32"/>
        </w:rPr>
        <w:t>性影响</w:t>
      </w:r>
    </w:p>
    <w:p>
      <w:pPr>
        <w:pStyle w:val="2"/>
        <w:ind w:firstLine="560"/>
        <w:rPr>
          <w:rFonts w:hint="eastAsia" w:ascii="仿宋" w:hAnsi="仿宋" w:eastAsia="仿宋" w:cs="仿宋"/>
          <w:sz w:val="32"/>
          <w:szCs w:val="32"/>
        </w:rPr>
      </w:pPr>
      <w:r>
        <w:rPr>
          <w:rFonts w:hint="eastAsia" w:ascii="仿宋" w:hAnsi="仿宋" w:eastAsia="仿宋" w:cs="仿宋"/>
          <w:sz w:val="32"/>
          <w:szCs w:val="32"/>
        </w:rPr>
        <w:t>2023年度我单位产生的可持续影响效益如下：</w:t>
      </w:r>
    </w:p>
    <w:p>
      <w:pPr>
        <w:pStyle w:val="2"/>
        <w:ind w:firstLine="560"/>
        <w:rPr>
          <w:rFonts w:hint="eastAsia" w:ascii="仿宋" w:hAnsi="仿宋" w:eastAsia="仿宋" w:cs="仿宋"/>
          <w:sz w:val="32"/>
          <w:szCs w:val="32"/>
        </w:rPr>
      </w:pPr>
      <w:r>
        <w:rPr>
          <w:rFonts w:hint="eastAsia" w:ascii="仿宋" w:hAnsi="仿宋" w:eastAsia="仿宋" w:cs="仿宋"/>
          <w:sz w:val="32"/>
          <w:szCs w:val="32"/>
        </w:rPr>
        <w:t>（1）提升政治站位，坚决扛起地区生态文明建设和生态环境保护工作的政治责任</w:t>
      </w:r>
    </w:p>
    <w:p>
      <w:pPr>
        <w:pStyle w:val="2"/>
        <w:ind w:firstLine="56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落实习近平生态文明思想，按照中央、市、区各级党委和政府关于生态环境保护工作的决策部署、要求，把做好环保工作作为我们践行“红墙意识”、当好“红墙先锋”的重要抓手，进一步转变工作思路，变被动改进为主动作为，认真落实生态环保精细化管理和“一微克”行动理念。坚决扛起地区生态文明建设和生态环境保护工作的政治责任，全面落实各项环保工作职责，用实际行动践行党的二十大报告中关于建设美丽中国、人与自然和谐共生的理念要求。</w:t>
      </w:r>
    </w:p>
    <w:p>
      <w:pPr>
        <w:pStyle w:val="2"/>
        <w:ind w:firstLine="560"/>
        <w:rPr>
          <w:rFonts w:hint="eastAsia" w:ascii="仿宋" w:hAnsi="仿宋" w:eastAsia="仿宋" w:cs="仿宋"/>
          <w:sz w:val="32"/>
          <w:szCs w:val="32"/>
        </w:rPr>
      </w:pPr>
      <w:r>
        <w:rPr>
          <w:rFonts w:hint="eastAsia" w:ascii="仿宋" w:hAnsi="仿宋" w:eastAsia="仿宋" w:cs="仿宋"/>
          <w:sz w:val="32"/>
          <w:szCs w:val="32"/>
        </w:rPr>
        <w:t>（2）打造“大环保”体系，培养专业队伍</w:t>
      </w:r>
    </w:p>
    <w:p>
      <w:pPr>
        <w:pStyle w:val="2"/>
        <w:ind w:firstLine="560"/>
        <w:rPr>
          <w:rFonts w:hint="eastAsia" w:ascii="仿宋" w:hAnsi="仿宋" w:eastAsia="仿宋" w:cs="仿宋"/>
          <w:sz w:val="32"/>
          <w:szCs w:val="32"/>
        </w:rPr>
      </w:pPr>
      <w:r>
        <w:rPr>
          <w:rFonts w:hint="eastAsia" w:ascii="仿宋" w:hAnsi="仿宋" w:eastAsia="仿宋" w:cs="仿宋"/>
          <w:sz w:val="32"/>
          <w:szCs w:val="32"/>
        </w:rPr>
        <w:t>统筹开展大气污染精细化治理、土壤污染防控、地区河湖流域保持、环境绿化美化、城市清洁卫生、垃圾分类处理回收、节能环保设施普及等大环保工作，提升工作效能。以综合行政执法、环保、市场、防火、消防等部门为“点”式精准执法打击力量，以街巷服务部门为“线”式管控力量，以社区为“面”式巡查力量，做到点线面相结合，以点带线、以线串面，不断强化梯队建设，打造一支高效率的环保工作队伍。</w:t>
      </w:r>
    </w:p>
    <w:p>
      <w:pPr>
        <w:pStyle w:val="2"/>
        <w:ind w:firstLine="560"/>
        <w:rPr>
          <w:rFonts w:hint="eastAsia" w:ascii="仿宋" w:hAnsi="仿宋" w:eastAsia="仿宋" w:cs="仿宋"/>
          <w:sz w:val="32"/>
          <w:szCs w:val="32"/>
        </w:rPr>
      </w:pPr>
      <w:r>
        <w:rPr>
          <w:rFonts w:hint="eastAsia" w:ascii="仿宋" w:hAnsi="仿宋" w:eastAsia="仿宋" w:cs="仿宋"/>
          <w:sz w:val="32"/>
          <w:szCs w:val="32"/>
        </w:rPr>
        <w:t>（3）配合相关部门，做好环保等工作，形成良好的可持续影响闭环。</w:t>
      </w:r>
    </w:p>
    <w:p>
      <w:pPr>
        <w:pStyle w:val="2"/>
        <w:ind w:firstLine="560"/>
        <w:rPr>
          <w:rFonts w:hint="eastAsia" w:ascii="仿宋" w:hAnsi="仿宋" w:eastAsia="仿宋" w:cs="仿宋"/>
          <w:sz w:val="32"/>
          <w:szCs w:val="32"/>
        </w:rPr>
      </w:pPr>
      <w:r>
        <w:rPr>
          <w:rFonts w:hint="eastAsia" w:ascii="仿宋" w:hAnsi="仿宋" w:eastAsia="仿宋" w:cs="仿宋"/>
          <w:sz w:val="32"/>
          <w:szCs w:val="32"/>
        </w:rPr>
        <w:t>提高思想认识，加强内协调沟通。彻底将“唯排名论”的意识转变为“正视环保工作问题、切实履行环保职责”，坚决杜绝环保形式主义。配合相关部门做好其他领域的环保工作，从宽领域、深层次、多角度着手，形成多部门齐抓共管，全社会共治共享的环保工作局面。</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（三）服务对象</w:t>
      </w:r>
      <w:r>
        <w:rPr>
          <w:rFonts w:hint="eastAsia" w:ascii="仿宋" w:hAnsi="仿宋" w:eastAsia="仿宋" w:cs="仿宋"/>
          <w:sz w:val="32"/>
          <w:szCs w:val="32"/>
        </w:rPr>
        <w:t>满意度</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打造特色亮点，努力提升服务群众水平，使月坛地区的居民普遍满意。</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1）不断提高为老服务水平。深入推进党建引领老干部工作向基层延伸，引导街道离退休干部主动到社区报到，开展“我在红墙边”老党员先锋队志愿服务实践活动，强化26个社区老党员先锋队规范化建设。综合考虑月坛地区人口规模和基础生活设施分布状况、服务需求、服务半径等因素，重新合理规划了月坛、三里河、长安商场、复兴商业城和首都博物馆5个十分钟便民生活圈，为后续继续完善商圈业态提供了保证。构建“一键呼”居家安全响应机制及服务体系，今年已登记安装2175部，超额完成全年任务。依托专业社会组织和社区养老服务驿站试点时间银行制度，引导社区现有的各类志愿者和公益组织为有需求的老年人提供临时陪伴、精神慰藉等公益服务，真正构筑“月服务、月幸福”的社区之家。与华方集团、公安大学等单位牵手，新增10家养老助餐单位，其中月坛街道华方居家养老餐集配中心，是全市最大养老助餐中心。截至目前，养老助餐点服务数量累计172927人次，养老服务驿站开展辐射服务共计155893人次。</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2）社会保障扎实有力。积极创新“党务+政务”服务理念，以党群服务中心为主阵地，双中心一体化开展楼宇服务，厘清区级、街道级两个层级政务服务资源，成功实现“一窗式”服务。将高频办理事项清单、办事流程上墙，实现企业变更、卫生许可、残疾人就业认证等561项企业高频政务服务事项与区级政务服务中心无差别咨询受理。党建引领服务资源聚合下沉，推动区级部门资源下沉，实现个人社会保障卡挂失与解挂、社会保障卡补领、换领、换发、城乡居民养老保险参保登记等50项个人高频政务服务事项与街道政务服务中心同质同效。楼宇企业借助楼内的政务服务站可实现“一站通办”，既能满足企业事项办理又能帮助办理个人事项，一经推出便受到广泛好评。截至目前，政务服务中心共计办理业务18441件，接待咨询21366人次。其中窗口咨询9672次，电话咨询11694次。</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3）公共服务供给更加完善。圆满完成西城区教育督导迎检工作，通过开展自评、个别访谈、实地考察等方式，对学区组织与管理、社区教育培训等17个要素进行督导检查。以白云观历史文化古迹和景观为阵地，深耕优秀文化品牌塑造，举办第十一届“白云杯”太极拳（械）邀请赛，自2012年至今邀请赛参会规模和影响力都在不断扩大，已成为“一街一品”群众文化体育的品牌活动，此次太极拳（械）邀请赛线下共有600余人参加，线上8000余人次观看直播。打造健联体全流程服务体系，与复兴医院-月坛社区卫生中心共同实施健联体管理一体化、基本医疗卫生服务一体化、基本公共卫生服务一体化、科研教学管理一体化、应对突发公共卫生抗疫管理一体化“五个一体化”。创立“健康服务三个一”机制，即每季度开展一次健康知识讲座、开展一次健康答卷、每半年开展一次满意度调查。建立详细健联体服务清单，通过十多家服务机构，针对生命全周期不同年龄的人群开展十项基础服务和七项老年人群延伸项目服务。</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4）助力经济高质量发展。紧紧围绕“依法普查、科学清查、规范清查”的工作目标，严格按照第五次全国经济普查工作要求完成“地毯式”入户单位清查第一阶段工作。实地和电话走访47家“服务包”企业，解决服务包企业诉求70条，办结率100%，满意率100%。密切联系23家异地经营企业，及时发现企业外迁风险，迅速启动挽留机制。加强空间资源梳理，盘活低效闲置资源，已梳理辖区98座商用楼宇，总面积231万平方米，空置面积6.83万平方米。协助区金服局引进华信永道科技有限公司、中邮保险资产管理公司两家规模以上企业落地已，完成企业的注册及税源转移工作。</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5）提升服务地区居民整体水平。坚持“四情”工作法，用不忘初心的激情，做敢于克难的工作；用换位思考的真情，做血肉温度的工作；用将心比心的共情，做身心触动的工作；用竭尽全力的苦情，做理解感动的工作，全力解决居民诉求。共接收“12345”案件9993件，诉求主要集中在住房、物业管理、城乡建设等方面。落实处级干部“包案”和“提级办、见面办、跟进办”工作要求，强化每日调度，进一步压实各级干部责任，强化责任落实，层层传导压力，扎实办牢、办好每一个案件。聚焦高频问题，在停车、物业管理和小区配套等矛盾集中点和高频诉求点上深入研究，克服畏难情绪，打消侥幸过关心理，用好吹哨报到机制，汇同区有关部门，尽全力帮助居民解决各类问题。建立《新邻心悦新居民走访机制》，发放《温馨服务卡》让新入住到月坛地区的居民感受到社区对居民的关注，感受到舒适感、获得归属感。及时更新常住人口信息台账，访民情、听民意、解民忧，先行一步了解居民诉求，力争未诉先办。向居民提供基层民主协商讲解、社区参与式分层协商议事规则及步骤解析、议事会模拟演练、议事协商成果宣传推广与展示等全流程服务，全面提升社区协商自治水平。打造铁二二社区协商议事厅和社会路社区楼门院示范点，积极开展分层协商。开展走访慰问，丰富职工文化生活，“北京安恒泰物业管理有限公司暖心驿站”获得“北京市最美工会户外劳动者服务站点”称号；“月坛街道三里月新党群服务中心暖心驿站”和“恒华七月党群服务中心暖心驿站”获得“全国最美工会户外劳动者服务站点”称号。</w:t>
      </w:r>
    </w:p>
    <w:p>
      <w:pPr>
        <w:pStyle w:val="2"/>
        <w:ind w:firstLine="304" w:firstLineChars="95"/>
        <w:rPr>
          <w:rFonts w:hint="eastAsia" w:ascii="仿宋" w:hAnsi="仿宋" w:eastAsia="仿宋" w:cs="仿宋"/>
          <w:b w:val="0"/>
          <w:bCs/>
          <w:sz w:val="32"/>
          <w:szCs w:val="32"/>
        </w:rPr>
      </w:pPr>
      <w:r>
        <w:rPr>
          <w:rFonts w:hint="eastAsia" w:ascii="仿宋" w:hAnsi="仿宋" w:eastAsia="仿宋" w:cs="仿宋"/>
          <w:sz w:val="32"/>
          <w:szCs w:val="32"/>
        </w:rPr>
        <w:t xml:space="preserve">   </w:t>
      </w:r>
      <w:r>
        <w:rPr>
          <w:rFonts w:hint="eastAsia" w:ascii="仿宋" w:hAnsi="仿宋" w:eastAsia="仿宋" w:cs="仿宋"/>
          <w:b w:val="0"/>
          <w:bCs/>
          <w:sz w:val="32"/>
          <w:szCs w:val="32"/>
        </w:rPr>
        <w:t>四、预算管理情况分析</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（一）财务管理</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1.财务</w:t>
      </w:r>
      <w:r>
        <w:rPr>
          <w:rFonts w:hint="eastAsia" w:ascii="仿宋" w:hAnsi="仿宋" w:eastAsia="仿宋" w:cs="仿宋"/>
          <w:sz w:val="32"/>
          <w:szCs w:val="32"/>
        </w:rPr>
        <w:t>管理制度健全性</w:t>
      </w:r>
    </w:p>
    <w:p>
      <w:pPr>
        <w:pStyle w:val="2"/>
        <w:ind w:firstLine="560"/>
        <w:rPr>
          <w:rFonts w:hint="eastAsia" w:ascii="仿宋" w:hAnsi="仿宋" w:eastAsia="仿宋" w:cs="仿宋"/>
          <w:sz w:val="32"/>
          <w:szCs w:val="32"/>
        </w:rPr>
      </w:pPr>
      <w:r>
        <w:rPr>
          <w:rFonts w:hint="eastAsia" w:ascii="仿宋" w:hAnsi="仿宋" w:eastAsia="仿宋" w:cs="仿宋"/>
          <w:sz w:val="32"/>
          <w:szCs w:val="32"/>
        </w:rPr>
        <w:t>2023年，月坛街道财政工作继续贯彻实施《中华人民共和国会计法》、《中华人民共和国预算法》、《中华人民共和国政府采购法》，加强财政、财务资金管理，强化预算的约束力，增强财务管理制度的健全性，同时，加强对财政性资金的绩效评价，以管好“家”、理好财为原则，以保稳定、惠民生、促发展为主题，以提高财政资金绩效管理为核心，以抓管理、强基础、促规范为载体，大力推进街道财政财务工作的规范化、精细化管理进程，积极构建和谐的街道财务工作新局面。</w:t>
      </w:r>
    </w:p>
    <w:p>
      <w:pPr>
        <w:pStyle w:val="2"/>
        <w:ind w:firstLine="560"/>
        <w:rPr>
          <w:rFonts w:hint="eastAsia" w:ascii="仿宋" w:hAnsi="仿宋" w:eastAsia="仿宋" w:cs="仿宋"/>
          <w:sz w:val="32"/>
          <w:szCs w:val="32"/>
        </w:rPr>
      </w:pPr>
      <w:r>
        <w:rPr>
          <w:rFonts w:hint="eastAsia" w:ascii="仿宋" w:hAnsi="仿宋" w:eastAsia="仿宋" w:cs="仿宋"/>
          <w:sz w:val="32"/>
          <w:szCs w:val="32"/>
        </w:rPr>
        <w:t>为提高我街道财务管理水平，规范内部控制，加强廉政风险防控机制建设，在2017年内部控制制度的基础上，结合机构设置改革进行修订完善。业务层面，重点围绕预算管理、收支管理、采购管理、资产管理和合同管理、基建项目管理等六方面经济业务，进行制度梳理、流程设计、风险点查找和分析。配合全响应启动内控系统建设工作，通过信息化手段让内控制度得以更好地执行。继续落实2018年区审计局对我街道党政经济责任审计及自然资源专项审计整改，依照月坛街道政府购买服务项目全过程绩效跟踪管理办法，对街道办事处以政府购买服务形式进行的经济活动，选取有代表性的项目进行跟踪，促进我街道政府购买服务项目更加科学化、规范化管理。</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2.资金使用合规性</w:t>
      </w:r>
      <w:r>
        <w:rPr>
          <w:rFonts w:hint="eastAsia" w:ascii="仿宋" w:hAnsi="仿宋" w:eastAsia="仿宋" w:cs="仿宋"/>
          <w:sz w:val="32"/>
          <w:szCs w:val="32"/>
        </w:rPr>
        <w:t>和安全性</w:t>
      </w:r>
    </w:p>
    <w:p>
      <w:pPr>
        <w:pStyle w:val="2"/>
        <w:ind w:firstLine="560"/>
        <w:rPr>
          <w:rFonts w:hint="eastAsia" w:ascii="仿宋" w:hAnsi="仿宋" w:eastAsia="仿宋" w:cs="仿宋"/>
          <w:sz w:val="32"/>
          <w:szCs w:val="32"/>
        </w:rPr>
      </w:pPr>
      <w:r>
        <w:rPr>
          <w:rFonts w:hint="eastAsia" w:ascii="仿宋" w:hAnsi="仿宋" w:eastAsia="仿宋" w:cs="仿宋"/>
          <w:sz w:val="32"/>
          <w:szCs w:val="32"/>
        </w:rPr>
        <w:t>月坛街道预算根据年度经济社会发展目标、国家宏观调控总体要求和跨年度预算平衡的需要，参考上一年预算执行情况、有关支出绩效评价结果和本年度收支预测，按照规定程序征求各方面意见后，进行预算编制。按照财政部门制定的政府收支分类科目、预算支出标准和要求，以及绩效目标管理等预算编制规定，根据其依法履行职能和事业发展的需要以及存量资产情况，编制街道预算草案。2023年支出严格按照预算执行，没有虚假列支。预算支出按照预算科目执行。严格控制不同预算科目、预算级次或者项目间预算资金的调剂，确需调剂使用的，按照财政部门的规定办理。2023年决算草案的编制符合法律、行政法规，做到了收支真实、数额准确、内容完整、报送及时。决算草案与预算相对应，严格按预算数、调整预算数、决算数分别列出，确保了资金使用的合规性和安全性。</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rPr>
        <w:t>会计</w:t>
      </w:r>
      <w:r>
        <w:rPr>
          <w:rFonts w:hint="eastAsia" w:ascii="仿宋" w:hAnsi="仿宋" w:eastAsia="仿宋" w:cs="仿宋"/>
          <w:sz w:val="32"/>
          <w:szCs w:val="32"/>
        </w:rPr>
        <w:t>基础信息完善性</w:t>
      </w:r>
    </w:p>
    <w:p>
      <w:pPr>
        <w:pStyle w:val="2"/>
        <w:ind w:firstLine="42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t xml:space="preserve"> 月坛街道2023年度依法设置会计账簿，不存在私设会计账簿的行为，不存在不相容岗位情况，确保了原始凭证真实、完整、合规，财政票据申领、使用、销毁符合规定，应税行为开具或取得税务发票，会计科目使用正确，数字准确无误，定期组织账目核对，做到了账证、账账、账表、账实相符，已建立财产清查制度，不存在伪造、变更、隐匿或者故意销毁会计凭证、会计账簿、财务会计报告的行为，往来款项及时清理，不存在长期挂账现象，符合会计档案管理规定，不存在会计资料毁损、灭失的行为，银行账户开立及管理情况符合规定，严格执行公务卡强制结算目录，确保了会计基础信息的完善性和规范性。</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（二）资产管理</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截止2023年底，本单位共有固定资产11798.43万元，其中房屋和构筑物5297.63万元，设备5359.24万元，文物和陈列品56.79万元，图书和档案39.91万元，家具和用具1044.86万元；固定资产累计折旧5687.16万元。</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截止2023年底，本单位共有无形资产39.26万元，无形资产累计摊销26.66万元。</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2023年本单位公共基础设施新增693.48万元，累计折旧295.82万元，为其他公共基础设施，其中公共照明设施7.06万元、包括路灯28个；公共环卫设施142.17万元、包括垃圾驿站8个；城市广场544.25万元，包括监控设施1个、社区座椅、平凳80个、室外公共健身器材432个、停车场充电设施189个。</w:t>
      </w:r>
    </w:p>
    <w:p>
      <w:pPr>
        <w:pStyle w:val="2"/>
        <w:ind w:firstLine="560"/>
        <w:rPr>
          <w:rFonts w:hint="eastAsia" w:ascii="仿宋" w:hAnsi="仿宋" w:eastAsia="仿宋" w:cs="仿宋"/>
          <w:sz w:val="32"/>
          <w:szCs w:val="32"/>
        </w:rPr>
      </w:pPr>
      <w:r>
        <w:rPr>
          <w:rFonts w:hint="eastAsia" w:ascii="仿宋" w:hAnsi="仿宋" w:eastAsia="仿宋" w:cs="仿宋"/>
          <w:sz w:val="32"/>
          <w:szCs w:val="32"/>
        </w:rPr>
        <w:t>根据市区两级对财务管理和资产管理的要求，结合区财政局的内控制度规范，我街道严格认真总结了本部门贯彻落实《行政事业性国有资产管理条例》（国务院令第738号）举措，规范固定资产各项工作流程，强化部门间的沟通机制，将固定资产管理落实到位。</w:t>
      </w:r>
    </w:p>
    <w:p>
      <w:pPr>
        <w:pStyle w:val="2"/>
        <w:ind w:firstLine="560"/>
        <w:rPr>
          <w:rFonts w:hint="eastAsia" w:ascii="仿宋" w:hAnsi="仿宋" w:eastAsia="仿宋" w:cs="仿宋"/>
          <w:sz w:val="32"/>
          <w:szCs w:val="32"/>
        </w:rPr>
      </w:pPr>
      <w:r>
        <w:rPr>
          <w:rFonts w:hint="eastAsia" w:ascii="仿宋" w:hAnsi="仿宋" w:eastAsia="仿宋" w:cs="仿宋"/>
          <w:sz w:val="32"/>
          <w:szCs w:val="32"/>
        </w:rPr>
        <w:t>为加强我街道固定资产的管理，规范资产处置行为，根据《北京市西城区行政事业单位国有资产管理办法》等文件，结合我街道实际情况，建立固定资产管理制度，制定《月坛街道办事处固定资产管理规定》与《国有资产新增与报废处置流程图》，规范固定资产管理。</w:t>
      </w:r>
    </w:p>
    <w:p>
      <w:pPr>
        <w:pStyle w:val="2"/>
        <w:ind w:firstLine="560"/>
        <w:rPr>
          <w:rFonts w:hint="eastAsia" w:ascii="仿宋" w:hAnsi="仿宋" w:eastAsia="仿宋" w:cs="仿宋"/>
          <w:sz w:val="32"/>
          <w:szCs w:val="32"/>
        </w:rPr>
      </w:pPr>
      <w:r>
        <w:rPr>
          <w:rFonts w:hint="eastAsia" w:ascii="仿宋" w:hAnsi="仿宋" w:eastAsia="仿宋" w:cs="仿宋"/>
          <w:sz w:val="32"/>
          <w:szCs w:val="32"/>
        </w:rPr>
        <w:t xml:space="preserve">街道按责任人实施分块管理的固定资产管理网格，共分为三大块：机关固定资产、社区固定资产及信息化设备。同时成立月坛街道办事处固定资产管理工作领导小组，实行“三方共管”的管理方法，建立机关及社区固定资产定位卡，定期组织固定资产进行盘查，确保账、卡、物三相符。 </w:t>
      </w:r>
    </w:p>
    <w:p>
      <w:pPr>
        <w:pStyle w:val="2"/>
        <w:ind w:firstLine="560"/>
        <w:rPr>
          <w:rFonts w:hint="eastAsia" w:ascii="仿宋" w:hAnsi="仿宋" w:eastAsia="仿宋" w:cs="仿宋"/>
          <w:sz w:val="32"/>
          <w:szCs w:val="32"/>
        </w:rPr>
      </w:pPr>
      <w:r>
        <w:rPr>
          <w:rFonts w:hint="eastAsia" w:ascii="仿宋" w:hAnsi="仿宋" w:eastAsia="仿宋" w:cs="仿宋"/>
          <w:sz w:val="32"/>
          <w:szCs w:val="32"/>
        </w:rPr>
        <w:t>街道在2023年第四季度开展全面的资产清查，并以清查结果为依据完善资产信息，做到帐实相符，为固定资产的后续管理工作以及融入预算一体化系统的工作打下坚实基础。</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（三）绩效</w:t>
      </w:r>
      <w:r>
        <w:rPr>
          <w:rFonts w:hint="eastAsia" w:ascii="仿宋" w:hAnsi="仿宋" w:eastAsia="仿宋" w:cs="仿宋"/>
          <w:sz w:val="32"/>
          <w:szCs w:val="32"/>
        </w:rPr>
        <w:t>管理</w:t>
      </w:r>
    </w:p>
    <w:p>
      <w:pPr>
        <w:pStyle w:val="2"/>
        <w:ind w:firstLine="560"/>
        <w:rPr>
          <w:rFonts w:hint="eastAsia" w:ascii="仿宋" w:hAnsi="仿宋" w:eastAsia="仿宋" w:cs="仿宋"/>
          <w:sz w:val="32"/>
          <w:szCs w:val="32"/>
        </w:rPr>
      </w:pPr>
      <w:r>
        <w:rPr>
          <w:rFonts w:hint="eastAsia" w:ascii="仿宋" w:hAnsi="仿宋" w:eastAsia="仿宋" w:cs="仿宋"/>
          <w:sz w:val="32"/>
          <w:szCs w:val="32"/>
        </w:rPr>
        <w:t>为加强预算绩效管理，强化支出责任，建立科学、合理的财政支出绩效跟踪机制，提高财政资金使用效益，切实做好项目支出的绩效监控管理工作，根据《北京市西城区财政局关于开展2023年度财政支出绩效评价工作的通知》（西财监〔2023〕51号）等文件要求，我单位圆满的地完成了2023年项目支出绩效目标执行监控工作，现将整体绩效管理工作情况总结如下：</w:t>
      </w:r>
    </w:p>
    <w:p>
      <w:pPr>
        <w:pStyle w:val="2"/>
        <w:ind w:firstLine="560"/>
        <w:rPr>
          <w:rFonts w:hint="eastAsia" w:ascii="仿宋" w:hAnsi="仿宋" w:eastAsia="仿宋" w:cs="仿宋"/>
          <w:sz w:val="32"/>
          <w:szCs w:val="32"/>
        </w:rPr>
      </w:pPr>
      <w:r>
        <w:rPr>
          <w:rFonts w:hint="eastAsia" w:ascii="仿宋" w:hAnsi="仿宋" w:eastAsia="仿宋" w:cs="仿宋"/>
          <w:sz w:val="32"/>
          <w:szCs w:val="32"/>
        </w:rPr>
        <w:t>绩效跟踪工作机构设置及职责分工：为保证绩效监控工作的有效开展，我单位成立了绩效跟踪领导小组，全面指导预算绩效管理工作。由综合办公室（财政）具体负责组织、协调、指导一委七办三中心开展工作；编制全年运行监控的工作计划。指导、审核各重点监控项目的附表填写，并负责撰写2023年度部门项目绩效目标执行监控报告。</w:t>
      </w:r>
    </w:p>
    <w:p>
      <w:pPr>
        <w:pStyle w:val="2"/>
        <w:ind w:firstLine="560"/>
        <w:rPr>
          <w:rFonts w:hint="eastAsia" w:ascii="仿宋" w:hAnsi="仿宋" w:eastAsia="仿宋" w:cs="仿宋"/>
          <w:sz w:val="32"/>
          <w:szCs w:val="32"/>
        </w:rPr>
      </w:pPr>
      <w:r>
        <w:rPr>
          <w:rFonts w:hint="eastAsia" w:ascii="仿宋" w:hAnsi="仿宋" w:eastAsia="仿宋" w:cs="仿宋"/>
          <w:sz w:val="32"/>
          <w:szCs w:val="32"/>
        </w:rPr>
        <w:t>2023年度，我街道根据区财政局的工作要求，将街道所有预算项目对其进行深入解析与检查。为有效保证运行监控工作的质量，街道领导小组定期对项目的进展、绩效实现和资金支付等情况进行了解，从项目的组织管理实施和完成阶段性绩效目标等环节进行检查，认真查找项目组织管理实施中与年度目标计划存在的差异，以及当前已实现的实际绩效与年度目标绩效间的差异，分析差异形成的原因，指出项目实施管理中存在的不足，提出改进措施与建议。由综合办公室（财政）负责对半年绩效项目的档案进行管理，认真收集整理绩效资料，并按照项目名称分别建立了资料档案，为项目执行完成后的评价工作奠定基础。</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（四）结转结余率</w:t>
      </w:r>
    </w:p>
    <w:p>
      <w:pPr>
        <w:pStyle w:val="2"/>
        <w:ind w:firstLine="42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t>2023年我单位无结转结余资金。</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（五）部门</w:t>
      </w:r>
      <w:r>
        <w:rPr>
          <w:rFonts w:hint="eastAsia" w:ascii="仿宋" w:hAnsi="仿宋" w:eastAsia="仿宋" w:cs="仿宋"/>
          <w:sz w:val="32"/>
          <w:szCs w:val="32"/>
        </w:rPr>
        <w:t>预决算差异率</w:t>
      </w:r>
    </w:p>
    <w:p>
      <w:pPr>
        <w:pStyle w:val="2"/>
        <w:ind w:firstLine="42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t>2023年我单位部门决算无差异。</w:t>
      </w:r>
    </w:p>
    <w:p>
      <w:pPr>
        <w:spacing w:line="600" w:lineRule="exact"/>
        <w:ind w:firstLine="627" w:firstLineChars="196"/>
        <w:rPr>
          <w:rFonts w:hint="eastAsia" w:ascii="仿宋" w:hAnsi="仿宋" w:eastAsia="仿宋" w:cs="仿宋"/>
          <w:b w:val="0"/>
          <w:bCs/>
          <w:sz w:val="32"/>
          <w:szCs w:val="32"/>
        </w:rPr>
      </w:pPr>
      <w:r>
        <w:rPr>
          <w:rFonts w:hint="eastAsia" w:ascii="仿宋" w:hAnsi="仿宋" w:eastAsia="仿宋" w:cs="仿宋"/>
          <w:b w:val="0"/>
          <w:bCs/>
          <w:sz w:val="32"/>
          <w:szCs w:val="32"/>
        </w:rPr>
        <w:t>五、总体评价结论</w:t>
      </w:r>
    </w:p>
    <w:p>
      <w:pPr>
        <w:pStyle w:val="16"/>
        <w:numPr>
          <w:ilvl w:val="0"/>
          <w:numId w:val="1"/>
        </w:numPr>
        <w:spacing w:line="600" w:lineRule="exact"/>
        <w:ind w:firstLineChars="0"/>
        <w:rPr>
          <w:rFonts w:hint="eastAsia" w:ascii="仿宋" w:hAnsi="仿宋" w:eastAsia="仿宋" w:cs="仿宋"/>
          <w:sz w:val="32"/>
          <w:szCs w:val="32"/>
        </w:rPr>
      </w:pPr>
      <w:r>
        <w:rPr>
          <w:rFonts w:hint="eastAsia" w:ascii="仿宋" w:hAnsi="仿宋" w:eastAsia="仿宋" w:cs="仿宋"/>
          <w:sz w:val="32"/>
          <w:szCs w:val="32"/>
        </w:rPr>
        <w:t>评价</w:t>
      </w:r>
      <w:r>
        <w:rPr>
          <w:rFonts w:hint="eastAsia" w:ascii="仿宋" w:hAnsi="仿宋" w:eastAsia="仿宋" w:cs="仿宋"/>
          <w:sz w:val="32"/>
          <w:szCs w:val="32"/>
        </w:rPr>
        <w:t>得分</w:t>
      </w:r>
      <w:r>
        <w:rPr>
          <w:rFonts w:hint="eastAsia" w:ascii="仿宋" w:hAnsi="仿宋" w:eastAsia="仿宋" w:cs="仿宋"/>
          <w:sz w:val="32"/>
          <w:szCs w:val="32"/>
        </w:rPr>
        <w:t>情况</w:t>
      </w:r>
    </w:p>
    <w:p>
      <w:pPr>
        <w:pStyle w:val="2"/>
        <w:ind w:firstLine="42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t>月坛街道2023年度部门整体绩效自评分97分。</w:t>
      </w:r>
    </w:p>
    <w:p>
      <w:pPr>
        <w:pStyle w:val="2"/>
        <w:ind w:firstLine="560"/>
        <w:rPr>
          <w:rFonts w:hint="eastAsia" w:ascii="仿宋" w:hAnsi="仿宋" w:eastAsia="仿宋" w:cs="仿宋"/>
          <w:sz w:val="32"/>
          <w:szCs w:val="32"/>
        </w:rPr>
      </w:pPr>
      <w:r>
        <w:rPr>
          <w:rFonts w:hint="eastAsia" w:ascii="仿宋" w:hAnsi="仿宋" w:eastAsia="仿宋" w:cs="仿宋"/>
          <w:sz w:val="32"/>
          <w:szCs w:val="32"/>
        </w:rPr>
        <w:t>1.预算执行管理指标</w:t>
      </w:r>
    </w:p>
    <w:p>
      <w:pPr>
        <w:pStyle w:val="2"/>
        <w:ind w:firstLine="560"/>
        <w:rPr>
          <w:rFonts w:hint="eastAsia" w:ascii="仿宋" w:hAnsi="仿宋" w:eastAsia="仿宋" w:cs="仿宋"/>
          <w:sz w:val="32"/>
          <w:szCs w:val="32"/>
        </w:rPr>
      </w:pPr>
      <w:r>
        <w:rPr>
          <w:rFonts w:hint="eastAsia" w:ascii="仿宋" w:hAnsi="仿宋" w:eastAsia="仿宋" w:cs="仿宋"/>
          <w:sz w:val="32"/>
          <w:szCs w:val="32"/>
        </w:rPr>
        <w:t>（1）部门预算完成率</w:t>
      </w:r>
    </w:p>
    <w:p>
      <w:pPr>
        <w:pStyle w:val="2"/>
        <w:ind w:firstLine="560"/>
        <w:rPr>
          <w:rFonts w:hint="eastAsia" w:ascii="仿宋" w:hAnsi="仿宋" w:eastAsia="仿宋" w:cs="仿宋"/>
          <w:sz w:val="32"/>
          <w:szCs w:val="32"/>
        </w:rPr>
      </w:pPr>
      <w:r>
        <w:rPr>
          <w:rFonts w:hint="eastAsia" w:ascii="仿宋" w:hAnsi="仿宋" w:eastAsia="仿宋" w:cs="仿宋"/>
          <w:sz w:val="32"/>
          <w:szCs w:val="32"/>
        </w:rPr>
        <w:t>2023年财政拨款实际执行决算数</w:t>
      </w:r>
      <w:r>
        <w:rPr>
          <w:rFonts w:hint="eastAsia" w:ascii="仿宋" w:hAnsi="仿宋" w:eastAsia="仿宋" w:cs="仿宋"/>
          <w:sz w:val="32"/>
          <w:szCs w:val="32"/>
        </w:rPr>
        <w:t>4197.68</w:t>
      </w:r>
      <w:r>
        <w:rPr>
          <w:rFonts w:hint="eastAsia" w:ascii="仿宋" w:hAnsi="仿宋" w:eastAsia="仿宋" w:cs="仿宋"/>
          <w:sz w:val="32"/>
          <w:szCs w:val="32"/>
        </w:rPr>
        <w:t>万元，全年预算数</w:t>
      </w:r>
      <w:r>
        <w:rPr>
          <w:rFonts w:hint="eastAsia" w:ascii="仿宋" w:hAnsi="仿宋" w:eastAsia="仿宋" w:cs="仿宋"/>
          <w:sz w:val="32"/>
          <w:szCs w:val="32"/>
        </w:rPr>
        <w:t>4197.68</w:t>
      </w:r>
      <w:r>
        <w:rPr>
          <w:rFonts w:hint="eastAsia" w:ascii="仿宋" w:hAnsi="仿宋" w:eastAsia="仿宋" w:cs="仿宋"/>
          <w:sz w:val="32"/>
          <w:szCs w:val="32"/>
        </w:rPr>
        <w:t>万元，预算完成率=100%，以年度预算执行决算数与全年预算决算数的比率，反映和评价部门预算的完成程度。部门预算完成率为100%，说明预算完成率高。</w:t>
      </w:r>
    </w:p>
    <w:p>
      <w:pPr>
        <w:pStyle w:val="2"/>
        <w:ind w:firstLine="560"/>
        <w:rPr>
          <w:rFonts w:hint="eastAsia" w:ascii="仿宋" w:hAnsi="仿宋" w:eastAsia="仿宋" w:cs="仿宋"/>
          <w:sz w:val="32"/>
          <w:szCs w:val="32"/>
        </w:rPr>
      </w:pPr>
      <w:r>
        <w:rPr>
          <w:rFonts w:hint="eastAsia" w:ascii="仿宋" w:hAnsi="仿宋" w:eastAsia="仿宋" w:cs="仿宋"/>
          <w:sz w:val="32"/>
          <w:szCs w:val="32"/>
        </w:rPr>
        <w:t>（2）公用经费控制率</w:t>
      </w:r>
    </w:p>
    <w:p>
      <w:pPr>
        <w:pStyle w:val="2"/>
        <w:ind w:firstLine="560"/>
        <w:rPr>
          <w:rFonts w:hint="eastAsia" w:ascii="仿宋" w:hAnsi="仿宋" w:eastAsia="仿宋" w:cs="仿宋"/>
          <w:sz w:val="32"/>
          <w:szCs w:val="32"/>
        </w:rPr>
      </w:pPr>
      <w:r>
        <w:rPr>
          <w:rFonts w:hint="eastAsia" w:ascii="仿宋" w:hAnsi="仿宋" w:eastAsia="仿宋" w:cs="仿宋"/>
          <w:sz w:val="32"/>
          <w:szCs w:val="32"/>
        </w:rPr>
        <w:t>2023年部门公用经费年初预算873.97万元，包括办公费、印刷费、邮电费、差旅费、会议费、福利费、维修（护）费、办公用房水电费、办公用房取暖费、办公用房物业管理费、公务用车运行维护费以及其他商品和服务支出费用。2023实际公用经费支出决算为682.36万元，公用经费完成率为78.08%，说明23年的公用经费支出进度不够理想。</w:t>
      </w:r>
    </w:p>
    <w:p>
      <w:pPr>
        <w:pStyle w:val="2"/>
        <w:ind w:firstLine="387" w:firstLineChars="121"/>
        <w:rPr>
          <w:rFonts w:hint="eastAsia" w:ascii="仿宋" w:hAnsi="仿宋" w:eastAsia="仿宋" w:cs="仿宋"/>
          <w:sz w:val="32"/>
          <w:szCs w:val="32"/>
        </w:rPr>
      </w:pPr>
      <w:r>
        <w:rPr>
          <w:rFonts w:hint="eastAsia" w:ascii="仿宋" w:hAnsi="仿宋" w:eastAsia="仿宋" w:cs="仿宋"/>
          <w:sz w:val="32"/>
          <w:szCs w:val="32"/>
        </w:rPr>
        <w:t>（3）三公经费控制率</w:t>
      </w:r>
    </w:p>
    <w:p>
      <w:pPr>
        <w:pStyle w:val="2"/>
        <w:ind w:firstLine="320" w:firstLineChars="100"/>
        <w:rPr>
          <w:rFonts w:hint="eastAsia" w:ascii="仿宋" w:hAnsi="仿宋" w:eastAsia="仿宋" w:cs="仿宋"/>
          <w:sz w:val="32"/>
          <w:szCs w:val="32"/>
        </w:rPr>
      </w:pPr>
      <w:r>
        <w:rPr>
          <w:rFonts w:hint="eastAsia" w:ascii="仿宋" w:hAnsi="仿宋" w:eastAsia="仿宋" w:cs="仿宋"/>
          <w:sz w:val="32"/>
          <w:szCs w:val="32"/>
        </w:rPr>
        <w:t>2023年三公经费控制率=（2023年三公经费实际支出数0.43万元÷三公经费年初预算数6.96万元）*100%=6.18%。说明本单位三公经费预算支出控制较好。</w:t>
      </w:r>
    </w:p>
    <w:p>
      <w:pPr>
        <w:pStyle w:val="2"/>
        <w:ind w:firstLine="320" w:firstLineChars="100"/>
        <w:rPr>
          <w:rFonts w:hint="eastAsia" w:ascii="仿宋" w:hAnsi="仿宋" w:eastAsia="仿宋" w:cs="仿宋"/>
          <w:sz w:val="32"/>
          <w:szCs w:val="32"/>
        </w:rPr>
      </w:pPr>
      <w:r>
        <w:rPr>
          <w:rFonts w:hint="eastAsia" w:ascii="仿宋" w:hAnsi="仿宋" w:eastAsia="仿宋" w:cs="仿宋"/>
          <w:sz w:val="32"/>
          <w:szCs w:val="32"/>
        </w:rPr>
        <w:t>（4）部门结转结余资金管理</w:t>
      </w:r>
    </w:p>
    <w:p>
      <w:pPr>
        <w:pStyle w:val="2"/>
        <w:ind w:firstLine="320" w:firstLineChars="100"/>
        <w:rPr>
          <w:rFonts w:hint="eastAsia" w:ascii="仿宋" w:hAnsi="仿宋" w:eastAsia="仿宋" w:cs="仿宋"/>
          <w:sz w:val="32"/>
          <w:szCs w:val="32"/>
        </w:rPr>
      </w:pPr>
      <w:r>
        <w:rPr>
          <w:rFonts w:hint="eastAsia" w:ascii="仿宋" w:hAnsi="仿宋" w:eastAsia="仿宋" w:cs="仿宋"/>
          <w:sz w:val="32"/>
          <w:szCs w:val="32"/>
        </w:rPr>
        <w:t>2023年结转结余为0万元，按新的出台的对预算管理实施细则，市、县级不在列支指标和计划结转，部门结转结余资金财政收回。</w:t>
      </w:r>
    </w:p>
    <w:p>
      <w:pPr>
        <w:pStyle w:val="2"/>
        <w:ind w:firstLine="320" w:firstLineChars="100"/>
        <w:rPr>
          <w:rFonts w:hint="eastAsia" w:ascii="仿宋" w:hAnsi="仿宋" w:eastAsia="仿宋" w:cs="仿宋"/>
          <w:sz w:val="32"/>
          <w:szCs w:val="32"/>
        </w:rPr>
      </w:pPr>
      <w:r>
        <w:rPr>
          <w:rFonts w:hint="eastAsia" w:ascii="仿宋" w:hAnsi="仿宋" w:eastAsia="仿宋" w:cs="仿宋"/>
          <w:sz w:val="32"/>
          <w:szCs w:val="32"/>
        </w:rPr>
        <w:t>（5）预决算信息公开</w:t>
      </w:r>
    </w:p>
    <w:p>
      <w:pPr>
        <w:pStyle w:val="2"/>
        <w:ind w:firstLine="320" w:firstLineChars="100"/>
        <w:rPr>
          <w:rFonts w:hint="eastAsia" w:ascii="仿宋" w:hAnsi="仿宋" w:eastAsia="仿宋" w:cs="仿宋"/>
          <w:sz w:val="32"/>
          <w:szCs w:val="32"/>
        </w:rPr>
      </w:pPr>
      <w:r>
        <w:rPr>
          <w:rFonts w:hint="eastAsia" w:ascii="仿宋" w:hAnsi="仿宋" w:eastAsia="仿宋" w:cs="仿宋"/>
          <w:sz w:val="32"/>
          <w:szCs w:val="32"/>
        </w:rPr>
        <w:t>月坛街道根据政府信息公开有关规定，在西城区政务公开网站上，对2023年部门预算、三公经费、绩效评价工作情况等进行了公开。基础数据资料完整、真实。</w:t>
      </w:r>
    </w:p>
    <w:p>
      <w:pPr>
        <w:pStyle w:val="2"/>
        <w:ind w:firstLine="227" w:firstLineChars="71"/>
        <w:rPr>
          <w:rFonts w:hint="eastAsia" w:ascii="仿宋" w:hAnsi="仿宋" w:eastAsia="仿宋" w:cs="仿宋"/>
          <w:sz w:val="32"/>
          <w:szCs w:val="32"/>
        </w:rPr>
      </w:pPr>
      <w:r>
        <w:rPr>
          <w:rFonts w:hint="eastAsia" w:ascii="仿宋" w:hAnsi="仿宋" w:eastAsia="仿宋" w:cs="仿宋"/>
          <w:sz w:val="32"/>
          <w:szCs w:val="32"/>
        </w:rPr>
        <w:t>（6）部门预算管理</w:t>
      </w:r>
    </w:p>
    <w:p>
      <w:pPr>
        <w:pStyle w:val="2"/>
        <w:ind w:firstLine="227" w:firstLineChars="71"/>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w:instrText>
      </w:r>
      <w:r>
        <w:rPr>
          <w:rFonts w:hint="eastAsia" w:ascii="仿宋" w:hAnsi="仿宋" w:eastAsia="仿宋" w:cs="仿宋"/>
          <w:sz w:val="32"/>
          <w:szCs w:val="32"/>
        </w:rPr>
        <w:instrText xml:space="preserve">= 1 \* GB3</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在职人员控制率</w:t>
      </w:r>
    </w:p>
    <w:p>
      <w:pPr>
        <w:pStyle w:val="2"/>
        <w:ind w:firstLine="560"/>
        <w:rPr>
          <w:rFonts w:hint="eastAsia" w:ascii="仿宋" w:hAnsi="仿宋" w:eastAsia="仿宋" w:cs="仿宋"/>
          <w:sz w:val="32"/>
          <w:szCs w:val="32"/>
        </w:rPr>
      </w:pPr>
      <w:r>
        <w:rPr>
          <w:rFonts w:hint="eastAsia" w:ascii="仿宋" w:hAnsi="仿宋" w:eastAsia="仿宋" w:cs="仿宋"/>
          <w:sz w:val="32"/>
          <w:szCs w:val="32"/>
        </w:rPr>
        <w:t>在职人员控制率=（在职人员数256人/编制数273人）×100%=93.77% ，没有超过100%，说明单位人员控制的很好。</w:t>
      </w:r>
    </w:p>
    <w:p>
      <w:pPr>
        <w:pStyle w:val="2"/>
        <w:ind w:firstLine="160" w:firstLineChars="50"/>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w:instrText>
      </w:r>
      <w:r>
        <w:rPr>
          <w:rFonts w:hint="eastAsia" w:ascii="仿宋" w:hAnsi="仿宋" w:eastAsia="仿宋" w:cs="仿宋"/>
          <w:sz w:val="32"/>
          <w:szCs w:val="32"/>
        </w:rPr>
        <w:instrText xml:space="preserve">= 2 \* GB3</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管理制度健全性</w:t>
      </w:r>
    </w:p>
    <w:p>
      <w:pPr>
        <w:pStyle w:val="2"/>
        <w:ind w:firstLine="480" w:firstLineChars="150"/>
        <w:rPr>
          <w:rFonts w:hint="eastAsia" w:ascii="仿宋" w:hAnsi="仿宋" w:eastAsia="仿宋" w:cs="仿宋"/>
          <w:sz w:val="32"/>
          <w:szCs w:val="32"/>
        </w:rPr>
      </w:pPr>
      <w:r>
        <w:rPr>
          <w:rFonts w:hint="eastAsia" w:ascii="仿宋" w:hAnsi="仿宋" w:eastAsia="仿宋" w:cs="仿宋"/>
          <w:sz w:val="32"/>
          <w:szCs w:val="32"/>
        </w:rPr>
        <w:t>本部门按照《会计法》、《预算法》、《行政事业单位内部门控制制度》等法律、法规规定制定了一系列财务管理规定，并得以认真管理实施。</w:t>
      </w:r>
    </w:p>
    <w:p>
      <w:pPr>
        <w:pStyle w:val="2"/>
        <w:ind w:firstLine="227" w:firstLineChars="71"/>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w:instrText>
      </w:r>
      <w:r>
        <w:rPr>
          <w:rFonts w:hint="eastAsia" w:ascii="仿宋" w:hAnsi="仿宋" w:eastAsia="仿宋" w:cs="仿宋"/>
          <w:sz w:val="32"/>
          <w:szCs w:val="32"/>
        </w:rPr>
        <w:instrText xml:space="preserve">= 3 \* GB3</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sz w:val="32"/>
          <w:szCs w:val="32"/>
        </w:rPr>
        <w:t>支出规范性及巡视、审计、绩效评价结果等</w:t>
      </w:r>
    </w:p>
    <w:p>
      <w:pPr>
        <w:pStyle w:val="2"/>
        <w:ind w:firstLine="560"/>
        <w:rPr>
          <w:rFonts w:hint="eastAsia" w:ascii="仿宋" w:hAnsi="仿宋" w:eastAsia="仿宋" w:cs="仿宋"/>
          <w:sz w:val="32"/>
          <w:szCs w:val="32"/>
        </w:rPr>
      </w:pPr>
      <w:r>
        <w:rPr>
          <w:rFonts w:hint="eastAsia" w:ascii="仿宋" w:hAnsi="仿宋" w:eastAsia="仿宋" w:cs="仿宋"/>
          <w:sz w:val="32"/>
          <w:szCs w:val="32"/>
        </w:rPr>
        <w:t>本部门严格执行财经纪律，牢记过紧日子思想，按规定压缩一般性支出，尤其是三公经费支出，并接受审计，巡视等监督，没有出现重大违反财政纪律等问题。</w:t>
      </w:r>
    </w:p>
    <w:p>
      <w:pPr>
        <w:pStyle w:val="2"/>
        <w:ind w:firstLine="547" w:firstLineChars="171"/>
        <w:rPr>
          <w:rFonts w:hint="eastAsia" w:ascii="仿宋" w:hAnsi="仿宋" w:eastAsia="仿宋" w:cs="仿宋"/>
          <w:sz w:val="32"/>
          <w:szCs w:val="32"/>
        </w:rPr>
      </w:pPr>
      <w:r>
        <w:rPr>
          <w:rFonts w:hint="eastAsia" w:ascii="仿宋" w:hAnsi="仿宋" w:eastAsia="仿宋" w:cs="仿宋"/>
          <w:sz w:val="32"/>
          <w:szCs w:val="32"/>
        </w:rPr>
        <w:t>（7）政府采购管理</w:t>
      </w:r>
    </w:p>
    <w:p>
      <w:pPr>
        <w:pStyle w:val="2"/>
        <w:ind w:firstLine="560"/>
        <w:rPr>
          <w:rFonts w:hint="eastAsia" w:ascii="仿宋" w:hAnsi="仿宋" w:eastAsia="仿宋" w:cs="仿宋"/>
          <w:sz w:val="32"/>
          <w:szCs w:val="32"/>
        </w:rPr>
      </w:pPr>
      <w:r>
        <w:rPr>
          <w:rFonts w:hint="eastAsia" w:ascii="仿宋" w:hAnsi="仿宋" w:eastAsia="仿宋" w:cs="仿宋"/>
          <w:sz w:val="32"/>
          <w:szCs w:val="32"/>
        </w:rPr>
        <w:t>2023年政府采购预算支出9046.77万元，严格按照采购法和相关程序进行支出。</w:t>
      </w:r>
    </w:p>
    <w:p>
      <w:pPr>
        <w:pStyle w:val="2"/>
        <w:ind w:firstLine="560"/>
        <w:rPr>
          <w:rFonts w:hint="eastAsia" w:ascii="仿宋" w:hAnsi="仿宋" w:eastAsia="仿宋" w:cs="仿宋"/>
          <w:sz w:val="32"/>
          <w:szCs w:val="32"/>
        </w:rPr>
      </w:pPr>
      <w:r>
        <w:rPr>
          <w:rFonts w:hint="eastAsia" w:ascii="仿宋" w:hAnsi="仿宋" w:eastAsia="仿宋" w:cs="仿宋"/>
          <w:sz w:val="32"/>
          <w:szCs w:val="32"/>
        </w:rPr>
        <w:t>(8）资产管理</w:t>
      </w:r>
    </w:p>
    <w:p>
      <w:pPr>
        <w:pStyle w:val="2"/>
        <w:ind w:firstLine="560"/>
        <w:rPr>
          <w:rFonts w:hint="eastAsia" w:ascii="仿宋" w:hAnsi="仿宋" w:eastAsia="仿宋" w:cs="仿宋"/>
          <w:sz w:val="32"/>
          <w:szCs w:val="32"/>
        </w:rPr>
      </w:pPr>
      <w:r>
        <w:rPr>
          <w:rFonts w:hint="eastAsia" w:ascii="仿宋" w:hAnsi="仿宋" w:eastAsia="仿宋" w:cs="仿宋"/>
          <w:sz w:val="32"/>
          <w:szCs w:val="32"/>
        </w:rPr>
        <w:t>本部门已制定有资产管理制度，并得到有效执行。资产增加，报废、处置按资产管理规定进行处理，资产处置收入足额缴入国库，每月上报财政部国有资产月报，年终做好国有资产清理工作，上报国有资产年报。</w:t>
      </w:r>
    </w:p>
    <w:p>
      <w:pPr>
        <w:pStyle w:val="2"/>
        <w:ind w:firstLine="560"/>
        <w:rPr>
          <w:rFonts w:hint="eastAsia" w:ascii="仿宋" w:hAnsi="仿宋" w:eastAsia="仿宋" w:cs="仿宋"/>
          <w:sz w:val="32"/>
          <w:szCs w:val="32"/>
        </w:rPr>
      </w:pPr>
      <w:r>
        <w:rPr>
          <w:rFonts w:hint="eastAsia" w:ascii="仿宋" w:hAnsi="仿宋" w:eastAsia="仿宋" w:cs="仿宋"/>
          <w:sz w:val="32"/>
          <w:szCs w:val="32"/>
        </w:rPr>
        <w:t>综上所诉，预算执行管理指标的总分为10分，实际得分为9分。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rPr>
        <w:t>2.产出指标</w:t>
      </w:r>
    </w:p>
    <w:p>
      <w:pPr>
        <w:rPr>
          <w:rFonts w:hint="eastAsia" w:ascii="仿宋" w:hAnsi="仿宋" w:eastAsia="仿宋" w:cs="仿宋"/>
          <w:sz w:val="32"/>
          <w:szCs w:val="32"/>
        </w:rPr>
      </w:pPr>
      <w:r>
        <w:rPr>
          <w:rFonts w:hint="eastAsia" w:ascii="仿宋" w:hAnsi="仿宋" w:eastAsia="仿宋" w:cs="仿宋"/>
          <w:sz w:val="32"/>
          <w:szCs w:val="32"/>
        </w:rPr>
        <w:t>　 （1）数量指标:</w:t>
      </w:r>
    </w:p>
    <w:p>
      <w:pPr>
        <w:rPr>
          <w:rFonts w:hint="eastAsia" w:ascii="仿宋" w:hAnsi="仿宋" w:eastAsia="仿宋" w:cs="仿宋"/>
          <w:sz w:val="32"/>
          <w:szCs w:val="32"/>
        </w:rPr>
      </w:pPr>
      <w:r>
        <w:rPr>
          <w:rFonts w:hint="eastAsia" w:ascii="仿宋" w:hAnsi="仿宋" w:eastAsia="仿宋" w:cs="仿宋"/>
          <w:sz w:val="32"/>
          <w:szCs w:val="32"/>
        </w:rPr>
        <w:t>　　①每年组织开展各种党内培训100次。机关、社区、“两新”党组织以党支部为单位，累计开展集体学习115次，主题党日活动47次，支部书记讲党课25次，集中培训13期，共计15000人次参与其中。目标值100次，完成115次。分值2分，得2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②组织街道领导班子每月一次集中研讨，全年共12次。目标值12次，完成12次。分值2分，得2分。</w:t>
      </w:r>
    </w:p>
    <w:p>
      <w:pPr>
        <w:rPr>
          <w:rFonts w:hint="eastAsia" w:ascii="仿宋" w:hAnsi="仿宋" w:eastAsia="仿宋" w:cs="仿宋"/>
          <w:sz w:val="32"/>
          <w:szCs w:val="32"/>
        </w:rPr>
      </w:pPr>
      <w:r>
        <w:rPr>
          <w:rFonts w:hint="eastAsia" w:ascii="仿宋" w:hAnsi="仿宋" w:eastAsia="仿宋" w:cs="仿宋"/>
          <w:sz w:val="32"/>
          <w:szCs w:val="32"/>
        </w:rPr>
        <w:t>　　③全面保障好各类重大活动。以责无旁贷的使命感和扎实有效的举措，锲而不舍、久久为功，在提升“四个服务”水平上持续下功夫。高标准完成全国“两会”期间天泰宾馆、职工之家两个代表住地、“一带一路”国际合作高峰论坛等多个重大活动服务保障任务，确保辖区社会面秩序良好。目标值2次，完成2次。分值2分，得2分。</w:t>
      </w:r>
    </w:p>
    <w:p>
      <w:pPr>
        <w:rPr>
          <w:rFonts w:hint="eastAsia" w:ascii="仿宋" w:hAnsi="仿宋" w:eastAsia="仿宋" w:cs="仿宋"/>
          <w:sz w:val="32"/>
          <w:szCs w:val="32"/>
        </w:rPr>
      </w:pPr>
      <w:r>
        <w:rPr>
          <w:rFonts w:hint="eastAsia" w:ascii="仿宋" w:hAnsi="仿宋" w:eastAsia="仿宋" w:cs="仿宋"/>
          <w:sz w:val="32"/>
          <w:szCs w:val="32"/>
        </w:rPr>
        <w:t>　　④拆除违法建设,拆除面积5663.78平方米。目标值大于5000平方米，实际完成5663.78平方米。分值2分，得2分。</w:t>
      </w:r>
    </w:p>
    <w:p>
      <w:pPr>
        <w:rPr>
          <w:rFonts w:hint="eastAsia" w:ascii="仿宋" w:hAnsi="仿宋" w:eastAsia="仿宋" w:cs="仿宋"/>
          <w:sz w:val="32"/>
          <w:szCs w:val="32"/>
        </w:rPr>
      </w:pPr>
      <w:r>
        <w:rPr>
          <w:rFonts w:hint="eastAsia" w:ascii="仿宋" w:hAnsi="仿宋" w:eastAsia="仿宋" w:cs="仿宋"/>
          <w:sz w:val="32"/>
          <w:szCs w:val="32"/>
        </w:rPr>
        <w:t>　　⑤排查火灾隐患，加强施工工地安全监管，全年共检查施工单位740家，发现问题隐患1670处。目标值700家，完成740家。分值2分，得2分。</w:t>
      </w:r>
    </w:p>
    <w:p>
      <w:pPr>
        <w:rPr>
          <w:rFonts w:hint="eastAsia" w:ascii="仿宋" w:hAnsi="仿宋" w:eastAsia="仿宋" w:cs="仿宋"/>
          <w:sz w:val="32"/>
          <w:szCs w:val="32"/>
        </w:rPr>
      </w:pPr>
      <w:r>
        <w:rPr>
          <w:rFonts w:hint="eastAsia" w:ascii="仿宋" w:hAnsi="仿宋" w:eastAsia="仿宋" w:cs="仿宋"/>
          <w:sz w:val="32"/>
          <w:szCs w:val="32"/>
        </w:rPr>
        <w:t>　　⑥推进地区垃圾分类及宣传工作，完成26个社区的全年垃圾减量、垃圾分类工作。目标值26个社区，完成26个。分值2分，得2分。</w:t>
      </w:r>
    </w:p>
    <w:p>
      <w:pPr>
        <w:rPr>
          <w:rFonts w:hint="eastAsia" w:ascii="仿宋" w:hAnsi="仿宋" w:eastAsia="仿宋" w:cs="仿宋"/>
          <w:sz w:val="32"/>
          <w:szCs w:val="32"/>
        </w:rPr>
      </w:pPr>
      <w:r>
        <w:rPr>
          <w:rFonts w:hint="eastAsia" w:ascii="仿宋" w:hAnsi="仿宋" w:eastAsia="仿宋" w:cs="仿宋"/>
          <w:sz w:val="32"/>
          <w:szCs w:val="32"/>
        </w:rPr>
        <w:t>　　⑦加大民生保障、社会保障社就业保障支出，完成对低保人员、优抚对象、生活困难人员、残疾人的救助金额，2023年社会救助支出为2286.46万元。目标值大于2000万元，完成2286.46万元。分值2分，得2分。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（2）质量指标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①按计划疏解非首都功能，争创“和谐示范宜居区。疏解整治工作，低端产业腾退工作完成全年任务指标，不出现安全事故。分值2分，得2分。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②达到环境卫生相关作业标准。分值2分，得2分。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③根据市区相关规定，拆除辖区内违法建设，治理“开墙打洞”并按标准恢复。分值2分，得2分。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④计划达到市区政府关于城市管理精细化指标。分值2分，得2分。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w:instrText>
      </w:r>
      <w:r>
        <w:rPr>
          <w:rFonts w:hint="eastAsia" w:ascii="仿宋" w:hAnsi="仿宋" w:eastAsia="仿宋" w:cs="仿宋"/>
          <w:sz w:val="32"/>
          <w:szCs w:val="32"/>
        </w:rPr>
        <w:instrText xml:space="preserve">= 5 \* GB3</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Fonts w:hint="eastAsia" w:ascii="仿宋" w:hAnsi="仿宋" w:eastAsia="仿宋" w:cs="仿宋"/>
          <w:sz w:val="32"/>
          <w:szCs w:val="32"/>
        </w:rPr>
        <w:t>⑤</w:t>
      </w:r>
      <w:r>
        <w:rPr>
          <w:rFonts w:hint="eastAsia" w:ascii="仿宋" w:hAnsi="仿宋" w:eastAsia="仿宋" w:cs="仿宋"/>
          <w:sz w:val="32"/>
          <w:szCs w:val="32"/>
        </w:rPr>
        <w:fldChar w:fldCharType="end"/>
      </w:r>
      <w:r>
        <w:rPr>
          <w:rFonts w:hint="eastAsia" w:ascii="仿宋" w:hAnsi="仿宋" w:eastAsia="仿宋" w:cs="仿宋"/>
          <w:sz w:val="32"/>
          <w:szCs w:val="32"/>
        </w:rPr>
        <w:t>全面加强自身建设,稳步推进机构改革，提升街道服务效能。分值2分，得2分。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w:instrText>
      </w:r>
      <w:r>
        <w:rPr>
          <w:rFonts w:hint="eastAsia" w:ascii="仿宋" w:hAnsi="仿宋" w:eastAsia="仿宋" w:cs="仿宋"/>
          <w:sz w:val="32"/>
          <w:szCs w:val="32"/>
        </w:rPr>
        <w:instrText xml:space="preserve">= 6 \* GB3</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Fonts w:hint="eastAsia" w:ascii="仿宋" w:hAnsi="仿宋" w:eastAsia="仿宋" w:cs="仿宋"/>
          <w:sz w:val="32"/>
          <w:szCs w:val="32"/>
        </w:rPr>
        <w:t>⑥</w:t>
      </w:r>
      <w:r>
        <w:rPr>
          <w:rFonts w:hint="eastAsia" w:ascii="仿宋" w:hAnsi="仿宋" w:eastAsia="仿宋" w:cs="仿宋"/>
          <w:sz w:val="32"/>
          <w:szCs w:val="32"/>
        </w:rPr>
        <w:fldChar w:fldCharType="end"/>
      </w:r>
      <w:r>
        <w:rPr>
          <w:rFonts w:hint="eastAsia" w:ascii="仿宋" w:hAnsi="仿宋" w:eastAsia="仿宋" w:cs="仿宋"/>
          <w:sz w:val="32"/>
          <w:szCs w:val="32"/>
        </w:rPr>
        <w:t>深化群众性精神文明创建活动。推进全国文明城区、文明单位、文明家庭创建工作。分值2分，得2分。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w:instrText>
      </w:r>
      <w:r>
        <w:rPr>
          <w:rFonts w:hint="eastAsia" w:ascii="仿宋" w:hAnsi="仿宋" w:eastAsia="仿宋" w:cs="仿宋"/>
          <w:sz w:val="32"/>
          <w:szCs w:val="32"/>
        </w:rPr>
        <w:instrText xml:space="preserve">= 7 \* GB3</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Fonts w:hint="eastAsia" w:ascii="仿宋" w:hAnsi="仿宋" w:eastAsia="仿宋" w:cs="仿宋"/>
          <w:sz w:val="32"/>
          <w:szCs w:val="32"/>
        </w:rPr>
        <w:t>⑦</w:t>
      </w:r>
      <w:r>
        <w:rPr>
          <w:rFonts w:hint="eastAsia" w:ascii="仿宋" w:hAnsi="仿宋" w:eastAsia="仿宋" w:cs="仿宋"/>
          <w:sz w:val="32"/>
          <w:szCs w:val="32"/>
        </w:rPr>
        <w:fldChar w:fldCharType="end"/>
      </w:r>
      <w:r>
        <w:rPr>
          <w:rFonts w:hint="eastAsia" w:ascii="仿宋" w:hAnsi="仿宋" w:eastAsia="仿宋" w:cs="仿宋"/>
          <w:sz w:val="32"/>
          <w:szCs w:val="32"/>
        </w:rPr>
        <w:t>推进环境保护精细化建设，不断强化污染源综合治理。强化大气污染治理。分值2分，得2分。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w:instrText>
      </w:r>
      <w:r>
        <w:rPr>
          <w:rFonts w:hint="eastAsia" w:ascii="仿宋" w:hAnsi="仿宋" w:eastAsia="仿宋" w:cs="仿宋"/>
          <w:sz w:val="32"/>
          <w:szCs w:val="32"/>
        </w:rPr>
        <w:instrText xml:space="preserve">= 8 \* GB3</w:instrText>
      </w:r>
      <w:r>
        <w:rPr>
          <w:rFonts w:hint="eastAsia" w:ascii="仿宋" w:hAnsi="仿宋" w:eastAsia="仿宋" w:cs="仿宋"/>
          <w:sz w:val="32"/>
          <w:szCs w:val="32"/>
        </w:rPr>
        <w:instrText xml:space="preserve"> </w:instrText>
      </w:r>
      <w:r>
        <w:rPr>
          <w:rFonts w:hint="eastAsia" w:ascii="仿宋" w:hAnsi="仿宋" w:eastAsia="仿宋" w:cs="仿宋"/>
          <w:sz w:val="32"/>
          <w:szCs w:val="32"/>
        </w:rPr>
        <w:fldChar w:fldCharType="separate"/>
      </w:r>
      <w:r>
        <w:rPr>
          <w:rFonts w:hint="eastAsia" w:ascii="仿宋" w:hAnsi="仿宋" w:eastAsia="仿宋" w:cs="仿宋"/>
          <w:sz w:val="32"/>
          <w:szCs w:val="32"/>
        </w:rPr>
        <w:t>⑧</w:t>
      </w:r>
      <w:r>
        <w:rPr>
          <w:rFonts w:hint="eastAsia" w:ascii="仿宋" w:hAnsi="仿宋" w:eastAsia="仿宋" w:cs="仿宋"/>
          <w:sz w:val="32"/>
          <w:szCs w:val="32"/>
        </w:rPr>
        <w:fldChar w:fldCharType="end"/>
      </w:r>
      <w:r>
        <w:rPr>
          <w:rFonts w:hint="eastAsia" w:ascii="仿宋" w:hAnsi="仿宋" w:eastAsia="仿宋" w:cs="仿宋"/>
          <w:sz w:val="32"/>
          <w:szCs w:val="32"/>
        </w:rPr>
        <w:t>着力保障和改善民生，进一步健全社会救助联动机制。分值2分，得2分。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（3）时效指标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月坛街道按时完成了西城区委区政府和各个委办局下达的任务，及时解决了群众的诉求、辖区内单位的请求事项。分值10分，得10分。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（4）成本指标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①部门整体预算支出。2023年部门预算数为41937.68万元，实际支出41937.68万元，执行率为100%。分值5分，得5分。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②部门预算调整金额。2023年部门预算年初数为41400.94万元，2023年共计进行了4次预算调整，项目支出方面调增3289万元，调减3236万元，财政追加53万元；基本支出方面调增743万元，调减211万元，财政追加532万元。分值5分，得4分。</w:t>
      </w:r>
    </w:p>
    <w:p>
      <w:pPr>
        <w:pStyle w:val="2"/>
        <w:ind w:firstLine="560"/>
        <w:rPr>
          <w:rFonts w:hint="eastAsia" w:ascii="仿宋" w:hAnsi="仿宋" w:eastAsia="仿宋" w:cs="仿宋"/>
          <w:sz w:val="32"/>
          <w:szCs w:val="32"/>
        </w:rPr>
      </w:pPr>
      <w:r>
        <w:rPr>
          <w:rFonts w:hint="eastAsia" w:ascii="仿宋" w:hAnsi="仿宋" w:eastAsia="仿宋" w:cs="仿宋"/>
          <w:sz w:val="32"/>
          <w:szCs w:val="32"/>
        </w:rPr>
        <w:t>综上所述，产出指标的总分为50分，实际得分为49分。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3.效益指标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（1）经济效益指标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坚持把服务企业作为振兴经济的主要突破口，不断转变观念，抢抓各种发展机遇，进一步优化投资环境，通过强化服务措施，明确工作目标，有力地促进接地哦啊经济健康持续发展。分值5分，得5分。</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社会效益指标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预防为主，主动作为，平安建设凸显成效。构建公共安全防控体系，建立应对突发紧急事件的处理预案，做好市场监管、安全生产、防汛抗旱、防火、救灾、食品药品安全等应急管理工作。做好辖区内社会治安综合治理工作，健全多元纠纷解决机制，综合发挥人民调解、行政调解和司法调解的作用，及时化解辖区社会矛盾，加大扫黑、除恶专项斗争力度，进一步突出社会治安综合治理，努力从源头上防范化解社会矛盾，确保社会稳定。分值10分，得10分。</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生态效益指标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锚定目标，争做标兵，文明创建硕果累累。抓好人居环境整治工作，美化街道生态环境。分值5分，得5分。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（4）可持续影响指标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社会保障能力不断加强。坚持应保尽保原则，努力扩大社保覆盖面，为困难居民提供便捷通道，保障了相关人群的正常生活需求，切实提高困难居民的生活水平。做好了辖区内的环境治理工作，可持续的提高了月坛地区的生活环境，分值10分，得分10分。</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综上所述，效益指标的满分为30分，实际得分为30分。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4.满意度指标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（1）上级部门满意度。目标值为全面管理工作获得上级机关或主管部门的表彰奖励，该小项满分5分，得4分。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（2）人民群众满意度。群众满意度方面，目标值大于95%，实际情况是95%，该小项满分5 分，得5分。</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综上所述，满意度指标的满分为10分，实际得分为9分。</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总的来说，预算执行管理指标9分、产出指标49分、效益指标30分、满意度指标9分，汇总之后，2023年月坛街道办事处的整体支出绩效评价的总分为97分。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（二）存在的问题及原因分析</w:t>
      </w:r>
    </w:p>
    <w:p>
      <w:pPr>
        <w:pStyle w:val="2"/>
        <w:ind w:firstLine="560"/>
        <w:rPr>
          <w:rFonts w:hint="eastAsia" w:ascii="仿宋" w:hAnsi="仿宋" w:eastAsia="仿宋" w:cs="仿宋"/>
          <w:sz w:val="32"/>
          <w:szCs w:val="32"/>
        </w:rPr>
      </w:pPr>
      <w:r>
        <w:rPr>
          <w:rFonts w:hint="eastAsia" w:ascii="仿宋" w:hAnsi="仿宋" w:eastAsia="仿宋" w:cs="仿宋"/>
          <w:sz w:val="32"/>
          <w:szCs w:val="32"/>
        </w:rPr>
        <w:t>一是部分项目绩效目标填报的科学性和准确性仍存在不足，所填报的绩效目标缺乏准确的量化衡量标准，对于产出指标设定内容的理解还存在偏差。部分项目的产出数量指标与预算内容不能完整对应；质量指标缺少清晰的控制标准与检验方式；进度指标没有进行分解，缺少时间节点的计划安排，对项目实际落实与推进的指导性作用有所不足。</w:t>
      </w:r>
    </w:p>
    <w:p>
      <w:pPr>
        <w:pStyle w:val="2"/>
        <w:ind w:firstLine="560"/>
        <w:rPr>
          <w:rFonts w:hint="eastAsia" w:ascii="仿宋" w:hAnsi="仿宋" w:eastAsia="仿宋" w:cs="仿宋"/>
          <w:sz w:val="32"/>
          <w:szCs w:val="32"/>
        </w:rPr>
      </w:pPr>
      <w:r>
        <w:rPr>
          <w:rFonts w:hint="eastAsia" w:ascii="仿宋" w:hAnsi="仿宋" w:eastAsia="仿宋" w:cs="仿宋"/>
          <w:sz w:val="32"/>
          <w:szCs w:val="32"/>
        </w:rPr>
        <w:t>二是部分项目需要进一步完善项目实施方案，明确监管机制、项目统筹和协调管理机制、质量控制机制、验收要求等具体实施和管理的内容。项目实施方案是项目能否顺利和成功实施的重要保障和依据。实施方案应包括项目涉及内容、质量把控措施、所需成本、时间计划安排、人员配备、项目验收、制度构建与遵循、风险防控与应急等要素等，从而指导项目的顺利进行。</w:t>
      </w:r>
    </w:p>
    <w:p>
      <w:pPr>
        <w:pStyle w:val="2"/>
        <w:ind w:firstLine="560"/>
        <w:rPr>
          <w:rFonts w:hint="eastAsia" w:ascii="仿宋" w:hAnsi="仿宋" w:eastAsia="仿宋" w:cs="仿宋"/>
          <w:sz w:val="32"/>
          <w:szCs w:val="32"/>
        </w:rPr>
      </w:pPr>
      <w:r>
        <w:rPr>
          <w:rFonts w:hint="eastAsia" w:ascii="仿宋" w:hAnsi="仿宋" w:eastAsia="仿宋" w:cs="仿宋"/>
          <w:sz w:val="32"/>
          <w:szCs w:val="32"/>
        </w:rPr>
        <w:t>三是部分项目阶段性绩效成果体现需要进一步归集，分析总结有待深入。部分项目阶段性实施情况的总结和展现不够充分，需要进一步在资料中归集并充分体现完成的具体工作内容和情况；部分项目的可持续性、社会效益体现等相关资料有待加强，需要在下半年的项目实施过程中进一步归集和凝练。</w:t>
      </w:r>
    </w:p>
    <w:p>
      <w:pPr>
        <w:pStyle w:val="2"/>
        <w:ind w:firstLine="420"/>
        <w:rPr>
          <w:rFonts w:hint="eastAsia" w:ascii="仿宋" w:hAnsi="仿宋" w:eastAsia="仿宋" w:cs="仿宋"/>
          <w:sz w:val="32"/>
          <w:szCs w:val="32"/>
        </w:rPr>
      </w:pPr>
    </w:p>
    <w:p>
      <w:pPr>
        <w:spacing w:line="600" w:lineRule="exact"/>
        <w:ind w:firstLine="470" w:firstLineChars="147"/>
        <w:rPr>
          <w:rFonts w:hint="eastAsia" w:ascii="仿宋" w:hAnsi="仿宋" w:eastAsia="仿宋" w:cs="仿宋"/>
          <w:b w:val="0"/>
          <w:bCs/>
          <w:sz w:val="32"/>
          <w:szCs w:val="32"/>
        </w:rPr>
      </w:pPr>
      <w:r>
        <w:rPr>
          <w:rFonts w:hint="eastAsia" w:ascii="仿宋" w:hAnsi="仿宋" w:eastAsia="仿宋" w:cs="仿宋"/>
          <w:b w:val="0"/>
          <w:bCs/>
          <w:sz w:val="32"/>
          <w:szCs w:val="32"/>
        </w:rPr>
        <w:t>六、措施建议（整改措施、下一步工作举措）</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（一）整改措施如下：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进一步完善预期绩效目标申报表，细化绩效指标，确保具有可衡量性。根据市财政局的要求进一步规范填报项目绩效目标申报表，年度总体绩效目标应更加完整与明确。项目实施背景、政策依据、主要内容和预期效益等关键要素要确保齐全。进而根据年度工作内容分解数量指标和质量指标；根据详细预算内容控制成本指标；根据方案计划安排进度指标；根据实施目的和预期效果制定效益指标。各项指标应符合细化、量化、可衡量的基本条件，为做好项目绩效执行监控及全过程的预算绩效管理工作打下前期基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进一步提升项目年度实施方案的有效性与指导性。重视实施方案在项目运行过程中所能起到的作用，方案是否能够具备较强的可操作性，完整度以及细化程度十分重要，是项目管理工作能否有效落实的基础条件。方案中应进一步细化，明确内部的职责分工，并在方案中对于项目实施的计划安排进行详细规划，健全项目的质量保障措施、和风险防范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强化公共财政支出绩效管理理念，提升绩效意识，注重绩效资料的收集、整理和呈现。绩效呈现应涵盖各处室（单位）年度工作任务，特别是注重公益性项目的经济、社会、可持续影响等效益的扩展。建议在项目实施过程中加强资料的收集和档案整理，以便于对项目财政资金的经济性、效率性和效果性进行全面的事后绩效评价工作。要正式满意度调查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（二）下一步工作举措：</w:t>
      </w:r>
    </w:p>
    <w:p>
      <w:pPr>
        <w:pStyle w:val="2"/>
        <w:ind w:firstLine="560"/>
        <w:rPr>
          <w:rFonts w:hint="eastAsia" w:ascii="仿宋" w:hAnsi="仿宋" w:eastAsia="仿宋" w:cs="仿宋"/>
          <w:sz w:val="32"/>
          <w:szCs w:val="32"/>
        </w:rPr>
      </w:pPr>
      <w:r>
        <w:rPr>
          <w:rFonts w:hint="eastAsia" w:ascii="仿宋" w:hAnsi="仿宋" w:eastAsia="仿宋" w:cs="仿宋"/>
          <w:sz w:val="32"/>
          <w:szCs w:val="32"/>
        </w:rPr>
        <w:t>1.部门决策方面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（1）加强部门中长期战略规划。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明确街道办事处3-5年发展的重点方向、重点任务等，为年度工作安排和部门整体预算的科学分配奠定基础。各个大办、中心应明确年度工作计划，加强重点项目年度工作需求的必要性分析，确定重点项目的工作内容，作为科学编制项目预算的基础。对部门常规性项目的实施内容进行梳理，对部门内各部门承担的工作进行梳理，通过两个梳理对部门项目进行科学归集归类，研究项目整合的可行性及预算的整合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（2）进一步强化公共财政资金支出绩效管理理念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根据部门年度工作重点及工作计划，将年度实现目标与规划目标紧密联系起来，科学设定部门绩效目标，整体绩效目标应与年度工作目标相吻合，具体目标应与实施内容高度契合，建立符合街道工作特点的服务对象满意度调查体系，确保各项指标的细化与量化程度，提高绩效指标的可考量性，起到对各项目的引领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（3）加强决策的有效性，科学编制项目预算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加强部门层面对年度预算和重大项目安排的决策管理，充分体现决策的科学性。结合部门的实际情况，加强与财政预算管理部门沟通。在项目开展前深入细致的进行项目前期调研和论证工作。在预算编制过程中与单位内部各部门间进行有效沟通，明确项目实施内容的边界，避免项目之间出现工作内容的重叠和资金重复投入的风险。充分确保项目预算内容的真实、合理以及可实施性，确保预算编制覆盖项目执行的各个环节，合理减少预算变更，在确保项目能够顺利实施的前提下，有效控制项目成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立公共财政资金支出成本控制理念，对委托服务项目的工作量进行科学测算，对相关项目实施内容和预算结构进行分析，对相同或类同项目研究进行整合的可行性，合理编制委托服务预算，关注委托服务质量与合同经费结算的管控，合理控制财政资金支出成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2.部门管理方面</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（1）加强相关管理办法的制定</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建议制定单位层面的《项目经费管理办法》《绩效管理办法》，纳入到内部控制管理体系中，不断提高各部门的绩效管理意识与各环节工作的规范性，落实绩效领导小组的职能。对于延续性和资金量较大的项目，应着手研究项目层面的管理机制与制度保障体系，明确项目内容、预算范围、质量标准等，完善对重点、重大项目的管控措施。</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（2）提高项目管理的严谨性和规范性。</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要求各项目负责人在项目执行前合理设计并制定具有指导意义的实施方案。明确组织机构、人员分工、资金使用计划、过程管控措施、风险防控等内容，用于指导和约束项目按照计划实施。树立项目管理理念，扎实做好项目管理工作，切实将项目管理的各个环节工作做到实处。以保证项目的顺利实施及效果达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（3）重视项目合同执行的风险，提高风险管理意识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加强合同的规范管理，对合同条款进行认真审核，对合同的关键性要素进行复核，如合同金额、合同期限、付款时间是否与工作要求相一致。科学合理的设计合同条款内容，降低后续实施过程中可能的调整，如有调整应按规定执行合同变更程序，或签订补充协议，规避合同执行中的法律风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（4）进一步提高单位委托业务管理机制，加强对第三方的监督监管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健全委托业务的管理机制，充分发挥政府赋予的职能，明确部门履职和委托业务的界限，严格执行政府购买服务清单，有效控制对外委托服务业务的占比。提升政府采购的规范性，对政府购买服务进行必要的招投标和遴选程序，并注重遴选过程资料的收集与提供。加强对第三方的监管，注重履职与过程管理的留痕工作，提高履职的规范性和严谨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（5）加强对国有资产管理的规范性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加强资产管理，保障有国资产的安全完整，落实固定资产定期盘点制度，秉持厉行节约原则，严格按标准配置办公设备。进一步建立健全资产购置、验收、保管使用等内部管理制度，规范国有资产的使用行为，做到物尽其用，充分发挥国有资产的使用效益，保障国有资产的安全完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（三）部门绩效方面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1.提高绩效管理意识，注意绩效资料的收集与积累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提升绩效管理意识，建立项目档案，从前期调研、预算申报、目标设定、实施方案、组织实施、过程监管、项目验收、档案整理等各环节入手，注重项目全过程资料的形成、归集与整理，保证绩效资料的完整性。重视项目历史资料的留存，尤其是延续性项目，提升年度绩效成果的可比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2.高度重视满意度调查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建立服务对象满意度调查反馈机制，明确受益群体，针对不同调查对象科学设计调查问卷，通过服务反馈，不断改进自身工作，用数据和资料客观呈现项目成果，提高部门年度绩效的展示水平。</w:t>
      </w:r>
    </w:p>
    <w:p>
      <w:pPr>
        <w:ind w:firstLine="640" w:firstLineChars="200"/>
        <w:rPr>
          <w:rFonts w:hint="eastAsia" w:ascii="仿宋" w:hAnsi="仿宋" w:eastAsia="仿宋" w:cs="仿宋"/>
          <w:bCs/>
          <w:sz w:val="32"/>
          <w:szCs w:val="32"/>
        </w:rPr>
      </w:pPr>
      <w:r>
        <w:rPr>
          <w:rFonts w:hint="eastAsia" w:ascii="仿宋" w:hAnsi="仿宋" w:eastAsia="仿宋" w:cs="仿宋"/>
          <w:sz w:val="32"/>
          <w:szCs w:val="32"/>
        </w:rPr>
        <w:t>（四）</w:t>
      </w:r>
      <w:r>
        <w:rPr>
          <w:rFonts w:hint="eastAsia" w:ascii="仿宋" w:hAnsi="仿宋" w:eastAsia="仿宋" w:cs="仿宋"/>
          <w:bCs/>
          <w:sz w:val="32"/>
          <w:szCs w:val="32"/>
        </w:rPr>
        <w:t>绩效自评结果应用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将绩效自评价结果作为改进预算管理和安排以后年度预算的重要依据。在今后编制预算时，不断完善绩效评价指标，及时调整和优化预算支出的方向和结构，合理配置资源。加强资金使用的监管和跟踪，完善内部控制制度，明确责任，提高财政资金使用效益和部门工作效率。完善部门预算绩效管理工作领导小组，负责组织、协调评价考核相关工作。高度重视项目管理工作，明确预算项目执行时间表，切实加快预算执行进度。</w:t>
      </w:r>
    </w:p>
    <w:p>
      <w:pPr>
        <w:jc w:val="right"/>
        <w:rPr>
          <w:rFonts w:hint="eastAsia" w:ascii="仿宋" w:hAnsi="仿宋" w:eastAsia="仿宋" w:cs="仿宋"/>
          <w:sz w:val="32"/>
          <w:szCs w:val="32"/>
        </w:rPr>
      </w:pPr>
    </w:p>
    <w:p>
      <w:pPr>
        <w:rPr>
          <w:rFonts w:hint="eastAsia" w:ascii="仿宋" w:hAnsi="仿宋" w:eastAsia="仿宋" w:cs="仿宋"/>
          <w:b w:val="0"/>
          <w:bCs w:val="0"/>
          <w:sz w:val="32"/>
          <w:szCs w:val="32"/>
          <w:lang w:eastAsia="zh-CN"/>
        </w:rPr>
      </w:pPr>
      <w:r>
        <w:rPr>
          <w:rFonts w:hint="eastAsia" w:ascii="仿宋" w:hAnsi="仿宋" w:eastAsia="仿宋" w:cs="仿宋"/>
          <w:sz w:val="32"/>
          <w:szCs w:val="32"/>
          <w:lang w:eastAsia="zh-CN"/>
        </w:rPr>
        <w:t>第三部分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困难群众救助服务所项目</w:t>
      </w:r>
      <w:r>
        <w:rPr>
          <w:rFonts w:hint="eastAsia" w:ascii="仿宋" w:hAnsi="仿宋" w:eastAsia="仿宋" w:cs="仿宋"/>
          <w:b w:val="0"/>
          <w:bCs w:val="0"/>
          <w:sz w:val="32"/>
          <w:szCs w:val="32"/>
          <w:lang w:eastAsia="zh-CN"/>
        </w:rPr>
        <w:t>绩效评价报告</w:t>
      </w:r>
    </w:p>
    <w:p>
      <w:pPr>
        <w:jc w:val="cente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北京市西城区人民政府月坛街道办事处</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困难群众救助服务所项目成本预算绩效分析报告</w:t>
      </w:r>
    </w:p>
    <w:p>
      <w:pPr>
        <w:snapToGrid w:val="0"/>
        <w:spacing w:line="360" w:lineRule="auto"/>
        <w:ind w:firstLine="640" w:firstLineChars="200"/>
        <w:rPr>
          <w:rFonts w:hint="eastAsia" w:ascii="仿宋" w:hAnsi="仿宋" w:eastAsia="仿宋" w:cs="仿宋"/>
          <w:b w:val="0"/>
          <w:bCs w:val="0"/>
          <w:sz w:val="32"/>
          <w:szCs w:val="32"/>
        </w:rPr>
      </w:pPr>
    </w:p>
    <w:p>
      <w:pPr>
        <w:snapToGrid w:val="0"/>
        <w:spacing w:line="360" w:lineRule="auto"/>
        <w:ind w:firstLine="640" w:firstLineChars="200"/>
        <w:rPr>
          <w:rFonts w:hint="eastAsia" w:ascii="仿宋" w:hAnsi="仿宋" w:eastAsia="仿宋" w:cs="仿宋"/>
          <w:b w:val="0"/>
          <w:bCs w:val="0"/>
          <w:sz w:val="32"/>
          <w:szCs w:val="32"/>
        </w:rPr>
      </w:pPr>
    </w:p>
    <w:p>
      <w:pPr>
        <w:snapToGrid w:val="0"/>
        <w:spacing w:line="360" w:lineRule="auto"/>
        <w:ind w:firstLine="640" w:firstLineChars="200"/>
        <w:jc w:val="center"/>
        <w:rPr>
          <w:rFonts w:hint="eastAsia" w:ascii="仿宋" w:hAnsi="仿宋" w:eastAsia="仿宋" w:cs="仿宋"/>
          <w:b w:val="0"/>
          <w:bCs w:val="0"/>
          <w:sz w:val="32"/>
          <w:szCs w:val="32"/>
        </w:rPr>
      </w:pPr>
    </w:p>
    <w:p>
      <w:pPr>
        <w:snapToGrid w:val="0"/>
        <w:spacing w:line="360" w:lineRule="auto"/>
        <w:ind w:firstLine="640" w:firstLineChars="200"/>
        <w:jc w:val="center"/>
        <w:rPr>
          <w:rFonts w:hint="eastAsia" w:ascii="仿宋" w:hAnsi="仿宋" w:eastAsia="仿宋" w:cs="仿宋"/>
          <w:b w:val="0"/>
          <w:bCs w:val="0"/>
          <w:sz w:val="32"/>
          <w:szCs w:val="32"/>
        </w:rPr>
      </w:pPr>
    </w:p>
    <w:p>
      <w:pPr>
        <w:snapToGrid w:val="0"/>
        <w:spacing w:line="360" w:lineRule="auto"/>
        <w:ind w:firstLine="640" w:firstLineChars="200"/>
        <w:jc w:val="center"/>
        <w:rPr>
          <w:rFonts w:hint="eastAsia" w:ascii="仿宋" w:hAnsi="仿宋" w:eastAsia="仿宋" w:cs="仿宋"/>
          <w:b w:val="0"/>
          <w:bCs w:val="0"/>
          <w:sz w:val="32"/>
          <w:szCs w:val="32"/>
        </w:rPr>
      </w:pP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mc:AlternateContent>
          <mc:Choice Requires="wps">
            <w:drawing>
              <wp:anchor distT="0" distB="0" distL="114300" distR="114300" simplePos="0" relativeHeight="251660288" behindDoc="0" locked="0" layoutInCell="1" allowOverlap="1">
                <wp:simplePos x="0" y="0"/>
                <wp:positionH relativeFrom="column">
                  <wp:posOffset>1247140</wp:posOffset>
                </wp:positionH>
                <wp:positionV relativeFrom="paragraph">
                  <wp:posOffset>317500</wp:posOffset>
                </wp:positionV>
                <wp:extent cx="38862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8.2pt;margin-top:25pt;height:0pt;width:306pt;z-index:251660288;mso-width-relative:page;mso-height-relative:page;" filled="f" stroked="t" coordsize="21600,21600" o:gfxdata="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dCEzNUAAAAJAQAADwAAAAAAAAABACAAAAAiAAAAZHJz&#10;L2Rvd25yZXYueG1sUEsBAhQAFAAAAAgAh07iQJenpfzOAQAAagMAAA4AAAAAAAAAAQAgAAAAJAEA&#10;AGRycy9lMm9Eb2MueG1sUEsFBgAAAAAGAAYAWQEAAGQFAAAAAA==&#10;">
                <v:fill on="f" focussize="0,0"/>
                <v:stroke color="#000000" joinstyle="round"/>
                <v:imagedata o:title=""/>
                <o:lock v:ext="edit" aspectratio="f"/>
              </v:line>
            </w:pict>
          </mc:Fallback>
        </mc:AlternateContent>
      </w:r>
      <w:r>
        <w:rPr>
          <w:rFonts w:hint="eastAsia" w:ascii="仿宋" w:hAnsi="仿宋" w:eastAsia="仿宋" w:cs="仿宋"/>
          <w:b w:val="0"/>
          <w:bCs w:val="0"/>
          <w:sz w:val="32"/>
          <w:szCs w:val="32"/>
        </w:rPr>
        <w:t>项目名称：  困难群众救助服务所项目</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mc:AlternateContent>
          <mc:Choice Requires="wps">
            <w:drawing>
              <wp:anchor distT="0" distB="0" distL="114300" distR="114300" simplePos="0" relativeHeight="251659264" behindDoc="0" locked="0" layoutInCell="1" allowOverlap="1">
                <wp:simplePos x="0" y="0"/>
                <wp:positionH relativeFrom="column">
                  <wp:posOffset>1219200</wp:posOffset>
                </wp:positionH>
                <wp:positionV relativeFrom="paragraph">
                  <wp:posOffset>311785</wp:posOffset>
                </wp:positionV>
                <wp:extent cx="38862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6pt;margin-top:24.55pt;height:0pt;width:306pt;z-index:251659264;mso-width-relative:page;mso-height-relative:page;" filled="f" stroked="t" coordsize="21600,21600" o:gfxdata="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bkPwZ1QAAAAkBAAAPAAAAAAAAAAEAIAAAACIAAABkcnMv&#10;ZG93bnJldi54bWxQSwECFAAUAAAACACHTuJAMb6euM0BAABqAwAADgAAAAAAAAABACAAAAAkAQAA&#10;ZHJzL2Uyb0RvYy54bWxQSwUGAAAAAAYABgBZAQAAYwUAAAAA&#10;">
                <v:fill on="f" focussize="0,0"/>
                <v:stroke color="#000000" joinstyle="round"/>
                <v:imagedata o:title=""/>
                <o:lock v:ext="edit" aspectratio="f"/>
              </v:line>
            </w:pict>
          </mc:Fallback>
        </mc:AlternateContent>
      </w:r>
      <w:r>
        <w:rPr>
          <w:rFonts w:hint="eastAsia" w:ascii="仿宋" w:hAnsi="仿宋" w:eastAsia="仿宋" w:cs="仿宋"/>
          <w:b w:val="0"/>
          <w:bCs w:val="0"/>
          <w:sz w:val="32"/>
          <w:szCs w:val="32"/>
        </w:rPr>
        <w:t>项目单位：北京市西城区人民政府月坛街道办事处</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mc:AlternateContent>
          <mc:Choice Requires="wps">
            <w:drawing>
              <wp:anchor distT="0" distB="0" distL="114300" distR="114300" simplePos="0" relativeHeight="251658240" behindDoc="0" locked="0" layoutInCell="1" allowOverlap="1">
                <wp:simplePos x="0" y="0"/>
                <wp:positionH relativeFrom="column">
                  <wp:posOffset>1226185</wp:posOffset>
                </wp:positionH>
                <wp:positionV relativeFrom="paragraph">
                  <wp:posOffset>323215</wp:posOffset>
                </wp:positionV>
                <wp:extent cx="38862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6.55pt;margin-top:25.45pt;height:0pt;width:306pt;z-index:251658240;mso-width-relative:page;mso-height-relative:page;" filled="f" stroked="t" coordsize="21600,21600" o:gfxdata="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r48Iw1QAAAAkBAAAPAAAAAAAAAAEAIAAAACIAAABkcnMv&#10;ZG93bnJldi54bWxQSwECFAAUAAAACACHTuJA25TTdM0BAABqAwAADgAAAAAAAAABACAAAAAkAQAA&#10;ZHJzL2Uyb0RvYy54bWxQSwUGAAAAAAYABgBZAQAAYwUAAAAA&#10;">
                <v:fill on="f" focussize="0,0"/>
                <v:stroke color="#000000" joinstyle="round"/>
                <v:imagedata o:title=""/>
                <o:lock v:ext="edit" aspectratio="f"/>
              </v:line>
            </w:pict>
          </mc:Fallback>
        </mc:AlternateContent>
      </w:r>
      <w:r>
        <w:rPr>
          <w:rFonts w:hint="eastAsia" w:ascii="仿宋" w:hAnsi="仿宋" w:eastAsia="仿宋" w:cs="仿宋"/>
          <w:b w:val="0"/>
          <w:bCs w:val="0"/>
          <w:sz w:val="32"/>
          <w:szCs w:val="32"/>
        </w:rPr>
        <w:t>主管部门： 北京市西城区人民政府月坛街道办事处</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mc:AlternateContent>
          <mc:Choice Requires="wps">
            <w:drawing>
              <wp:anchor distT="0" distB="0" distL="114300" distR="114300" simplePos="0" relativeHeight="251662336" behindDoc="0" locked="0" layoutInCell="1" allowOverlap="1">
                <wp:simplePos x="0" y="0"/>
                <wp:positionH relativeFrom="column">
                  <wp:posOffset>1219200</wp:posOffset>
                </wp:positionH>
                <wp:positionV relativeFrom="paragraph">
                  <wp:posOffset>349250</wp:posOffset>
                </wp:positionV>
                <wp:extent cx="38862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6pt;margin-top:27.5pt;height:0pt;width:306pt;z-index:251662336;mso-width-relative:page;mso-height-relative:page;" filled="f" stroked="t" coordsize="21600,21600" o:gfxdata="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B8/yjUAAAACQEAAA8AAAAAAAAAAQAgAAAAIgAAAGRycy9k&#10;b3ducmV2LnhtbFBLAQIUABQAAAAIAIdO4kBXKj63zQEAAGoDAAAOAAAAAAAAAAEAIAAAACMBAABk&#10;cnMvZTJvRG9jLnhtbFBLBQYAAAAABgAGAFkBAABiBQAAAAA=&#10;">
                <v:fill on="f" focussize="0,0"/>
                <v:stroke color="#000000" joinstyle="round"/>
                <v:imagedata o:title=""/>
                <o:lock v:ext="edit" aspectratio="f"/>
              </v:line>
            </w:pict>
          </mc:Fallback>
        </mc:AlternateContent>
      </w:r>
      <w:r>
        <w:rPr>
          <w:rFonts w:hint="eastAsia" w:ascii="仿宋" w:hAnsi="仿宋" w:eastAsia="仿宋" w:cs="仿宋"/>
          <w:b w:val="0"/>
          <w:bCs w:val="0"/>
          <w:sz w:val="32"/>
          <w:szCs w:val="32"/>
        </w:rPr>
        <w:t>第三方机构：北京慧盟咨询有限公司</w:t>
      </w:r>
    </w:p>
    <w:p>
      <w:pPr>
        <w:spacing w:line="360" w:lineRule="auto"/>
        <w:ind w:firstLine="640" w:firstLineChars="200"/>
        <w:rPr>
          <w:rFonts w:hint="eastAsia" w:ascii="仿宋" w:hAnsi="仿宋" w:eastAsia="仿宋" w:cs="仿宋"/>
          <w:b w:val="0"/>
          <w:bCs w:val="0"/>
          <w:sz w:val="32"/>
          <w:szCs w:val="32"/>
        </w:rPr>
        <w:sectPr>
          <w:footerReference r:id="rId3" w:type="default"/>
          <w:pgSz w:w="11906" w:h="16838"/>
          <w:pgMar w:top="1440" w:right="1418" w:bottom="1440" w:left="1418" w:header="851" w:footer="992" w:gutter="0"/>
          <w:cols w:space="720" w:num="1"/>
          <w:docGrid w:type="lines" w:linePitch="312" w:charSpace="0"/>
        </w:sectPr>
      </w:pPr>
      <w:r>
        <w:rPr>
          <w:rFonts w:hint="eastAsia" w:ascii="仿宋" w:hAnsi="仿宋" w:eastAsia="仿宋" w:cs="仿宋"/>
          <w:b w:val="0"/>
          <w:bCs w:val="0"/>
          <w:sz w:val="32"/>
          <w:szCs w:val="32"/>
        </w:rPr>
        <mc:AlternateContent>
          <mc:Choice Requires="wps">
            <w:drawing>
              <wp:anchor distT="0" distB="0" distL="114300" distR="114300" simplePos="0" relativeHeight="251661312" behindDoc="0" locked="0" layoutInCell="1" allowOverlap="1">
                <wp:simplePos x="0" y="0"/>
                <wp:positionH relativeFrom="column">
                  <wp:posOffset>1225550</wp:posOffset>
                </wp:positionH>
                <wp:positionV relativeFrom="paragraph">
                  <wp:posOffset>339090</wp:posOffset>
                </wp:positionV>
                <wp:extent cx="38862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6.5pt;margin-top:26.7pt;height:0pt;width:306pt;z-index:251661312;mso-width-relative:page;mso-height-relative:page;" filled="f" stroked="t" coordsize="21600,21600" o:gfxdata="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R8Fa9UAAAAJAQAADwAAAAAAAAABACAAAAAiAAAAZHJz&#10;L2Rvd25yZXYueG1sUEsBAhQAFAAAAAgAh07iQH2N6DDOAQAAagMAAA4AAAAAAAAAAQAgAAAAJAEA&#10;AGRycy9lMm9Eb2MueG1sUEsFBgAAAAAGAAYAWQEAAGQFAAAAAA==&#10;">
                <v:fill on="f" focussize="0,0"/>
                <v:stroke color="#000000" joinstyle="round"/>
                <v:imagedata o:title=""/>
                <o:lock v:ext="edit" aspectratio="f"/>
              </v:line>
            </w:pict>
          </mc:Fallback>
        </mc:AlternateContent>
      </w:r>
      <w:r>
        <w:rPr>
          <w:rFonts w:hint="eastAsia" w:ascii="仿宋" w:hAnsi="仿宋" w:eastAsia="仿宋" w:cs="仿宋"/>
          <w:b w:val="0"/>
          <w:bCs w:val="0"/>
          <w:sz w:val="32"/>
          <w:szCs w:val="32"/>
        </w:rPr>
        <w:t>分析时间：       2024年6月</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目  录</w:t>
      </w:r>
    </w:p>
    <w:p>
      <w:pPr>
        <w:pStyle w:val="8"/>
        <w:tabs>
          <w:tab w:val="right" w:leader="dot" w:pos="8306"/>
        </w:tabs>
        <w:spacing w:line="360" w:lineRule="auto"/>
        <w:rPr>
          <w:rFonts w:hint="eastAsia" w:ascii="仿宋" w:hAnsi="仿宋" w:eastAsia="仿宋" w:cs="仿宋"/>
          <w:sz w:val="32"/>
          <w:szCs w:val="32"/>
        </w:rPr>
      </w:pP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_Toc15623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一、基本情况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_Toc15623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_Toc27479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（一）项目基本概况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_Toc27479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_Toc16254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（二）项目资金情况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_Toc16254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_Toc26867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二、成本绩效分析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_Toc26867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_Toc28996 </w:instrText>
      </w:r>
      <w:r>
        <w:rPr>
          <w:rFonts w:hint="eastAsia" w:ascii="仿宋" w:hAnsi="仿宋" w:eastAsia="仿宋" w:cs="仿宋"/>
          <w:sz w:val="32"/>
          <w:szCs w:val="32"/>
        </w:rPr>
        <w:fldChar w:fldCharType="separate"/>
      </w:r>
      <w:r>
        <w:rPr>
          <w:rFonts w:hint="eastAsia" w:ascii="仿宋" w:hAnsi="仿宋" w:eastAsia="仿宋" w:cs="仿宋"/>
          <w:bCs/>
          <w:kern w:val="0"/>
          <w:sz w:val="32"/>
          <w:szCs w:val="32"/>
        </w:rPr>
        <w:t>（一）成本绩效分析的对象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_Toc28996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_Toc9970 </w:instrText>
      </w:r>
      <w:r>
        <w:rPr>
          <w:rFonts w:hint="eastAsia" w:ascii="仿宋" w:hAnsi="仿宋" w:eastAsia="仿宋" w:cs="仿宋"/>
          <w:sz w:val="32"/>
          <w:szCs w:val="32"/>
        </w:rPr>
        <w:fldChar w:fldCharType="separate"/>
      </w:r>
      <w:r>
        <w:rPr>
          <w:rFonts w:hint="eastAsia" w:ascii="仿宋" w:hAnsi="仿宋" w:eastAsia="仿宋" w:cs="仿宋"/>
          <w:bCs/>
          <w:kern w:val="0"/>
          <w:sz w:val="32"/>
          <w:szCs w:val="32"/>
        </w:rPr>
        <w:t>（二）成本构成分析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_Toc9970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_Toc17396 </w:instrText>
      </w:r>
      <w:r>
        <w:rPr>
          <w:rFonts w:hint="eastAsia" w:ascii="仿宋" w:hAnsi="仿宋" w:eastAsia="仿宋" w:cs="仿宋"/>
          <w:sz w:val="32"/>
          <w:szCs w:val="32"/>
        </w:rPr>
        <w:fldChar w:fldCharType="separate"/>
      </w:r>
      <w:r>
        <w:rPr>
          <w:rFonts w:hint="eastAsia" w:ascii="仿宋" w:hAnsi="仿宋" w:eastAsia="仿宋" w:cs="仿宋"/>
          <w:bCs/>
          <w:kern w:val="0"/>
          <w:sz w:val="32"/>
          <w:szCs w:val="32"/>
        </w:rPr>
        <w:t>（三）成本变化及影响因素分析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_Toc17396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_Toc29949 </w:instrText>
      </w:r>
      <w:r>
        <w:rPr>
          <w:rFonts w:hint="eastAsia" w:ascii="仿宋" w:hAnsi="仿宋" w:eastAsia="仿宋" w:cs="仿宋"/>
          <w:sz w:val="32"/>
          <w:szCs w:val="32"/>
        </w:rPr>
        <w:fldChar w:fldCharType="separate"/>
      </w:r>
      <w:r>
        <w:rPr>
          <w:rFonts w:hint="eastAsia" w:ascii="仿宋" w:hAnsi="仿宋" w:eastAsia="仿宋" w:cs="仿宋"/>
          <w:bCs/>
          <w:kern w:val="0"/>
          <w:sz w:val="32"/>
          <w:szCs w:val="32"/>
        </w:rPr>
        <w:t>（四）找准成本、产出和效益效果等指标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_Toc29949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_Toc17187 </w:instrText>
      </w:r>
      <w:r>
        <w:rPr>
          <w:rFonts w:hint="eastAsia" w:ascii="仿宋" w:hAnsi="仿宋" w:eastAsia="仿宋" w:cs="仿宋"/>
          <w:sz w:val="32"/>
          <w:szCs w:val="32"/>
        </w:rPr>
        <w:fldChar w:fldCharType="separate"/>
      </w:r>
      <w:r>
        <w:rPr>
          <w:rFonts w:hint="eastAsia" w:ascii="仿宋" w:hAnsi="仿宋" w:eastAsia="仿宋" w:cs="仿宋"/>
          <w:bCs/>
          <w:kern w:val="0"/>
          <w:sz w:val="32"/>
          <w:szCs w:val="32"/>
        </w:rPr>
        <w:t>（五）确定成本、产出、绩效的基准值</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_Toc17187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_Toc2206 </w:instrText>
      </w:r>
      <w:r>
        <w:rPr>
          <w:rFonts w:hint="eastAsia" w:ascii="仿宋" w:hAnsi="仿宋" w:eastAsia="仿宋" w:cs="仿宋"/>
          <w:sz w:val="32"/>
          <w:szCs w:val="32"/>
        </w:rPr>
        <w:fldChar w:fldCharType="separate"/>
      </w:r>
      <w:r>
        <w:rPr>
          <w:rFonts w:hint="eastAsia" w:ascii="仿宋" w:hAnsi="仿宋" w:eastAsia="仿宋" w:cs="仿宋"/>
          <w:sz w:val="32"/>
          <w:szCs w:val="32"/>
        </w:rPr>
        <w:t>三</w:t>
      </w:r>
      <w:r>
        <w:rPr>
          <w:rFonts w:hint="eastAsia" w:ascii="仿宋" w:hAnsi="仿宋" w:eastAsia="仿宋" w:cs="仿宋"/>
          <w:kern w:val="0"/>
          <w:sz w:val="32"/>
          <w:szCs w:val="32"/>
        </w:rPr>
        <w:t>、存在问题与改进措施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_Toc2206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_Toc27991 </w:instrText>
      </w:r>
      <w:r>
        <w:rPr>
          <w:rFonts w:hint="eastAsia" w:ascii="仿宋" w:hAnsi="仿宋" w:eastAsia="仿宋" w:cs="仿宋"/>
          <w:sz w:val="32"/>
          <w:szCs w:val="32"/>
        </w:rPr>
        <w:fldChar w:fldCharType="separate"/>
      </w:r>
      <w:r>
        <w:rPr>
          <w:rFonts w:hint="eastAsia" w:ascii="仿宋" w:hAnsi="仿宋" w:eastAsia="仿宋" w:cs="仿宋"/>
          <w:bCs/>
          <w:kern w:val="0"/>
          <w:sz w:val="32"/>
          <w:szCs w:val="32"/>
        </w:rPr>
        <w:t>（一）主要问题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_Toc27991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_Toc4317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（二） </w:t>
      </w:r>
      <w:r>
        <w:rPr>
          <w:rFonts w:hint="eastAsia" w:ascii="仿宋" w:hAnsi="仿宋" w:eastAsia="仿宋" w:cs="仿宋"/>
          <w:bCs/>
          <w:kern w:val="0"/>
          <w:sz w:val="32"/>
          <w:szCs w:val="32"/>
        </w:rPr>
        <w:t>改进措施方案</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_Toc4317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_Toc7593 </w:instrText>
      </w:r>
      <w:r>
        <w:rPr>
          <w:rFonts w:hint="eastAsia" w:ascii="仿宋" w:hAnsi="仿宋" w:eastAsia="仿宋" w:cs="仿宋"/>
          <w:sz w:val="32"/>
          <w:szCs w:val="32"/>
        </w:rPr>
        <w:fldChar w:fldCharType="separate"/>
      </w:r>
      <w:r>
        <w:rPr>
          <w:rFonts w:hint="eastAsia" w:ascii="仿宋" w:hAnsi="仿宋" w:eastAsia="仿宋" w:cs="仿宋"/>
          <w:sz w:val="32"/>
          <w:szCs w:val="32"/>
        </w:rPr>
        <w:t>四、确定支出定额标准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_Toc7593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_Toc3034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五、附件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_Toc3034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rPr>
          <w:rFonts w:hint="eastAsia" w:ascii="仿宋" w:hAnsi="仿宋" w:eastAsia="仿宋" w:cs="仿宋"/>
          <w:sz w:val="32"/>
          <w:szCs w:val="32"/>
        </w:rPr>
      </w:pPr>
      <w:r>
        <w:rPr>
          <w:rFonts w:hint="eastAsia" w:ascii="仿宋" w:hAnsi="仿宋" w:eastAsia="仿宋" w:cs="仿宋"/>
          <w:sz w:val="32"/>
          <w:szCs w:val="32"/>
        </w:rPr>
        <w:fldChar w:fldCharType="end"/>
      </w:r>
    </w:p>
    <w:p>
      <w:pPr>
        <w:rPr>
          <w:rFonts w:hint="eastAsia" w:ascii="仿宋" w:hAnsi="仿宋" w:eastAsia="仿宋" w:cs="仿宋"/>
          <w:sz w:val="32"/>
          <w:szCs w:val="32"/>
        </w:rPr>
      </w:pPr>
    </w:p>
    <w:p>
      <w:pPr>
        <w:ind w:firstLine="960" w:firstLineChars="300"/>
        <w:rPr>
          <w:rFonts w:hint="eastAsia" w:ascii="仿宋" w:hAnsi="仿宋" w:eastAsia="仿宋" w:cs="仿宋"/>
          <w:kern w:val="0"/>
          <w:sz w:val="32"/>
          <w:szCs w:val="32"/>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p>
    <w:p>
      <w:pPr>
        <w:widowControl/>
        <w:spacing w:line="600" w:lineRule="exact"/>
        <w:jc w:val="center"/>
        <w:rPr>
          <w:rFonts w:hint="eastAsia" w:ascii="仿宋" w:hAnsi="仿宋" w:eastAsia="仿宋" w:cs="仿宋"/>
          <w:b w:val="0"/>
          <w:bCs/>
          <w:sz w:val="32"/>
          <w:szCs w:val="32"/>
        </w:rPr>
      </w:pPr>
      <w:r>
        <w:rPr>
          <w:rFonts w:hint="eastAsia" w:ascii="仿宋" w:hAnsi="仿宋" w:eastAsia="仿宋" w:cs="仿宋"/>
          <w:b w:val="0"/>
          <w:bCs/>
          <w:sz w:val="32"/>
          <w:szCs w:val="32"/>
        </w:rPr>
        <w:t>北京市西城区人民政府月坛街道办事处</w:t>
      </w:r>
    </w:p>
    <w:p>
      <w:pPr>
        <w:widowControl/>
        <w:spacing w:line="600" w:lineRule="exact"/>
        <w:jc w:val="center"/>
        <w:rPr>
          <w:rFonts w:hint="eastAsia" w:ascii="仿宋" w:hAnsi="仿宋" w:eastAsia="仿宋" w:cs="仿宋"/>
          <w:b/>
          <w:sz w:val="32"/>
          <w:szCs w:val="32"/>
        </w:rPr>
      </w:pPr>
      <w:r>
        <w:rPr>
          <w:rFonts w:hint="eastAsia" w:ascii="仿宋" w:hAnsi="仿宋" w:eastAsia="仿宋" w:cs="仿宋"/>
          <w:b w:val="0"/>
          <w:bCs/>
          <w:sz w:val="32"/>
          <w:szCs w:val="32"/>
        </w:rPr>
        <w:t>困难群众救助服务所项目成本绩效分析报告</w:t>
      </w:r>
    </w:p>
    <w:p>
      <w:pPr>
        <w:pStyle w:val="2"/>
        <w:ind w:firstLine="420"/>
        <w:rPr>
          <w:rFonts w:hint="eastAsia" w:ascii="仿宋" w:hAnsi="仿宋" w:eastAsia="仿宋" w:cs="仿宋"/>
          <w:sz w:val="32"/>
          <w:szCs w:val="32"/>
        </w:rPr>
      </w:pPr>
    </w:p>
    <w:p>
      <w:pPr>
        <w:spacing w:line="600" w:lineRule="exact"/>
        <w:ind w:firstLine="640" w:firstLineChars="200"/>
        <w:outlineLvl w:val="0"/>
        <w:rPr>
          <w:rFonts w:hint="eastAsia" w:ascii="仿宋" w:hAnsi="仿宋" w:eastAsia="仿宋" w:cs="仿宋"/>
          <w:kern w:val="0"/>
          <w:sz w:val="32"/>
          <w:szCs w:val="32"/>
        </w:rPr>
      </w:pPr>
      <w:bookmarkStart w:id="0" w:name="_Toc15623"/>
      <w:r>
        <w:rPr>
          <w:rFonts w:hint="eastAsia" w:ascii="仿宋" w:hAnsi="仿宋" w:eastAsia="仿宋" w:cs="仿宋"/>
          <w:kern w:val="0"/>
          <w:sz w:val="32"/>
          <w:szCs w:val="32"/>
        </w:rPr>
        <w:t>一、基本情况</w:t>
      </w:r>
      <w:bookmarkEnd w:id="0"/>
    </w:p>
    <w:p>
      <w:pPr>
        <w:autoSpaceDE w:val="0"/>
        <w:autoSpaceDN w:val="0"/>
        <w:adjustRightInd w:val="0"/>
        <w:spacing w:line="600" w:lineRule="exact"/>
        <w:ind w:firstLine="640" w:firstLineChars="200"/>
        <w:outlineLvl w:val="1"/>
        <w:rPr>
          <w:rFonts w:hint="eastAsia" w:ascii="仿宋" w:hAnsi="仿宋" w:eastAsia="仿宋" w:cs="仿宋"/>
          <w:kern w:val="0"/>
          <w:sz w:val="32"/>
          <w:szCs w:val="32"/>
        </w:rPr>
      </w:pPr>
      <w:bookmarkStart w:id="1" w:name="_Toc27479"/>
      <w:r>
        <w:rPr>
          <w:rFonts w:hint="eastAsia" w:ascii="仿宋" w:hAnsi="仿宋" w:eastAsia="仿宋" w:cs="仿宋"/>
          <w:kern w:val="0"/>
          <w:sz w:val="32"/>
          <w:szCs w:val="32"/>
        </w:rPr>
        <w:t>（一）项目基本概况</w:t>
      </w:r>
      <w:bookmarkEnd w:id="1"/>
    </w:p>
    <w:p>
      <w:pPr>
        <w:autoSpaceDE w:val="0"/>
        <w:autoSpaceDN w:val="0"/>
        <w:adjustRightIn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1.项目基本内容</w:t>
      </w:r>
    </w:p>
    <w:p>
      <w:pPr>
        <w:autoSpaceDE w:val="0"/>
        <w:autoSpaceDN w:val="0"/>
        <w:adjustRightIn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（1）实施主体：北京市西城区人民政府月坛街道办事处（以下简称：月坛街道）</w:t>
      </w:r>
    </w:p>
    <w:p>
      <w:pPr>
        <w:autoSpaceDE w:val="0"/>
        <w:autoSpaceDN w:val="0"/>
        <w:adjustRightIn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（2）主管部门：北京市西城区人民政府月坛街道办事处</w:t>
      </w:r>
    </w:p>
    <w:p>
      <w:pPr>
        <w:autoSpaceDE w:val="0"/>
        <w:autoSpaceDN w:val="0"/>
        <w:adjustRightIn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内容及实施范围：本次成本绩效分析项目为“困难群众救助服务所项目”，项目服务内容为依托困难群众救助服务所，针对辖区内困难群体，开展实地走访月坛街道困难群众、进行专业需求评估；对月坛街道困难群众的调研数据进行系统录入与维护；个案帮扶；开展小组及社区活动；新增低保低收入家庭入户核查；项目宣传及推广等工作。</w:t>
      </w:r>
    </w:p>
    <w:p>
      <w:pPr>
        <w:autoSpaceDE w:val="0"/>
        <w:autoSpaceDN w:val="0"/>
        <w:adjustRightIn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街道困难群众救助服务所服务对象包括城乡低保人员、低收入家庭、特困供养人员、事实无人抚养儿童、低保重残儿童、民政对象等社会救助对象，以及罹患大病或因遭遇重大变故生活陷入困境的人员；失能、失智、失独、高龄、独居等困境老年人；困境儿童和留守儿童，以及残疾人和需要紧急庇护的未成年人等各类困难群众。</w:t>
      </w:r>
    </w:p>
    <w:p>
      <w:pPr>
        <w:pStyle w:val="2"/>
        <w:ind w:firstLine="640"/>
        <w:rPr>
          <w:rFonts w:hint="eastAsia" w:ascii="仿宋" w:hAnsi="仿宋" w:eastAsia="仿宋" w:cs="仿宋"/>
          <w:sz w:val="32"/>
          <w:szCs w:val="32"/>
        </w:rPr>
      </w:pPr>
      <w:r>
        <w:rPr>
          <w:rFonts w:hint="eastAsia" w:ascii="仿宋" w:hAnsi="仿宋" w:eastAsia="仿宋" w:cs="仿宋"/>
          <w:kern w:val="0"/>
          <w:sz w:val="32"/>
          <w:szCs w:val="32"/>
        </w:rPr>
        <w:t>（4）类型：延续性项目。</w:t>
      </w:r>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2.政策支持</w:t>
      </w:r>
    </w:p>
    <w:p>
      <w:pPr>
        <w:pStyle w:val="2"/>
        <w:spacing w:line="600" w:lineRule="exact"/>
        <w:ind w:firstLine="640"/>
        <w:rPr>
          <w:rFonts w:hint="eastAsia" w:ascii="仿宋" w:hAnsi="仿宋" w:eastAsia="仿宋" w:cs="仿宋"/>
          <w:sz w:val="32"/>
          <w:szCs w:val="32"/>
        </w:rPr>
      </w:pPr>
      <w:r>
        <w:rPr>
          <w:rFonts w:hint="eastAsia" w:ascii="仿宋" w:hAnsi="仿宋" w:eastAsia="仿宋" w:cs="仿宋"/>
          <w:sz w:val="32"/>
          <w:szCs w:val="32"/>
        </w:rPr>
        <w:t>（1）北京市财政局 北京市民政局《关于进一步做好街道（乡镇）购买社会组织服务工作的实施意见》（京财综〔2020〕2588号）；</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（2）北京市人民政府办公室《“十三五”时期实施精准救助的意见》（京政办〔2016〕52号）；</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（3）北京市民政局《关于成立困难群众救助服务指导中心开展精准救助试点的意见》（京民社救发〔2017〕156号）；</w:t>
      </w:r>
    </w:p>
    <w:p>
      <w:pPr>
        <w:pStyle w:val="2"/>
        <w:spacing w:line="600" w:lineRule="exact"/>
        <w:ind w:firstLine="640"/>
        <w:rPr>
          <w:rFonts w:hint="eastAsia" w:ascii="仿宋" w:hAnsi="仿宋" w:eastAsia="仿宋" w:cs="仿宋"/>
          <w:sz w:val="32"/>
          <w:szCs w:val="32"/>
        </w:rPr>
      </w:pPr>
      <w:r>
        <w:rPr>
          <w:rFonts w:hint="eastAsia" w:ascii="仿宋" w:hAnsi="仿宋" w:eastAsia="仿宋" w:cs="仿宋"/>
          <w:sz w:val="32"/>
          <w:szCs w:val="32"/>
        </w:rPr>
        <w:t>（4）北京市民政局《关于加快推进街道（乡镇）困难群众救助服务所建立的通知》；</w:t>
      </w:r>
    </w:p>
    <w:p>
      <w:pPr>
        <w:pStyle w:val="2"/>
        <w:spacing w:line="600" w:lineRule="exact"/>
        <w:ind w:firstLine="640"/>
        <w:rPr>
          <w:rFonts w:hint="eastAsia" w:ascii="仿宋" w:hAnsi="仿宋" w:eastAsia="仿宋" w:cs="仿宋"/>
          <w:sz w:val="32"/>
          <w:szCs w:val="32"/>
        </w:rPr>
      </w:pPr>
      <w:r>
        <w:rPr>
          <w:rFonts w:hint="eastAsia" w:ascii="仿宋" w:hAnsi="仿宋" w:eastAsia="仿宋" w:cs="仿宋"/>
          <w:sz w:val="32"/>
          <w:szCs w:val="32"/>
        </w:rPr>
        <w:t>（5）北京市民政局关于印发《北京市民政局关于建立困难群众精准救助帮扶台账的实施办法（试行）的通知》（京民核发〔2018〕195号）；</w:t>
      </w:r>
    </w:p>
    <w:p>
      <w:pPr>
        <w:pStyle w:val="2"/>
        <w:spacing w:line="600" w:lineRule="exact"/>
        <w:ind w:firstLine="640"/>
        <w:rPr>
          <w:rFonts w:hint="eastAsia" w:ascii="仿宋" w:hAnsi="仿宋" w:eastAsia="仿宋" w:cs="仿宋"/>
          <w:sz w:val="32"/>
          <w:szCs w:val="32"/>
        </w:rPr>
      </w:pPr>
      <w:r>
        <w:rPr>
          <w:rFonts w:hint="eastAsia" w:ascii="仿宋" w:hAnsi="仿宋" w:eastAsia="仿宋" w:cs="仿宋"/>
          <w:sz w:val="32"/>
          <w:szCs w:val="32"/>
        </w:rPr>
        <w:t>（6）北京市民政局《关于成立困难群众救助服务指导中心开展精准救助试点的意见》（京民社救发（2017）156号）；</w:t>
      </w:r>
    </w:p>
    <w:p>
      <w:pPr>
        <w:pStyle w:val="2"/>
        <w:spacing w:line="600" w:lineRule="exact"/>
        <w:ind w:firstLine="640"/>
        <w:rPr>
          <w:rFonts w:hint="eastAsia" w:ascii="仿宋" w:hAnsi="仿宋" w:eastAsia="仿宋" w:cs="仿宋"/>
          <w:sz w:val="32"/>
          <w:szCs w:val="32"/>
        </w:rPr>
      </w:pPr>
      <w:r>
        <w:rPr>
          <w:rFonts w:hint="eastAsia" w:ascii="仿宋" w:hAnsi="仿宋" w:eastAsia="仿宋" w:cs="仿宋"/>
          <w:sz w:val="32"/>
          <w:szCs w:val="32"/>
        </w:rPr>
        <w:t>（7）北京市民政局《北京市困难群众精准救助帮扶台账管理使用办法》（京民核发〔2022〕262号）。</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3.项目立项必要性</w:t>
      </w:r>
    </w:p>
    <w:p>
      <w:pPr>
        <w:tabs>
          <w:tab w:val="center" w:pos="4153"/>
        </w:tabs>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月坛街道为落实《关于改革完善社会救助制度的意见》、《民政部财政部关于进一步做好困难群众基本生活保障工作的通知》等相关政策要求，按照北京市委市政府、区委区政府关于“七有”“五性”抓好民生保障工作。</w:t>
      </w:r>
      <w:r>
        <w:rPr>
          <w:rFonts w:hint="eastAsia" w:ascii="仿宋" w:hAnsi="仿宋" w:eastAsia="仿宋" w:cs="仿宋"/>
          <w:sz w:val="32"/>
          <w:szCs w:val="32"/>
          <w:lang w:val="zh-CN"/>
        </w:rPr>
        <w:t>坚持党建引领、政府主导、社会参与三项原则，由区级社会救助指导中心宏观指导，月坛街道民生保障办公室统一部署，</w:t>
      </w:r>
      <w:r>
        <w:rPr>
          <w:rFonts w:hint="eastAsia" w:ascii="仿宋" w:hAnsi="仿宋" w:eastAsia="仿宋" w:cs="仿宋"/>
          <w:sz w:val="32"/>
          <w:szCs w:val="32"/>
        </w:rPr>
        <w:t>第三方社会工作服务中心策划运营，积极推进辖区社会救助和慈善工作进一步高站位、高要求、高质量落实，合力共促困难群众救助服务项目再上新台阶。秉持“托底线、救急难、可持续”的救助服务理念，面向最低生活保障、低收入、生活困难补助、特困供养等困难家庭，开展专业化救助服务。</w:t>
      </w:r>
    </w:p>
    <w:p>
      <w:pPr>
        <w:autoSpaceDE w:val="0"/>
        <w:autoSpaceDN w:val="0"/>
        <w:adjustRightInd w:val="0"/>
        <w:spacing w:line="600" w:lineRule="exact"/>
        <w:ind w:firstLine="640" w:firstLineChars="200"/>
        <w:outlineLvl w:val="1"/>
        <w:rPr>
          <w:rFonts w:hint="eastAsia" w:ascii="仿宋" w:hAnsi="仿宋" w:eastAsia="仿宋" w:cs="仿宋"/>
          <w:kern w:val="0"/>
          <w:sz w:val="32"/>
          <w:szCs w:val="32"/>
        </w:rPr>
      </w:pPr>
      <w:bookmarkStart w:id="2" w:name="_Toc16254"/>
      <w:r>
        <w:rPr>
          <w:rFonts w:hint="eastAsia" w:ascii="仿宋" w:hAnsi="仿宋" w:eastAsia="仿宋" w:cs="仿宋"/>
          <w:kern w:val="0"/>
          <w:sz w:val="32"/>
          <w:szCs w:val="32"/>
        </w:rPr>
        <w:t>（二）项目资金情况</w:t>
      </w:r>
      <w:bookmarkEnd w:id="2"/>
    </w:p>
    <w:p>
      <w:pPr>
        <w:autoSpaceDE w:val="0"/>
        <w:autoSpaceDN w:val="0"/>
        <w:adjustRightIn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次成本分析项目为困难群众救助服务所项目，该项目资金为区级财政预算资金，预算资金主要用于购买服务，服务内容包括：需求评估、个案帮扶、数据维护、业务培训、新增低保低收入家庭入户审核、社区或小组活动，案例总结等工作。结合2021年至2023年三个年度内的委托服务合同，三个年度合同金额共计112.56万元，具体详见表1：</w:t>
      </w:r>
    </w:p>
    <w:p>
      <w:pPr>
        <w:pStyle w:val="2"/>
        <w:spacing w:line="600" w:lineRule="exact"/>
        <w:ind w:firstLine="0" w:firstLineChars="0"/>
        <w:jc w:val="center"/>
        <w:rPr>
          <w:rFonts w:hint="eastAsia" w:ascii="宋体" w:hAnsi="宋体" w:cs="宋体"/>
          <w:szCs w:val="21"/>
        </w:rPr>
      </w:pPr>
      <w:r>
        <w:rPr>
          <w:rFonts w:hint="eastAsia" w:ascii="黑体" w:hAnsi="黑体" w:eastAsia="黑体"/>
          <w:sz w:val="28"/>
          <w:szCs w:val="28"/>
        </w:rPr>
        <w:t>表1</w:t>
      </w:r>
      <w:r>
        <w:rPr>
          <w:rFonts w:ascii="黑体" w:hAnsi="黑体" w:eastAsia="黑体"/>
          <w:sz w:val="28"/>
          <w:szCs w:val="28"/>
        </w:rPr>
        <w:t xml:space="preserve"> </w:t>
      </w:r>
      <w:r>
        <w:rPr>
          <w:rFonts w:hint="eastAsia" w:ascii="黑体" w:hAnsi="黑体" w:eastAsia="黑体"/>
          <w:sz w:val="28"/>
          <w:szCs w:val="28"/>
        </w:rPr>
        <w:t xml:space="preserve"> </w:t>
      </w:r>
      <w:r>
        <w:rPr>
          <w:rFonts w:ascii="黑体" w:hAnsi="黑体" w:eastAsia="黑体"/>
          <w:sz w:val="28"/>
          <w:szCs w:val="28"/>
        </w:rPr>
        <w:t xml:space="preserve"> 2021</w:t>
      </w:r>
      <w:r>
        <w:rPr>
          <w:rFonts w:hint="eastAsia" w:ascii="黑体" w:hAnsi="黑体" w:eastAsia="黑体"/>
          <w:sz w:val="28"/>
          <w:szCs w:val="28"/>
        </w:rPr>
        <w:t>-</w:t>
      </w:r>
      <w:r>
        <w:rPr>
          <w:rFonts w:ascii="黑体" w:hAnsi="黑体" w:eastAsia="黑体"/>
          <w:sz w:val="28"/>
          <w:szCs w:val="28"/>
        </w:rPr>
        <w:t>202</w:t>
      </w:r>
      <w:r>
        <w:rPr>
          <w:rFonts w:hint="eastAsia" w:ascii="黑体" w:hAnsi="黑体" w:eastAsia="黑体"/>
          <w:sz w:val="28"/>
          <w:szCs w:val="28"/>
        </w:rPr>
        <w:t xml:space="preserve">3年度各年度委托服务情况统计表  </w:t>
      </w:r>
      <w:r>
        <w:rPr>
          <w:rFonts w:hint="eastAsia" w:ascii="宋体" w:hAnsi="宋体" w:cs="宋体"/>
          <w:sz w:val="28"/>
          <w:szCs w:val="28"/>
        </w:rPr>
        <w:t xml:space="preserve"> </w:t>
      </w:r>
      <w:r>
        <w:rPr>
          <w:rFonts w:hint="eastAsia" w:ascii="宋体" w:hAnsi="宋体" w:cs="宋体"/>
          <w:szCs w:val="21"/>
        </w:rPr>
        <w:t>单位：万元</w:t>
      </w:r>
    </w:p>
    <w:tbl>
      <w:tblPr>
        <w:tblStyle w:val="12"/>
        <w:tblW w:w="8907" w:type="dxa"/>
        <w:tblInd w:w="-34" w:type="dxa"/>
        <w:tblLayout w:type="fixed"/>
        <w:tblCellMar>
          <w:top w:w="0" w:type="dxa"/>
          <w:left w:w="108" w:type="dxa"/>
          <w:bottom w:w="0" w:type="dxa"/>
          <w:right w:w="108" w:type="dxa"/>
        </w:tblCellMar>
      </w:tblPr>
      <w:tblGrid>
        <w:gridCol w:w="709"/>
        <w:gridCol w:w="3402"/>
        <w:gridCol w:w="2552"/>
        <w:gridCol w:w="1134"/>
        <w:gridCol w:w="1110"/>
      </w:tblGrid>
      <w:tr>
        <w:tblPrEx>
          <w:tblLayout w:type="fixed"/>
          <w:tblCellMar>
            <w:top w:w="0" w:type="dxa"/>
            <w:left w:w="108" w:type="dxa"/>
            <w:bottom w:w="0" w:type="dxa"/>
            <w:right w:w="108" w:type="dxa"/>
          </w:tblCellMar>
        </w:tblPrEx>
        <w:trPr>
          <w:trHeight w:val="445" w:hRule="atLeast"/>
        </w:trPr>
        <w:tc>
          <w:tcPr>
            <w:tcW w:w="709" w:type="dxa"/>
            <w:tcBorders>
              <w:top w:val="single" w:color="000000" w:sz="8" w:space="0"/>
              <w:left w:val="nil"/>
              <w:bottom w:val="dotted" w:color="000000" w:sz="4" w:space="0"/>
              <w:right w:val="dotted"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年度</w:t>
            </w:r>
          </w:p>
        </w:tc>
        <w:tc>
          <w:tcPr>
            <w:tcW w:w="3402" w:type="dxa"/>
            <w:tcBorders>
              <w:top w:val="single" w:color="000000" w:sz="8"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服务单位</w:t>
            </w:r>
          </w:p>
        </w:tc>
        <w:tc>
          <w:tcPr>
            <w:tcW w:w="2552" w:type="dxa"/>
            <w:tcBorders>
              <w:top w:val="single" w:color="000000" w:sz="8"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合同期间</w:t>
            </w:r>
          </w:p>
        </w:tc>
        <w:tc>
          <w:tcPr>
            <w:tcW w:w="1134" w:type="dxa"/>
            <w:tcBorders>
              <w:top w:val="single" w:color="000000" w:sz="8"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合同金额</w:t>
            </w:r>
          </w:p>
        </w:tc>
        <w:tc>
          <w:tcPr>
            <w:tcW w:w="1110" w:type="dxa"/>
            <w:tcBorders>
              <w:top w:val="single" w:color="000000" w:sz="8" w:space="0"/>
              <w:left w:val="dotted" w:color="000000" w:sz="4" w:space="0"/>
              <w:bottom w:val="dotted" w:color="000000" w:sz="4" w:space="0"/>
              <w:right w:val="nil"/>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支出金额</w:t>
            </w:r>
          </w:p>
        </w:tc>
      </w:tr>
      <w:tr>
        <w:tblPrEx>
          <w:tblLayout w:type="fixed"/>
          <w:tblCellMar>
            <w:top w:w="0" w:type="dxa"/>
            <w:left w:w="108" w:type="dxa"/>
            <w:bottom w:w="0" w:type="dxa"/>
            <w:right w:w="108" w:type="dxa"/>
          </w:tblCellMar>
        </w:tblPrEx>
        <w:trPr>
          <w:trHeight w:val="505" w:hRule="atLeast"/>
        </w:trPr>
        <w:tc>
          <w:tcPr>
            <w:tcW w:w="709" w:type="dxa"/>
            <w:tcBorders>
              <w:top w:val="dotted" w:color="000000" w:sz="4" w:space="0"/>
              <w:left w:val="nil"/>
              <w:bottom w:val="dotted" w:color="000000" w:sz="4" w:space="0"/>
              <w:right w:val="dotted"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2021</w:t>
            </w:r>
          </w:p>
        </w:tc>
        <w:tc>
          <w:tcPr>
            <w:tcW w:w="340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北京市西城区群联社区事务中心</w:t>
            </w:r>
          </w:p>
        </w:tc>
        <w:tc>
          <w:tcPr>
            <w:tcW w:w="255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2020.12.1-2021.11.30</w:t>
            </w:r>
          </w:p>
        </w:tc>
        <w:tc>
          <w:tcPr>
            <w:tcW w:w="1134"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28.88</w:t>
            </w:r>
          </w:p>
        </w:tc>
        <w:tc>
          <w:tcPr>
            <w:tcW w:w="1110" w:type="dxa"/>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28.88</w:t>
            </w:r>
          </w:p>
        </w:tc>
      </w:tr>
      <w:tr>
        <w:tblPrEx>
          <w:tblLayout w:type="fixed"/>
          <w:tblCellMar>
            <w:top w:w="0" w:type="dxa"/>
            <w:left w:w="108" w:type="dxa"/>
            <w:bottom w:w="0" w:type="dxa"/>
            <w:right w:w="108" w:type="dxa"/>
          </w:tblCellMar>
        </w:tblPrEx>
        <w:trPr>
          <w:trHeight w:val="460" w:hRule="atLeast"/>
        </w:trPr>
        <w:tc>
          <w:tcPr>
            <w:tcW w:w="709" w:type="dxa"/>
            <w:tcBorders>
              <w:top w:val="dotted" w:color="000000" w:sz="4" w:space="0"/>
              <w:left w:val="nil"/>
              <w:bottom w:val="dotted" w:color="000000" w:sz="4" w:space="0"/>
              <w:right w:val="dotted"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2022</w:t>
            </w:r>
          </w:p>
        </w:tc>
        <w:tc>
          <w:tcPr>
            <w:tcW w:w="340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北京泰和社会工作服务中心</w:t>
            </w:r>
          </w:p>
        </w:tc>
        <w:tc>
          <w:tcPr>
            <w:tcW w:w="255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2021.12.1-2022.11.30</w:t>
            </w:r>
          </w:p>
        </w:tc>
        <w:tc>
          <w:tcPr>
            <w:tcW w:w="1134"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41.83</w:t>
            </w:r>
          </w:p>
        </w:tc>
        <w:tc>
          <w:tcPr>
            <w:tcW w:w="1110" w:type="dxa"/>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41.83</w:t>
            </w:r>
          </w:p>
        </w:tc>
      </w:tr>
      <w:tr>
        <w:tblPrEx>
          <w:tblLayout w:type="fixed"/>
          <w:tblCellMar>
            <w:top w:w="0" w:type="dxa"/>
            <w:left w:w="108" w:type="dxa"/>
            <w:bottom w:w="0" w:type="dxa"/>
            <w:right w:w="108" w:type="dxa"/>
          </w:tblCellMar>
        </w:tblPrEx>
        <w:trPr>
          <w:trHeight w:val="438" w:hRule="atLeast"/>
        </w:trPr>
        <w:tc>
          <w:tcPr>
            <w:tcW w:w="709" w:type="dxa"/>
            <w:tcBorders>
              <w:top w:val="dotted" w:color="000000" w:sz="4" w:space="0"/>
              <w:left w:val="nil"/>
              <w:bottom w:val="dotted" w:color="000000" w:sz="4" w:space="0"/>
              <w:right w:val="dotted"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2023</w:t>
            </w:r>
          </w:p>
        </w:tc>
        <w:tc>
          <w:tcPr>
            <w:tcW w:w="340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北京泰和社会工作服务中心</w:t>
            </w:r>
          </w:p>
        </w:tc>
        <w:tc>
          <w:tcPr>
            <w:tcW w:w="255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2023.3.1-2024.2.29</w:t>
            </w:r>
          </w:p>
        </w:tc>
        <w:tc>
          <w:tcPr>
            <w:tcW w:w="1134"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41.85</w:t>
            </w:r>
          </w:p>
        </w:tc>
        <w:tc>
          <w:tcPr>
            <w:tcW w:w="1110" w:type="dxa"/>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41.85</w:t>
            </w:r>
          </w:p>
        </w:tc>
      </w:tr>
      <w:tr>
        <w:tblPrEx>
          <w:tblLayout w:type="fixed"/>
          <w:tblCellMar>
            <w:top w:w="0" w:type="dxa"/>
            <w:left w:w="108" w:type="dxa"/>
            <w:bottom w:w="0" w:type="dxa"/>
            <w:right w:w="108" w:type="dxa"/>
          </w:tblCellMar>
        </w:tblPrEx>
        <w:trPr>
          <w:trHeight w:val="411" w:hRule="atLeast"/>
        </w:trPr>
        <w:tc>
          <w:tcPr>
            <w:tcW w:w="4111" w:type="dxa"/>
            <w:gridSpan w:val="2"/>
            <w:tcBorders>
              <w:top w:val="dotted" w:color="000000" w:sz="4" w:space="0"/>
              <w:left w:val="nil"/>
              <w:bottom w:val="single" w:color="000000" w:sz="8" w:space="0"/>
              <w:right w:val="dotted"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合计</w:t>
            </w:r>
          </w:p>
        </w:tc>
        <w:tc>
          <w:tcPr>
            <w:tcW w:w="2552" w:type="dxa"/>
            <w:tcBorders>
              <w:top w:val="dotted" w:color="000000" w:sz="4" w:space="0"/>
              <w:left w:val="dotted" w:color="000000" w:sz="4" w:space="0"/>
              <w:bottom w:val="single" w:color="000000" w:sz="8" w:space="0"/>
              <w:right w:val="dotted" w:color="000000" w:sz="4" w:space="0"/>
            </w:tcBorders>
            <w:noWrap/>
            <w:vAlign w:val="center"/>
          </w:tcPr>
          <w:p>
            <w:pPr>
              <w:jc w:val="center"/>
              <w:rPr>
                <w:rFonts w:hint="eastAsia" w:ascii="宋体" w:hAnsi="宋体" w:cs="宋体"/>
                <w:b/>
                <w:bCs/>
                <w:color w:val="000000"/>
                <w:sz w:val="22"/>
                <w:szCs w:val="22"/>
              </w:rPr>
            </w:pPr>
          </w:p>
        </w:tc>
        <w:tc>
          <w:tcPr>
            <w:tcW w:w="1134" w:type="dxa"/>
            <w:tcBorders>
              <w:top w:val="dotted" w:color="000000" w:sz="4" w:space="0"/>
              <w:left w:val="dotted" w:color="000000" w:sz="4" w:space="0"/>
              <w:bottom w:val="single" w:color="000000" w:sz="8" w:space="0"/>
              <w:right w:val="dotted"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112.56</w:t>
            </w:r>
          </w:p>
        </w:tc>
        <w:tc>
          <w:tcPr>
            <w:tcW w:w="1110" w:type="dxa"/>
            <w:tcBorders>
              <w:top w:val="dotted" w:color="000000" w:sz="4" w:space="0"/>
              <w:left w:val="dotted" w:color="000000" w:sz="4" w:space="0"/>
              <w:bottom w:val="single" w:color="000000" w:sz="8" w:space="0"/>
              <w:right w:val="nil"/>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112.56</w:t>
            </w:r>
          </w:p>
        </w:tc>
      </w:tr>
    </w:tbl>
    <w:p>
      <w:pPr>
        <w:autoSpaceDE w:val="0"/>
        <w:autoSpaceDN w:val="0"/>
        <w:adjustRightIn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备注：本次统计按照以往三个年度的合同执行情况，根据提交的项目结算评审报告、支出明细账显示，三个年度的合同金额依据合同条款已全部支付，根据权责发生制核算，即合同金额=支出金额。</w:t>
      </w:r>
    </w:p>
    <w:p>
      <w:pPr>
        <w:spacing w:line="600" w:lineRule="exact"/>
        <w:ind w:firstLine="640" w:firstLineChars="200"/>
        <w:outlineLvl w:val="0"/>
        <w:rPr>
          <w:rFonts w:hint="eastAsia" w:ascii="仿宋" w:hAnsi="仿宋" w:eastAsia="仿宋" w:cs="仿宋"/>
          <w:kern w:val="0"/>
          <w:sz w:val="32"/>
          <w:szCs w:val="32"/>
        </w:rPr>
      </w:pPr>
      <w:bookmarkStart w:id="3" w:name="_Toc26867"/>
      <w:r>
        <w:rPr>
          <w:rFonts w:hint="eastAsia" w:ascii="仿宋" w:hAnsi="仿宋" w:eastAsia="仿宋" w:cs="仿宋"/>
          <w:kern w:val="0"/>
          <w:sz w:val="32"/>
          <w:szCs w:val="32"/>
        </w:rPr>
        <w:t>二、成本绩效分析</w:t>
      </w:r>
      <w:bookmarkEnd w:id="3"/>
    </w:p>
    <w:p>
      <w:pPr>
        <w:spacing w:line="600" w:lineRule="exact"/>
        <w:ind w:left="-4" w:leftChars="-2" w:firstLine="640" w:firstLineChars="200"/>
        <w:outlineLvl w:val="1"/>
        <w:rPr>
          <w:rFonts w:hint="eastAsia" w:ascii="仿宋" w:hAnsi="仿宋" w:eastAsia="仿宋" w:cs="仿宋"/>
          <w:bCs/>
          <w:kern w:val="0"/>
          <w:sz w:val="32"/>
          <w:szCs w:val="32"/>
        </w:rPr>
      </w:pPr>
      <w:bookmarkStart w:id="4" w:name="_Toc28996"/>
      <w:r>
        <w:rPr>
          <w:rFonts w:hint="eastAsia" w:ascii="仿宋" w:hAnsi="仿宋" w:eastAsia="仿宋" w:cs="仿宋"/>
          <w:bCs/>
          <w:kern w:val="0"/>
          <w:sz w:val="32"/>
          <w:szCs w:val="32"/>
        </w:rPr>
        <w:t>（一）成本绩效分析的对象</w:t>
      </w:r>
      <w:bookmarkEnd w:id="4"/>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1.项目名称：困难群众救助服务所项目</w:t>
      </w:r>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2.项目单位：北京市西城区人民政府月坛街道办事处</w:t>
      </w:r>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3.项目现状：</w:t>
      </w:r>
    </w:p>
    <w:p>
      <w:pPr>
        <w:tabs>
          <w:tab w:val="center" w:pos="4153"/>
        </w:tabs>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月坛街道困难救助服务所通过引入社会组织承接运营，在困难救助帮扶方面发挥了重要作用。其核心服务对象：月坛街道民政救助对象，社区走访主动发现，业务科室转介。扩展服务对象：因患病、单亲、失业、残疾等原因导致生活困难，社会救助政策未能覆盖的生活困境人员。困难群众救助服务所的工作主要围绕主动发现、开展需求评估、实施救助服务、提供资源链接等方面开展。</w:t>
      </w:r>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4.项目选择背景及范围</w:t>
      </w:r>
    </w:p>
    <w:p>
      <w:pPr>
        <w:pStyle w:val="11"/>
        <w:spacing w:after="0" w:line="600" w:lineRule="exact"/>
        <w:ind w:left="0" w:leftChars="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为了更好的了解街道困难群众救助服务所项目的运行情况，评估其成本效益，开展成本绩效分析，通过对项目的成本结构、服务效果、资源利用效益等方面进行深入研究，旨在发现存在的问题和不足，为优化项目管理、合理配置资源、提高救助服务水平提供科学依据。</w:t>
      </w:r>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本项目属于公共事业支出，资金来源于区财政一般公共财政资金支出。在预算申报与执行方面，根据财政部门年度预算申报的要求，由月坛街道民生办根据上年度项目情况以及服务内容，并结合下一年度工作重点和计划对项目经费进行测算后确定新一年度的项目预算申报金额。通过履行集体决策研究后向区财政局申报。</w:t>
      </w:r>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为更好的厘清困难群众救助所项目成本边界范围，夯实资金投入需求规模、核定综合定额单价，本次分析的范围选定为“困难群众救助服务所项目”的成本数据作为分析对象，即困难群众救助服务对外委托部分的经费或困难群众救助服务所购买服务的经费。</w:t>
      </w:r>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5.分析方式和分析方法</w:t>
      </w:r>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根据《北京市市级财政支出成本预算绩效分析操作流程》，紧紧围绕核成本、评绩效、出定额、调机制、促管理五项内容开展本次成本预算绩效分析工作。</w:t>
      </w:r>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核成本方面。首先，明确成本构成。该项目内容是为困难群众救助服务所项目，基于项目内容及支出结构分解项目成本，明确具体成本构成为需求评估、个案帮扶、数据维护、业务培训、新增低保低收入家庭入户审核、社区或小组活动，案例总结，通过分析政策导向、职能相关、现实需求等，判断各项成本的必要性，剔除不合理的成本内容。其次，了解预算测算过程及测算依据，判断成本测算的逻辑合理性、依据充分性和结果科学性。再者，分析影响项目成本变动的核心要素。因此，围绕各影响因素收集近三年数据信息，如财务数据及业务数据，梳理历史成本，判断成本规模的合理性，是否存在过度保障或保障不足问题，进一步实现节约成本或加大保障力度，同时根据项目需求及影响因素变动情况，预判成本变动趋势，指导预算编报及资金安排。</w:t>
      </w:r>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评绩效方面。根据项目内容和服务需求，结合相关政策要求、规划计划、行业标准、规章制度、历史采购需求及合同文本等，提炼项目核心产出、效果指标，明确绩效标准，并对项目绩效情况实施评价，发现影响绩效实现的核心问题，提出可行性建议，帮助项目单位实现绩效改进。</w:t>
      </w:r>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出定额方面。基于核成本，剔除历史成本中不合理因素，修正成本构成；基于评绩效，明确质量标准及绩效水平，核定达到质量标准、保证绩效实现的成本规模，进一步建立或优化支出成本定额体系。</w:t>
      </w:r>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调机制和促管理方面。结合成本定额和成本效益分析指标体系及分析结果，明确财政支出标准，建立合理有效的保障机制。同时，对项目规划设计、组织安排、实施模式、职责分工、监督管理等提出优化建议。</w:t>
      </w:r>
    </w:p>
    <w:p>
      <w:pPr>
        <w:spacing w:line="600" w:lineRule="exact"/>
        <w:ind w:firstLine="640" w:firstLineChars="200"/>
        <w:outlineLvl w:val="1"/>
        <w:rPr>
          <w:rFonts w:hint="eastAsia" w:ascii="仿宋" w:hAnsi="仿宋" w:eastAsia="仿宋" w:cs="仿宋"/>
          <w:sz w:val="32"/>
          <w:szCs w:val="32"/>
        </w:rPr>
      </w:pPr>
      <w:bookmarkStart w:id="5" w:name="_Toc9970"/>
      <w:r>
        <w:rPr>
          <w:rFonts w:hint="eastAsia" w:ascii="仿宋" w:hAnsi="仿宋" w:eastAsia="仿宋" w:cs="仿宋"/>
          <w:bCs/>
          <w:kern w:val="0"/>
          <w:sz w:val="32"/>
          <w:szCs w:val="32"/>
        </w:rPr>
        <w:t>（二）成本构成分析</w:t>
      </w:r>
      <w:bookmarkEnd w:id="5"/>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月坛街道委托第三方公司开展对困难群众的专业服务和精准帮扶工作，项目配备专职工作人员全程服务，2021年由北京市西城区群联社区事务中心运营，由于资料收集有限，且工作方案已发生调整，不作为重点分析</w:t>
      </w:r>
      <w:r>
        <w:rPr>
          <w:rFonts w:hint="eastAsia" w:ascii="仿宋" w:hAnsi="仿宋" w:eastAsia="仿宋" w:cs="仿宋"/>
          <w:spacing w:val="-4"/>
          <w:sz w:val="32"/>
          <w:szCs w:val="32"/>
        </w:rPr>
        <w:t>。本次成本重点分析2021年12月-2024年2</w:t>
      </w:r>
      <w:r>
        <w:rPr>
          <w:rFonts w:hint="eastAsia" w:ascii="仿宋" w:hAnsi="仿宋" w:eastAsia="仿宋" w:cs="仿宋"/>
          <w:kern w:val="0"/>
          <w:sz w:val="32"/>
          <w:szCs w:val="32"/>
        </w:rPr>
        <w:t>月由北京泰和社会工作服务中心为街道服务的项目成本情况，以2022年度-2023年度申报为例，项目经费包括：需求评估，个案帮扶，案例总结，社区或小组活动，新增低保低收入家庭入户审核，项目管理费，税费等项服务内容。两个年度成本构成明细详见表2、表3、项目预算构成占比详见图1、图2：</w:t>
      </w:r>
    </w:p>
    <w:p>
      <w:pPr>
        <w:pStyle w:val="2"/>
        <w:spacing w:line="600" w:lineRule="exact"/>
        <w:ind w:firstLine="0" w:firstLineChars="0"/>
        <w:jc w:val="center"/>
        <w:rPr>
          <w:rFonts w:ascii="宋体" w:hAnsi="宋体" w:cs="宋体"/>
          <w:sz w:val="24"/>
        </w:rPr>
      </w:pPr>
      <w:r>
        <w:rPr>
          <w:rFonts w:hint="eastAsia" w:ascii="黑体" w:hAnsi="黑体" w:eastAsia="黑体"/>
          <w:sz w:val="28"/>
          <w:szCs w:val="28"/>
        </w:rPr>
        <w:t xml:space="preserve">表2  2022年困难群众救助服务所项目预算（合同）情况表 </w:t>
      </w:r>
      <w:r>
        <w:rPr>
          <w:rFonts w:hint="eastAsia" w:ascii="宋体" w:hAnsi="宋体" w:cs="宋体"/>
          <w:kern w:val="0"/>
          <w:szCs w:val="21"/>
        </w:rPr>
        <w:t>单位：元</w:t>
      </w:r>
    </w:p>
    <w:tbl>
      <w:tblPr>
        <w:tblStyle w:val="12"/>
        <w:tblpPr w:leftFromText="180" w:rightFromText="180" w:vertAnchor="text" w:horzAnchor="page" w:tblpX="1741" w:tblpY="64"/>
        <w:tblOverlap w:val="never"/>
        <w:tblW w:w="8703" w:type="dxa"/>
        <w:tblInd w:w="0" w:type="dxa"/>
        <w:tblLayout w:type="fixed"/>
        <w:tblCellMar>
          <w:top w:w="0" w:type="dxa"/>
          <w:left w:w="108" w:type="dxa"/>
          <w:bottom w:w="0" w:type="dxa"/>
          <w:right w:w="108" w:type="dxa"/>
        </w:tblCellMar>
      </w:tblPr>
      <w:tblGrid>
        <w:gridCol w:w="1297"/>
        <w:gridCol w:w="1472"/>
        <w:gridCol w:w="1378"/>
        <w:gridCol w:w="928"/>
        <w:gridCol w:w="2722"/>
        <w:gridCol w:w="906"/>
      </w:tblGrid>
      <w:tr>
        <w:tblPrEx>
          <w:tblLayout w:type="fixed"/>
          <w:tblCellMar>
            <w:top w:w="0" w:type="dxa"/>
            <w:left w:w="108" w:type="dxa"/>
            <w:bottom w:w="0" w:type="dxa"/>
            <w:right w:w="108" w:type="dxa"/>
          </w:tblCellMar>
        </w:tblPrEx>
        <w:trPr>
          <w:trHeight w:val="540" w:hRule="atLeast"/>
        </w:trPr>
        <w:tc>
          <w:tcPr>
            <w:tcW w:w="1297" w:type="dxa"/>
            <w:tcBorders>
              <w:top w:val="single" w:color="000000" w:sz="12" w:space="0"/>
              <w:left w:val="nil"/>
              <w:bottom w:val="dotted" w:color="000000" w:sz="4" w:space="0"/>
              <w:right w:val="dotted" w:color="000000" w:sz="4" w:space="0"/>
            </w:tcBorders>
            <w:noWrap/>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sz w:val="20"/>
                <w:szCs w:val="20"/>
              </w:rPr>
              <w:t>服务内容</w:t>
            </w:r>
          </w:p>
        </w:tc>
        <w:tc>
          <w:tcPr>
            <w:tcW w:w="1472" w:type="dxa"/>
            <w:tcBorders>
              <w:top w:val="single" w:color="000000" w:sz="12"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成本类别</w:t>
            </w:r>
          </w:p>
        </w:tc>
        <w:tc>
          <w:tcPr>
            <w:tcW w:w="1378" w:type="dxa"/>
            <w:tcBorders>
              <w:top w:val="single" w:color="000000" w:sz="12"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数量</w:t>
            </w:r>
          </w:p>
        </w:tc>
        <w:tc>
          <w:tcPr>
            <w:tcW w:w="928" w:type="dxa"/>
            <w:tcBorders>
              <w:top w:val="single" w:color="000000" w:sz="12"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单价</w:t>
            </w:r>
          </w:p>
        </w:tc>
        <w:tc>
          <w:tcPr>
            <w:tcW w:w="2722" w:type="dxa"/>
            <w:tcBorders>
              <w:top w:val="single" w:color="000000" w:sz="12" w:space="0"/>
              <w:left w:val="dotted" w:color="000000" w:sz="4" w:space="0"/>
              <w:bottom w:val="dotted" w:color="000000" w:sz="4" w:space="0"/>
              <w:right w:val="dotted" w:color="000000" w:sz="4" w:space="0"/>
            </w:tcBorders>
            <w:noWrap w:val="0"/>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预算（合同</w:t>
            </w:r>
            <w:r>
              <w:rPr>
                <w:rFonts w:ascii="宋体" w:hAnsi="宋体" w:cs="仿宋"/>
                <w:b/>
                <w:bCs/>
                <w:color w:val="000000"/>
                <w:kern w:val="0"/>
                <w:sz w:val="20"/>
                <w:szCs w:val="20"/>
                <w:lang w:bidi="ar"/>
              </w:rPr>
              <w:t>）</w:t>
            </w:r>
            <w:r>
              <w:rPr>
                <w:rFonts w:hint="eastAsia" w:ascii="宋体" w:hAnsi="宋体" w:cs="仿宋"/>
                <w:b/>
                <w:bCs/>
                <w:color w:val="000000"/>
                <w:kern w:val="0"/>
                <w:sz w:val="20"/>
                <w:szCs w:val="20"/>
                <w:lang w:bidi="ar"/>
              </w:rPr>
              <w:t>金额</w:t>
            </w:r>
          </w:p>
        </w:tc>
        <w:tc>
          <w:tcPr>
            <w:tcW w:w="906" w:type="dxa"/>
            <w:tcBorders>
              <w:top w:val="single" w:color="000000" w:sz="12" w:space="0"/>
              <w:left w:val="dotted" w:color="000000" w:sz="4" w:space="0"/>
              <w:bottom w:val="dotted" w:color="000000" w:sz="4" w:space="0"/>
              <w:right w:val="nil"/>
            </w:tcBorders>
            <w:noWrap w:val="0"/>
            <w:vAlign w:val="center"/>
          </w:tcPr>
          <w:p>
            <w:pPr>
              <w:widowControl/>
              <w:jc w:val="center"/>
              <w:textAlignment w:val="center"/>
              <w:rPr>
                <w:rFonts w:ascii="宋体" w:hAnsi="宋体" w:cs="仿宋"/>
                <w:b/>
                <w:bCs/>
                <w:color w:val="000000"/>
                <w:kern w:val="0"/>
                <w:sz w:val="20"/>
                <w:szCs w:val="20"/>
                <w:lang w:bidi="ar"/>
              </w:rPr>
            </w:pPr>
            <w:r>
              <w:rPr>
                <w:rFonts w:hint="eastAsia" w:ascii="宋体" w:hAnsi="宋体" w:cs="仿宋"/>
                <w:b/>
                <w:bCs/>
                <w:color w:val="000000"/>
                <w:kern w:val="0"/>
                <w:sz w:val="20"/>
                <w:szCs w:val="20"/>
                <w:lang w:bidi="ar"/>
              </w:rPr>
              <w:t>占比</w:t>
            </w:r>
          </w:p>
        </w:tc>
      </w:tr>
      <w:tr>
        <w:tblPrEx>
          <w:tblLayout w:type="fixed"/>
          <w:tblCellMar>
            <w:top w:w="0" w:type="dxa"/>
            <w:left w:w="108" w:type="dxa"/>
            <w:bottom w:w="0" w:type="dxa"/>
            <w:right w:w="108" w:type="dxa"/>
          </w:tblCellMar>
        </w:tblPrEx>
        <w:trPr>
          <w:trHeight w:val="471" w:hRule="atLeast"/>
        </w:trPr>
        <w:tc>
          <w:tcPr>
            <w:tcW w:w="1297" w:type="dxa"/>
            <w:vMerge w:val="restart"/>
            <w:tcBorders>
              <w:top w:val="dotted" w:color="000000" w:sz="4" w:space="0"/>
              <w:left w:val="nil"/>
              <w:bottom w:val="dotted" w:color="000000" w:sz="4" w:space="0"/>
              <w:right w:val="dotted" w:color="000000" w:sz="4" w:space="0"/>
            </w:tcBorders>
            <w:noWrap/>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1.需求评估</w:t>
            </w:r>
          </w:p>
        </w:tc>
        <w:tc>
          <w:tcPr>
            <w:tcW w:w="147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入户评估劳务费</w:t>
            </w:r>
          </w:p>
        </w:tc>
        <w:tc>
          <w:tcPr>
            <w:tcW w:w="137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3人*180次 </w:t>
            </w:r>
          </w:p>
        </w:tc>
        <w:tc>
          <w:tcPr>
            <w:tcW w:w="92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200.00 </w:t>
            </w:r>
          </w:p>
        </w:tc>
        <w:tc>
          <w:tcPr>
            <w:tcW w:w="2722" w:type="dxa"/>
            <w:tcBorders>
              <w:top w:val="dotted" w:color="000000" w:sz="4" w:space="0"/>
              <w:left w:val="dotted" w:color="000000" w:sz="4" w:space="0"/>
              <w:bottom w:val="dotted" w:color="000000" w:sz="4" w:space="0"/>
              <w:right w:val="dotted" w:color="000000" w:sz="4" w:space="0"/>
            </w:tcBorders>
            <w:noWrap w:val="0"/>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3人*180次*200=108000元</w:t>
            </w:r>
          </w:p>
        </w:tc>
        <w:tc>
          <w:tcPr>
            <w:tcW w:w="906" w:type="dxa"/>
            <w:vMerge w:val="restart"/>
            <w:tcBorders>
              <w:top w:val="dotted" w:color="000000" w:sz="4" w:space="0"/>
              <w:left w:val="dotted" w:color="000000" w:sz="4" w:space="0"/>
              <w:bottom w:val="dotted" w:color="000000" w:sz="4" w:space="0"/>
              <w:right w:val="nil"/>
            </w:tcBorders>
            <w:noWrap w:val="0"/>
            <w:vAlign w:val="center"/>
          </w:tcPr>
          <w:p>
            <w:pPr>
              <w:widowControl/>
              <w:jc w:val="center"/>
              <w:textAlignment w:val="center"/>
              <w:rPr>
                <w:rFonts w:hint="eastAsia" w:ascii="宋体" w:hAnsi="宋体" w:cs="仿宋"/>
                <w:color w:val="000000"/>
                <w:kern w:val="0"/>
                <w:sz w:val="20"/>
                <w:szCs w:val="20"/>
                <w:lang w:bidi="ar"/>
              </w:rPr>
            </w:pPr>
            <w:r>
              <w:rPr>
                <w:rFonts w:hint="eastAsia" w:ascii="宋体" w:hAnsi="宋体" w:cs="仿宋"/>
                <w:color w:val="000000"/>
                <w:kern w:val="0"/>
                <w:sz w:val="20"/>
                <w:szCs w:val="20"/>
                <w:lang w:bidi="ar"/>
              </w:rPr>
              <w:t>31.41%</w:t>
            </w:r>
          </w:p>
        </w:tc>
      </w:tr>
      <w:tr>
        <w:tblPrEx>
          <w:tblLayout w:type="fixed"/>
          <w:tblCellMar>
            <w:top w:w="0" w:type="dxa"/>
            <w:left w:w="108" w:type="dxa"/>
            <w:bottom w:w="0" w:type="dxa"/>
            <w:right w:w="108" w:type="dxa"/>
          </w:tblCellMar>
        </w:tblPrEx>
        <w:trPr>
          <w:trHeight w:val="420" w:hRule="atLeast"/>
        </w:trPr>
        <w:tc>
          <w:tcPr>
            <w:tcW w:w="1297" w:type="dxa"/>
            <w:vMerge w:val="continue"/>
            <w:tcBorders>
              <w:top w:val="dotted" w:color="000000" w:sz="4" w:space="0"/>
              <w:left w:val="nil"/>
              <w:bottom w:val="dotted" w:color="000000" w:sz="4" w:space="0"/>
              <w:right w:val="dotted" w:color="000000" w:sz="4" w:space="0"/>
            </w:tcBorders>
            <w:noWrap/>
            <w:vAlign w:val="center"/>
          </w:tcPr>
          <w:p>
            <w:pPr>
              <w:jc w:val="center"/>
              <w:rPr>
                <w:rFonts w:hint="eastAsia" w:ascii="宋体" w:hAnsi="宋体" w:cs="仿宋"/>
                <w:b/>
                <w:bCs/>
                <w:color w:val="000000"/>
                <w:sz w:val="20"/>
                <w:szCs w:val="20"/>
              </w:rPr>
            </w:pPr>
          </w:p>
        </w:tc>
        <w:tc>
          <w:tcPr>
            <w:tcW w:w="147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打印费</w:t>
            </w:r>
          </w:p>
        </w:tc>
        <w:tc>
          <w:tcPr>
            <w:tcW w:w="137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120份 </w:t>
            </w:r>
          </w:p>
        </w:tc>
        <w:tc>
          <w:tcPr>
            <w:tcW w:w="92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30.00 </w:t>
            </w:r>
          </w:p>
        </w:tc>
        <w:tc>
          <w:tcPr>
            <w:tcW w:w="272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120*30元=3600元</w:t>
            </w:r>
          </w:p>
        </w:tc>
        <w:tc>
          <w:tcPr>
            <w:tcW w:w="906" w:type="dxa"/>
            <w:vMerge w:val="continue"/>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kern w:val="0"/>
                <w:sz w:val="20"/>
                <w:szCs w:val="20"/>
                <w:lang w:bidi="ar"/>
              </w:rPr>
            </w:pPr>
          </w:p>
        </w:tc>
      </w:tr>
      <w:tr>
        <w:tblPrEx>
          <w:tblLayout w:type="fixed"/>
          <w:tblCellMar>
            <w:top w:w="0" w:type="dxa"/>
            <w:left w:w="108" w:type="dxa"/>
            <w:bottom w:w="0" w:type="dxa"/>
            <w:right w:w="108" w:type="dxa"/>
          </w:tblCellMar>
        </w:tblPrEx>
        <w:trPr>
          <w:trHeight w:val="420" w:hRule="atLeast"/>
        </w:trPr>
        <w:tc>
          <w:tcPr>
            <w:tcW w:w="1297" w:type="dxa"/>
            <w:vMerge w:val="continue"/>
            <w:tcBorders>
              <w:top w:val="dotted" w:color="000000" w:sz="4" w:space="0"/>
              <w:left w:val="nil"/>
              <w:bottom w:val="dotted" w:color="000000" w:sz="4" w:space="0"/>
              <w:right w:val="dotted" w:color="000000" w:sz="4" w:space="0"/>
            </w:tcBorders>
            <w:noWrap/>
            <w:vAlign w:val="center"/>
          </w:tcPr>
          <w:p>
            <w:pPr>
              <w:jc w:val="center"/>
              <w:rPr>
                <w:rFonts w:hint="eastAsia" w:ascii="宋体" w:hAnsi="宋体" w:cs="仿宋"/>
                <w:b/>
                <w:bCs/>
                <w:color w:val="000000"/>
                <w:sz w:val="20"/>
                <w:szCs w:val="20"/>
              </w:rPr>
            </w:pPr>
          </w:p>
        </w:tc>
        <w:tc>
          <w:tcPr>
            <w:tcW w:w="147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交通费</w:t>
            </w:r>
          </w:p>
        </w:tc>
        <w:tc>
          <w:tcPr>
            <w:tcW w:w="137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3人*120次 </w:t>
            </w:r>
          </w:p>
        </w:tc>
        <w:tc>
          <w:tcPr>
            <w:tcW w:w="92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50.00 </w:t>
            </w:r>
          </w:p>
        </w:tc>
        <w:tc>
          <w:tcPr>
            <w:tcW w:w="2722" w:type="dxa"/>
            <w:tcBorders>
              <w:top w:val="dotted" w:color="000000" w:sz="4" w:space="0"/>
              <w:left w:val="dotted" w:color="000000" w:sz="4" w:space="0"/>
              <w:bottom w:val="dotted" w:color="000000" w:sz="4" w:space="0"/>
              <w:right w:val="dotted" w:color="000000" w:sz="4" w:space="0"/>
            </w:tcBorders>
            <w:noWrap w:val="0"/>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3人*120次*50元=18000元</w:t>
            </w:r>
          </w:p>
        </w:tc>
        <w:tc>
          <w:tcPr>
            <w:tcW w:w="906" w:type="dxa"/>
            <w:vMerge w:val="continue"/>
            <w:tcBorders>
              <w:top w:val="dotted" w:color="000000" w:sz="4" w:space="0"/>
              <w:left w:val="dotted" w:color="000000" w:sz="4" w:space="0"/>
              <w:bottom w:val="dotted" w:color="000000" w:sz="4" w:space="0"/>
              <w:right w:val="nil"/>
            </w:tcBorders>
            <w:noWrap w:val="0"/>
            <w:vAlign w:val="center"/>
          </w:tcPr>
          <w:p>
            <w:pPr>
              <w:widowControl/>
              <w:jc w:val="center"/>
              <w:textAlignment w:val="center"/>
              <w:rPr>
                <w:rFonts w:hint="eastAsia" w:ascii="宋体" w:hAnsi="宋体" w:cs="仿宋"/>
                <w:color w:val="000000"/>
                <w:kern w:val="0"/>
                <w:sz w:val="20"/>
                <w:szCs w:val="20"/>
                <w:lang w:bidi="ar"/>
              </w:rPr>
            </w:pPr>
          </w:p>
        </w:tc>
      </w:tr>
      <w:tr>
        <w:tblPrEx>
          <w:tblLayout w:type="fixed"/>
          <w:tblCellMar>
            <w:top w:w="0" w:type="dxa"/>
            <w:left w:w="108" w:type="dxa"/>
            <w:bottom w:w="0" w:type="dxa"/>
            <w:right w:w="108" w:type="dxa"/>
          </w:tblCellMar>
        </w:tblPrEx>
        <w:trPr>
          <w:trHeight w:val="420" w:hRule="atLeast"/>
        </w:trPr>
        <w:tc>
          <w:tcPr>
            <w:tcW w:w="1297" w:type="dxa"/>
            <w:vMerge w:val="continue"/>
            <w:tcBorders>
              <w:top w:val="dotted" w:color="000000" w:sz="4" w:space="0"/>
              <w:left w:val="nil"/>
              <w:bottom w:val="dotted" w:color="000000" w:sz="4" w:space="0"/>
              <w:right w:val="dotted" w:color="000000" w:sz="4" w:space="0"/>
            </w:tcBorders>
            <w:noWrap/>
            <w:vAlign w:val="center"/>
          </w:tcPr>
          <w:p>
            <w:pPr>
              <w:jc w:val="center"/>
              <w:rPr>
                <w:rFonts w:hint="eastAsia" w:ascii="宋体" w:hAnsi="宋体" w:cs="仿宋"/>
                <w:b/>
                <w:bCs/>
                <w:color w:val="000000"/>
                <w:sz w:val="20"/>
                <w:szCs w:val="20"/>
              </w:rPr>
            </w:pPr>
          </w:p>
        </w:tc>
        <w:tc>
          <w:tcPr>
            <w:tcW w:w="147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通讯费</w:t>
            </w:r>
          </w:p>
        </w:tc>
        <w:tc>
          <w:tcPr>
            <w:tcW w:w="137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120次 </w:t>
            </w:r>
          </w:p>
        </w:tc>
        <w:tc>
          <w:tcPr>
            <w:tcW w:w="92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15.00 </w:t>
            </w:r>
          </w:p>
        </w:tc>
        <w:tc>
          <w:tcPr>
            <w:tcW w:w="272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120次*15元=1800元</w:t>
            </w:r>
          </w:p>
        </w:tc>
        <w:tc>
          <w:tcPr>
            <w:tcW w:w="906" w:type="dxa"/>
            <w:vMerge w:val="continue"/>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kern w:val="0"/>
                <w:sz w:val="20"/>
                <w:szCs w:val="20"/>
                <w:lang w:bidi="ar"/>
              </w:rPr>
            </w:pPr>
          </w:p>
        </w:tc>
      </w:tr>
      <w:tr>
        <w:tblPrEx>
          <w:tblLayout w:type="fixed"/>
          <w:tblCellMar>
            <w:top w:w="0" w:type="dxa"/>
            <w:left w:w="108" w:type="dxa"/>
            <w:bottom w:w="0" w:type="dxa"/>
            <w:right w:w="108" w:type="dxa"/>
          </w:tblCellMar>
        </w:tblPrEx>
        <w:trPr>
          <w:trHeight w:val="474" w:hRule="atLeast"/>
        </w:trPr>
        <w:tc>
          <w:tcPr>
            <w:tcW w:w="1297" w:type="dxa"/>
            <w:vMerge w:val="continue"/>
            <w:tcBorders>
              <w:top w:val="dotted" w:color="000000" w:sz="4" w:space="0"/>
              <w:left w:val="nil"/>
              <w:bottom w:val="dotted" w:color="000000" w:sz="4" w:space="0"/>
              <w:right w:val="dotted" w:color="000000" w:sz="4" w:space="0"/>
            </w:tcBorders>
            <w:noWrap/>
            <w:vAlign w:val="center"/>
          </w:tcPr>
          <w:p>
            <w:pPr>
              <w:jc w:val="center"/>
              <w:rPr>
                <w:rFonts w:hint="eastAsia" w:ascii="宋体" w:hAnsi="宋体" w:cs="仿宋"/>
                <w:b/>
                <w:bCs/>
                <w:color w:val="000000"/>
                <w:sz w:val="20"/>
                <w:szCs w:val="20"/>
              </w:rPr>
            </w:pPr>
          </w:p>
        </w:tc>
        <w:tc>
          <w:tcPr>
            <w:tcW w:w="3778" w:type="dxa"/>
            <w:gridSpan w:val="3"/>
            <w:tcBorders>
              <w:top w:val="dotted" w:color="000000" w:sz="4" w:space="0"/>
              <w:left w:val="dotted" w:color="000000" w:sz="4" w:space="0"/>
              <w:bottom w:val="dotted" w:color="000000" w:sz="4" w:space="0"/>
              <w:right w:val="dotted" w:color="000000" w:sz="4" w:space="0"/>
            </w:tcBorders>
            <w:noWrap/>
            <w:vAlign w:val="center"/>
          </w:tcPr>
          <w:p>
            <w:pPr>
              <w:jc w:val="center"/>
              <w:rPr>
                <w:rFonts w:hint="eastAsia" w:ascii="宋体" w:hAnsi="宋体" w:cs="仿宋"/>
                <w:color w:val="000000"/>
                <w:sz w:val="20"/>
                <w:szCs w:val="20"/>
              </w:rPr>
            </w:pPr>
            <w:r>
              <w:rPr>
                <w:rFonts w:hint="eastAsia" w:ascii="宋体" w:hAnsi="宋体" w:cs="仿宋"/>
                <w:color w:val="000000"/>
                <w:kern w:val="0"/>
                <w:sz w:val="20"/>
                <w:szCs w:val="20"/>
                <w:lang w:bidi="ar"/>
              </w:rPr>
              <w:t>小计</w:t>
            </w:r>
          </w:p>
        </w:tc>
        <w:tc>
          <w:tcPr>
            <w:tcW w:w="272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131,400.00</w:t>
            </w:r>
          </w:p>
        </w:tc>
        <w:tc>
          <w:tcPr>
            <w:tcW w:w="906" w:type="dxa"/>
            <w:vMerge w:val="continue"/>
            <w:tcBorders>
              <w:top w:val="dotted" w:color="000000" w:sz="4" w:space="0"/>
              <w:left w:val="dotted" w:color="000000" w:sz="4" w:space="0"/>
              <w:bottom w:val="dotted" w:color="000000" w:sz="4" w:space="0"/>
              <w:right w:val="nil"/>
            </w:tcBorders>
            <w:noWrap/>
            <w:vAlign w:val="center"/>
          </w:tcPr>
          <w:p>
            <w:pPr>
              <w:widowControl/>
              <w:jc w:val="right"/>
              <w:textAlignment w:val="center"/>
              <w:rPr>
                <w:rFonts w:hint="eastAsia" w:ascii="宋体" w:hAnsi="宋体" w:cs="仿宋"/>
                <w:color w:val="000000"/>
                <w:kern w:val="0"/>
                <w:sz w:val="20"/>
                <w:szCs w:val="20"/>
                <w:lang w:bidi="ar"/>
              </w:rPr>
            </w:pPr>
          </w:p>
        </w:tc>
      </w:tr>
      <w:tr>
        <w:tblPrEx>
          <w:tblLayout w:type="fixed"/>
          <w:tblCellMar>
            <w:top w:w="0" w:type="dxa"/>
            <w:left w:w="108" w:type="dxa"/>
            <w:bottom w:w="0" w:type="dxa"/>
            <w:right w:w="108" w:type="dxa"/>
          </w:tblCellMar>
        </w:tblPrEx>
        <w:trPr>
          <w:trHeight w:val="422" w:hRule="atLeast"/>
        </w:trPr>
        <w:tc>
          <w:tcPr>
            <w:tcW w:w="1297" w:type="dxa"/>
            <w:vMerge w:val="restart"/>
            <w:tcBorders>
              <w:top w:val="dotted" w:color="000000" w:sz="4" w:space="0"/>
              <w:left w:val="nil"/>
              <w:bottom w:val="dotted" w:color="000000" w:sz="4" w:space="0"/>
              <w:right w:val="dotted" w:color="000000" w:sz="4" w:space="0"/>
            </w:tcBorders>
            <w:noWrap/>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2.数据维护</w:t>
            </w:r>
          </w:p>
        </w:tc>
        <w:tc>
          <w:tcPr>
            <w:tcW w:w="147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完善档案</w:t>
            </w:r>
          </w:p>
        </w:tc>
        <w:tc>
          <w:tcPr>
            <w:tcW w:w="137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3人*120次 </w:t>
            </w:r>
          </w:p>
        </w:tc>
        <w:tc>
          <w:tcPr>
            <w:tcW w:w="92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100.00 </w:t>
            </w:r>
          </w:p>
        </w:tc>
        <w:tc>
          <w:tcPr>
            <w:tcW w:w="2722" w:type="dxa"/>
            <w:tcBorders>
              <w:top w:val="dotted" w:color="000000" w:sz="4" w:space="0"/>
              <w:left w:val="dotted" w:color="000000" w:sz="4" w:space="0"/>
              <w:bottom w:val="dotted" w:color="000000" w:sz="4" w:space="0"/>
              <w:right w:val="dotted" w:color="000000" w:sz="4" w:space="0"/>
            </w:tcBorders>
            <w:noWrap w:val="0"/>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3人*120次*100元=36000元</w:t>
            </w:r>
          </w:p>
        </w:tc>
        <w:tc>
          <w:tcPr>
            <w:tcW w:w="906" w:type="dxa"/>
            <w:vMerge w:val="restart"/>
            <w:tcBorders>
              <w:top w:val="dotted" w:color="000000" w:sz="4" w:space="0"/>
              <w:left w:val="dotted" w:color="000000" w:sz="4" w:space="0"/>
              <w:bottom w:val="dotted" w:color="000000" w:sz="4" w:space="0"/>
              <w:right w:val="nil"/>
            </w:tcBorders>
            <w:noWrap w:val="0"/>
            <w:vAlign w:val="center"/>
          </w:tcPr>
          <w:p>
            <w:pPr>
              <w:widowControl/>
              <w:jc w:val="center"/>
              <w:textAlignment w:val="center"/>
              <w:rPr>
                <w:rFonts w:hint="eastAsia" w:ascii="宋体" w:hAnsi="宋体" w:cs="仿宋"/>
                <w:color w:val="000000"/>
                <w:kern w:val="0"/>
                <w:sz w:val="20"/>
                <w:szCs w:val="20"/>
                <w:lang w:bidi="ar"/>
              </w:rPr>
            </w:pPr>
            <w:r>
              <w:rPr>
                <w:rFonts w:hint="eastAsia" w:ascii="宋体" w:hAnsi="宋体" w:cs="仿宋"/>
                <w:color w:val="000000"/>
                <w:kern w:val="0"/>
                <w:sz w:val="20"/>
                <w:szCs w:val="20"/>
                <w:lang w:bidi="ar"/>
              </w:rPr>
              <w:t>43.03%</w:t>
            </w:r>
          </w:p>
        </w:tc>
      </w:tr>
      <w:tr>
        <w:tblPrEx>
          <w:tblLayout w:type="fixed"/>
          <w:tblCellMar>
            <w:top w:w="0" w:type="dxa"/>
            <w:left w:w="108" w:type="dxa"/>
            <w:bottom w:w="0" w:type="dxa"/>
            <w:right w:w="108" w:type="dxa"/>
          </w:tblCellMar>
        </w:tblPrEx>
        <w:trPr>
          <w:trHeight w:val="413" w:hRule="atLeast"/>
        </w:trPr>
        <w:tc>
          <w:tcPr>
            <w:tcW w:w="1297" w:type="dxa"/>
            <w:vMerge w:val="continue"/>
            <w:tcBorders>
              <w:top w:val="dotted" w:color="000000" w:sz="4" w:space="0"/>
              <w:left w:val="nil"/>
              <w:bottom w:val="dotted" w:color="000000" w:sz="4" w:space="0"/>
              <w:right w:val="dotted" w:color="000000" w:sz="4" w:space="0"/>
            </w:tcBorders>
            <w:noWrap/>
            <w:vAlign w:val="center"/>
          </w:tcPr>
          <w:p>
            <w:pPr>
              <w:jc w:val="center"/>
              <w:rPr>
                <w:rFonts w:hint="eastAsia" w:ascii="宋体" w:hAnsi="宋体" w:cs="仿宋"/>
                <w:b/>
                <w:bCs/>
                <w:color w:val="000000"/>
                <w:sz w:val="20"/>
                <w:szCs w:val="20"/>
              </w:rPr>
            </w:pPr>
          </w:p>
        </w:tc>
        <w:tc>
          <w:tcPr>
            <w:tcW w:w="147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信息更新</w:t>
            </w:r>
          </w:p>
        </w:tc>
        <w:tc>
          <w:tcPr>
            <w:tcW w:w="137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3人*120次 </w:t>
            </w:r>
          </w:p>
        </w:tc>
        <w:tc>
          <w:tcPr>
            <w:tcW w:w="92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200.00 </w:t>
            </w:r>
          </w:p>
        </w:tc>
        <w:tc>
          <w:tcPr>
            <w:tcW w:w="2722" w:type="dxa"/>
            <w:tcBorders>
              <w:top w:val="dotted" w:color="000000" w:sz="4" w:space="0"/>
              <w:left w:val="dotted" w:color="000000" w:sz="4" w:space="0"/>
              <w:bottom w:val="dotted" w:color="000000" w:sz="4" w:space="0"/>
              <w:right w:val="dotted" w:color="000000" w:sz="4" w:space="0"/>
            </w:tcBorders>
            <w:noWrap w:val="0"/>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3人*120次*200元=72000元</w:t>
            </w:r>
          </w:p>
        </w:tc>
        <w:tc>
          <w:tcPr>
            <w:tcW w:w="906" w:type="dxa"/>
            <w:vMerge w:val="continue"/>
            <w:tcBorders>
              <w:top w:val="dotted" w:color="000000" w:sz="4" w:space="0"/>
              <w:left w:val="dotted" w:color="000000" w:sz="4" w:space="0"/>
              <w:bottom w:val="dotted" w:color="000000" w:sz="4" w:space="0"/>
              <w:right w:val="nil"/>
            </w:tcBorders>
            <w:noWrap w:val="0"/>
            <w:vAlign w:val="center"/>
          </w:tcPr>
          <w:p>
            <w:pPr>
              <w:widowControl/>
              <w:jc w:val="center"/>
              <w:textAlignment w:val="center"/>
              <w:rPr>
                <w:rFonts w:hint="eastAsia" w:ascii="宋体" w:hAnsi="宋体" w:cs="仿宋"/>
                <w:color w:val="000000"/>
                <w:kern w:val="0"/>
                <w:sz w:val="20"/>
                <w:szCs w:val="20"/>
                <w:lang w:bidi="ar"/>
              </w:rPr>
            </w:pPr>
          </w:p>
        </w:tc>
      </w:tr>
      <w:tr>
        <w:tblPrEx>
          <w:tblLayout w:type="fixed"/>
          <w:tblCellMar>
            <w:top w:w="0" w:type="dxa"/>
            <w:left w:w="108" w:type="dxa"/>
            <w:bottom w:w="0" w:type="dxa"/>
            <w:right w:w="108" w:type="dxa"/>
          </w:tblCellMar>
        </w:tblPrEx>
        <w:trPr>
          <w:trHeight w:val="419" w:hRule="atLeast"/>
        </w:trPr>
        <w:tc>
          <w:tcPr>
            <w:tcW w:w="1297" w:type="dxa"/>
            <w:vMerge w:val="continue"/>
            <w:tcBorders>
              <w:top w:val="dotted" w:color="000000" w:sz="4" w:space="0"/>
              <w:left w:val="nil"/>
              <w:bottom w:val="dotted" w:color="000000" w:sz="4" w:space="0"/>
              <w:right w:val="dotted" w:color="000000" w:sz="4" w:space="0"/>
            </w:tcBorders>
            <w:noWrap/>
            <w:vAlign w:val="center"/>
          </w:tcPr>
          <w:p>
            <w:pPr>
              <w:jc w:val="center"/>
              <w:rPr>
                <w:rFonts w:hint="eastAsia" w:ascii="宋体" w:hAnsi="宋体" w:cs="仿宋"/>
                <w:b/>
                <w:bCs/>
                <w:color w:val="000000"/>
                <w:sz w:val="20"/>
                <w:szCs w:val="20"/>
              </w:rPr>
            </w:pPr>
          </w:p>
        </w:tc>
        <w:tc>
          <w:tcPr>
            <w:tcW w:w="147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系统维护</w:t>
            </w:r>
          </w:p>
        </w:tc>
        <w:tc>
          <w:tcPr>
            <w:tcW w:w="137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3人*120次 </w:t>
            </w:r>
          </w:p>
        </w:tc>
        <w:tc>
          <w:tcPr>
            <w:tcW w:w="92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200.00 </w:t>
            </w:r>
          </w:p>
        </w:tc>
        <w:tc>
          <w:tcPr>
            <w:tcW w:w="2722" w:type="dxa"/>
            <w:tcBorders>
              <w:top w:val="dotted" w:color="000000" w:sz="4" w:space="0"/>
              <w:left w:val="dotted" w:color="000000" w:sz="4" w:space="0"/>
              <w:bottom w:val="dotted" w:color="000000" w:sz="4" w:space="0"/>
              <w:right w:val="dotted" w:color="000000" w:sz="4" w:space="0"/>
            </w:tcBorders>
            <w:noWrap w:val="0"/>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3人*120次*200元=72000元</w:t>
            </w:r>
          </w:p>
        </w:tc>
        <w:tc>
          <w:tcPr>
            <w:tcW w:w="906" w:type="dxa"/>
            <w:vMerge w:val="continue"/>
            <w:tcBorders>
              <w:top w:val="dotted" w:color="000000" w:sz="4" w:space="0"/>
              <w:left w:val="dotted" w:color="000000" w:sz="4" w:space="0"/>
              <w:bottom w:val="dotted" w:color="000000" w:sz="4" w:space="0"/>
              <w:right w:val="nil"/>
            </w:tcBorders>
            <w:noWrap w:val="0"/>
            <w:vAlign w:val="center"/>
          </w:tcPr>
          <w:p>
            <w:pPr>
              <w:widowControl/>
              <w:jc w:val="center"/>
              <w:textAlignment w:val="center"/>
              <w:rPr>
                <w:rFonts w:hint="eastAsia" w:ascii="宋体" w:hAnsi="宋体" w:cs="仿宋"/>
                <w:color w:val="000000"/>
                <w:kern w:val="0"/>
                <w:sz w:val="20"/>
                <w:szCs w:val="20"/>
                <w:lang w:bidi="ar"/>
              </w:rPr>
            </w:pPr>
          </w:p>
        </w:tc>
      </w:tr>
      <w:tr>
        <w:tblPrEx>
          <w:tblLayout w:type="fixed"/>
          <w:tblCellMar>
            <w:top w:w="0" w:type="dxa"/>
            <w:left w:w="108" w:type="dxa"/>
            <w:bottom w:w="0" w:type="dxa"/>
            <w:right w:w="108" w:type="dxa"/>
          </w:tblCellMar>
        </w:tblPrEx>
        <w:trPr>
          <w:trHeight w:val="412" w:hRule="atLeast"/>
        </w:trPr>
        <w:tc>
          <w:tcPr>
            <w:tcW w:w="1297" w:type="dxa"/>
            <w:vMerge w:val="continue"/>
            <w:tcBorders>
              <w:top w:val="dotted" w:color="000000" w:sz="4" w:space="0"/>
              <w:left w:val="nil"/>
              <w:bottom w:val="dotted" w:color="000000" w:sz="4" w:space="0"/>
              <w:right w:val="dotted" w:color="000000" w:sz="4" w:space="0"/>
            </w:tcBorders>
            <w:noWrap/>
            <w:vAlign w:val="center"/>
          </w:tcPr>
          <w:p>
            <w:pPr>
              <w:jc w:val="center"/>
              <w:rPr>
                <w:rFonts w:hint="eastAsia" w:ascii="宋体" w:hAnsi="宋体" w:cs="仿宋"/>
                <w:b/>
                <w:bCs/>
                <w:color w:val="000000"/>
                <w:sz w:val="20"/>
                <w:szCs w:val="20"/>
              </w:rPr>
            </w:pPr>
          </w:p>
        </w:tc>
        <w:tc>
          <w:tcPr>
            <w:tcW w:w="3778" w:type="dxa"/>
            <w:gridSpan w:val="3"/>
            <w:tcBorders>
              <w:top w:val="dotted" w:color="000000" w:sz="4" w:space="0"/>
              <w:left w:val="dotted" w:color="000000" w:sz="4" w:space="0"/>
              <w:bottom w:val="dotted" w:color="000000" w:sz="4" w:space="0"/>
              <w:right w:val="dotted" w:color="000000" w:sz="4" w:space="0"/>
            </w:tcBorders>
            <w:noWrap/>
            <w:vAlign w:val="center"/>
          </w:tcPr>
          <w:p>
            <w:pPr>
              <w:jc w:val="center"/>
              <w:rPr>
                <w:rFonts w:hint="eastAsia" w:ascii="宋体" w:hAnsi="宋体" w:cs="仿宋"/>
                <w:color w:val="000000"/>
                <w:sz w:val="20"/>
                <w:szCs w:val="20"/>
              </w:rPr>
            </w:pPr>
            <w:r>
              <w:rPr>
                <w:rFonts w:hint="eastAsia" w:ascii="宋体" w:hAnsi="宋体" w:cs="仿宋"/>
                <w:color w:val="000000"/>
                <w:kern w:val="0"/>
                <w:sz w:val="20"/>
                <w:szCs w:val="20"/>
                <w:lang w:bidi="ar"/>
              </w:rPr>
              <w:t>小计</w:t>
            </w:r>
          </w:p>
        </w:tc>
        <w:tc>
          <w:tcPr>
            <w:tcW w:w="272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180,000.00</w:t>
            </w:r>
          </w:p>
        </w:tc>
        <w:tc>
          <w:tcPr>
            <w:tcW w:w="906" w:type="dxa"/>
            <w:vMerge w:val="continue"/>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kern w:val="0"/>
                <w:sz w:val="20"/>
                <w:szCs w:val="20"/>
                <w:lang w:bidi="ar"/>
              </w:rPr>
            </w:pPr>
          </w:p>
        </w:tc>
      </w:tr>
      <w:tr>
        <w:tblPrEx>
          <w:tblLayout w:type="fixed"/>
          <w:tblCellMar>
            <w:top w:w="0" w:type="dxa"/>
            <w:left w:w="108" w:type="dxa"/>
            <w:bottom w:w="0" w:type="dxa"/>
            <w:right w:w="108" w:type="dxa"/>
          </w:tblCellMar>
        </w:tblPrEx>
        <w:trPr>
          <w:trHeight w:val="418" w:hRule="atLeast"/>
        </w:trPr>
        <w:tc>
          <w:tcPr>
            <w:tcW w:w="1297" w:type="dxa"/>
            <w:vMerge w:val="restart"/>
            <w:tcBorders>
              <w:top w:val="dotted" w:color="000000" w:sz="4" w:space="0"/>
              <w:left w:val="nil"/>
              <w:bottom w:val="dotted" w:color="000000" w:sz="4" w:space="0"/>
              <w:right w:val="dotted" w:color="000000" w:sz="4" w:space="0"/>
            </w:tcBorders>
            <w:noWrap/>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3.案例总结</w:t>
            </w:r>
          </w:p>
        </w:tc>
        <w:tc>
          <w:tcPr>
            <w:tcW w:w="147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经典案例撰写</w:t>
            </w:r>
          </w:p>
        </w:tc>
        <w:tc>
          <w:tcPr>
            <w:tcW w:w="137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10份 </w:t>
            </w:r>
          </w:p>
        </w:tc>
        <w:tc>
          <w:tcPr>
            <w:tcW w:w="92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750 </w:t>
            </w:r>
          </w:p>
        </w:tc>
        <w:tc>
          <w:tcPr>
            <w:tcW w:w="272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10*750元=7500元</w:t>
            </w:r>
          </w:p>
        </w:tc>
        <w:tc>
          <w:tcPr>
            <w:tcW w:w="906" w:type="dxa"/>
            <w:vMerge w:val="restart"/>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kern w:val="0"/>
                <w:sz w:val="20"/>
                <w:szCs w:val="20"/>
                <w:lang w:bidi="ar"/>
              </w:rPr>
            </w:pPr>
            <w:r>
              <w:rPr>
                <w:rFonts w:hint="eastAsia" w:ascii="宋体" w:hAnsi="宋体" w:cs="仿宋"/>
                <w:color w:val="000000"/>
                <w:kern w:val="0"/>
                <w:sz w:val="20"/>
                <w:szCs w:val="20"/>
                <w:lang w:bidi="ar"/>
              </w:rPr>
              <w:t>2.51%</w:t>
            </w:r>
          </w:p>
        </w:tc>
      </w:tr>
      <w:tr>
        <w:tblPrEx>
          <w:tblLayout w:type="fixed"/>
          <w:tblCellMar>
            <w:top w:w="0" w:type="dxa"/>
            <w:left w:w="108" w:type="dxa"/>
            <w:bottom w:w="0" w:type="dxa"/>
            <w:right w:w="108" w:type="dxa"/>
          </w:tblCellMar>
        </w:tblPrEx>
        <w:trPr>
          <w:trHeight w:val="423" w:hRule="atLeast"/>
        </w:trPr>
        <w:tc>
          <w:tcPr>
            <w:tcW w:w="1297" w:type="dxa"/>
            <w:vMerge w:val="continue"/>
            <w:tcBorders>
              <w:top w:val="dotted" w:color="000000" w:sz="4" w:space="0"/>
              <w:left w:val="nil"/>
              <w:bottom w:val="dotted" w:color="000000" w:sz="4" w:space="0"/>
              <w:right w:val="dotted" w:color="000000" w:sz="4" w:space="0"/>
            </w:tcBorders>
            <w:noWrap/>
            <w:vAlign w:val="center"/>
          </w:tcPr>
          <w:p>
            <w:pPr>
              <w:jc w:val="center"/>
              <w:rPr>
                <w:rFonts w:hint="eastAsia" w:ascii="宋体" w:hAnsi="宋体" w:cs="仿宋"/>
                <w:b/>
                <w:bCs/>
                <w:color w:val="000000"/>
                <w:sz w:val="20"/>
                <w:szCs w:val="20"/>
              </w:rPr>
            </w:pPr>
          </w:p>
        </w:tc>
        <w:tc>
          <w:tcPr>
            <w:tcW w:w="147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调研问题总结</w:t>
            </w:r>
          </w:p>
        </w:tc>
        <w:tc>
          <w:tcPr>
            <w:tcW w:w="137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1份</w:t>
            </w:r>
          </w:p>
        </w:tc>
        <w:tc>
          <w:tcPr>
            <w:tcW w:w="92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1500</w:t>
            </w:r>
          </w:p>
        </w:tc>
        <w:tc>
          <w:tcPr>
            <w:tcW w:w="272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1500元</w:t>
            </w:r>
          </w:p>
        </w:tc>
        <w:tc>
          <w:tcPr>
            <w:tcW w:w="906" w:type="dxa"/>
            <w:vMerge w:val="continue"/>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kern w:val="0"/>
                <w:sz w:val="20"/>
                <w:szCs w:val="20"/>
                <w:lang w:bidi="ar"/>
              </w:rPr>
            </w:pPr>
          </w:p>
        </w:tc>
      </w:tr>
      <w:tr>
        <w:tblPrEx>
          <w:tblLayout w:type="fixed"/>
          <w:tblCellMar>
            <w:top w:w="0" w:type="dxa"/>
            <w:left w:w="108" w:type="dxa"/>
            <w:bottom w:w="0" w:type="dxa"/>
            <w:right w:w="108" w:type="dxa"/>
          </w:tblCellMar>
        </w:tblPrEx>
        <w:trPr>
          <w:trHeight w:val="415" w:hRule="atLeast"/>
        </w:trPr>
        <w:tc>
          <w:tcPr>
            <w:tcW w:w="1297" w:type="dxa"/>
            <w:vMerge w:val="continue"/>
            <w:tcBorders>
              <w:top w:val="dotted" w:color="000000" w:sz="4" w:space="0"/>
              <w:left w:val="nil"/>
              <w:bottom w:val="dotted" w:color="000000" w:sz="4" w:space="0"/>
              <w:right w:val="dotted" w:color="000000" w:sz="4" w:space="0"/>
            </w:tcBorders>
            <w:noWrap/>
            <w:vAlign w:val="center"/>
          </w:tcPr>
          <w:p>
            <w:pPr>
              <w:jc w:val="center"/>
              <w:rPr>
                <w:rFonts w:hint="eastAsia" w:ascii="宋体" w:hAnsi="宋体" w:cs="仿宋"/>
                <w:b/>
                <w:bCs/>
                <w:color w:val="000000"/>
                <w:sz w:val="20"/>
                <w:szCs w:val="20"/>
              </w:rPr>
            </w:pPr>
          </w:p>
        </w:tc>
        <w:tc>
          <w:tcPr>
            <w:tcW w:w="147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需求评估报告</w:t>
            </w:r>
          </w:p>
        </w:tc>
        <w:tc>
          <w:tcPr>
            <w:tcW w:w="137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1份</w:t>
            </w:r>
          </w:p>
        </w:tc>
        <w:tc>
          <w:tcPr>
            <w:tcW w:w="92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1500</w:t>
            </w:r>
          </w:p>
        </w:tc>
        <w:tc>
          <w:tcPr>
            <w:tcW w:w="272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1500元</w:t>
            </w:r>
          </w:p>
        </w:tc>
        <w:tc>
          <w:tcPr>
            <w:tcW w:w="906" w:type="dxa"/>
            <w:vMerge w:val="continue"/>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kern w:val="0"/>
                <w:sz w:val="20"/>
                <w:szCs w:val="20"/>
                <w:lang w:bidi="ar"/>
              </w:rPr>
            </w:pPr>
          </w:p>
        </w:tc>
      </w:tr>
      <w:tr>
        <w:tblPrEx>
          <w:tblLayout w:type="fixed"/>
          <w:tblCellMar>
            <w:top w:w="0" w:type="dxa"/>
            <w:left w:w="108" w:type="dxa"/>
            <w:bottom w:w="0" w:type="dxa"/>
            <w:right w:w="108" w:type="dxa"/>
          </w:tblCellMar>
        </w:tblPrEx>
        <w:trPr>
          <w:trHeight w:val="320" w:hRule="atLeast"/>
        </w:trPr>
        <w:tc>
          <w:tcPr>
            <w:tcW w:w="1297" w:type="dxa"/>
            <w:vMerge w:val="continue"/>
            <w:tcBorders>
              <w:top w:val="dotted" w:color="000000" w:sz="4" w:space="0"/>
              <w:left w:val="nil"/>
              <w:bottom w:val="dotted" w:color="000000" w:sz="4" w:space="0"/>
              <w:right w:val="dotted" w:color="000000" w:sz="4" w:space="0"/>
            </w:tcBorders>
            <w:noWrap/>
            <w:vAlign w:val="center"/>
          </w:tcPr>
          <w:p>
            <w:pPr>
              <w:jc w:val="center"/>
              <w:rPr>
                <w:rFonts w:hint="eastAsia" w:ascii="宋体" w:hAnsi="宋体" w:cs="仿宋"/>
                <w:b/>
                <w:bCs/>
                <w:color w:val="000000"/>
                <w:sz w:val="20"/>
                <w:szCs w:val="20"/>
              </w:rPr>
            </w:pPr>
          </w:p>
        </w:tc>
        <w:tc>
          <w:tcPr>
            <w:tcW w:w="3778" w:type="dxa"/>
            <w:gridSpan w:val="3"/>
            <w:tcBorders>
              <w:top w:val="dotted" w:color="000000" w:sz="4" w:space="0"/>
              <w:left w:val="dotted" w:color="000000" w:sz="4" w:space="0"/>
              <w:bottom w:val="dotted" w:color="000000" w:sz="4" w:space="0"/>
              <w:right w:val="dotted" w:color="000000" w:sz="4" w:space="0"/>
            </w:tcBorders>
            <w:noWrap/>
            <w:vAlign w:val="center"/>
          </w:tcPr>
          <w:p>
            <w:pPr>
              <w:jc w:val="center"/>
              <w:rPr>
                <w:rFonts w:hint="eastAsia" w:ascii="宋体" w:hAnsi="宋体" w:cs="仿宋"/>
                <w:color w:val="000000"/>
                <w:sz w:val="20"/>
                <w:szCs w:val="20"/>
              </w:rPr>
            </w:pPr>
            <w:r>
              <w:rPr>
                <w:rFonts w:hint="eastAsia" w:ascii="宋体" w:hAnsi="宋体" w:cs="仿宋"/>
                <w:color w:val="000000"/>
                <w:kern w:val="0"/>
                <w:sz w:val="20"/>
                <w:szCs w:val="20"/>
                <w:lang w:bidi="ar"/>
              </w:rPr>
              <w:t>小计</w:t>
            </w:r>
          </w:p>
        </w:tc>
        <w:tc>
          <w:tcPr>
            <w:tcW w:w="272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10,500.00</w:t>
            </w:r>
          </w:p>
        </w:tc>
        <w:tc>
          <w:tcPr>
            <w:tcW w:w="906" w:type="dxa"/>
            <w:vMerge w:val="continue"/>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kern w:val="0"/>
                <w:sz w:val="20"/>
                <w:szCs w:val="20"/>
                <w:lang w:bidi="ar"/>
              </w:rPr>
            </w:pPr>
          </w:p>
        </w:tc>
      </w:tr>
      <w:tr>
        <w:tblPrEx>
          <w:tblLayout w:type="fixed"/>
          <w:tblCellMar>
            <w:top w:w="0" w:type="dxa"/>
            <w:left w:w="108" w:type="dxa"/>
            <w:bottom w:w="0" w:type="dxa"/>
            <w:right w:w="108" w:type="dxa"/>
          </w:tblCellMar>
        </w:tblPrEx>
        <w:trPr>
          <w:trHeight w:val="512" w:hRule="atLeast"/>
        </w:trPr>
        <w:tc>
          <w:tcPr>
            <w:tcW w:w="1297" w:type="dxa"/>
            <w:vMerge w:val="restart"/>
            <w:tcBorders>
              <w:top w:val="dotted" w:color="000000" w:sz="4" w:space="0"/>
              <w:left w:val="nil"/>
              <w:bottom w:val="dotted" w:color="000000" w:sz="4" w:space="0"/>
              <w:right w:val="dotted" w:color="000000" w:sz="4" w:space="0"/>
            </w:tcBorders>
            <w:noWrap/>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4.业务培训</w:t>
            </w:r>
          </w:p>
        </w:tc>
        <w:tc>
          <w:tcPr>
            <w:tcW w:w="147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定期培训</w:t>
            </w:r>
          </w:p>
        </w:tc>
        <w:tc>
          <w:tcPr>
            <w:tcW w:w="137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12次 </w:t>
            </w:r>
          </w:p>
        </w:tc>
        <w:tc>
          <w:tcPr>
            <w:tcW w:w="92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750.00 </w:t>
            </w:r>
          </w:p>
        </w:tc>
        <w:tc>
          <w:tcPr>
            <w:tcW w:w="272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12次*750元=9000元</w:t>
            </w:r>
          </w:p>
        </w:tc>
        <w:tc>
          <w:tcPr>
            <w:tcW w:w="906" w:type="dxa"/>
            <w:vMerge w:val="restart"/>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kern w:val="0"/>
                <w:sz w:val="20"/>
                <w:szCs w:val="20"/>
                <w:lang w:bidi="ar"/>
              </w:rPr>
            </w:pPr>
            <w:r>
              <w:rPr>
                <w:rFonts w:hint="eastAsia" w:ascii="宋体" w:hAnsi="宋体" w:cs="仿宋"/>
                <w:color w:val="000000"/>
                <w:kern w:val="0"/>
                <w:sz w:val="20"/>
                <w:szCs w:val="20"/>
                <w:lang w:bidi="ar"/>
              </w:rPr>
              <w:t>6.45%</w:t>
            </w:r>
          </w:p>
        </w:tc>
      </w:tr>
      <w:tr>
        <w:tblPrEx>
          <w:tblLayout w:type="fixed"/>
          <w:tblCellMar>
            <w:top w:w="0" w:type="dxa"/>
            <w:left w:w="108" w:type="dxa"/>
            <w:bottom w:w="0" w:type="dxa"/>
            <w:right w:w="108" w:type="dxa"/>
          </w:tblCellMar>
        </w:tblPrEx>
        <w:trPr>
          <w:trHeight w:val="547" w:hRule="atLeast"/>
        </w:trPr>
        <w:tc>
          <w:tcPr>
            <w:tcW w:w="1297" w:type="dxa"/>
            <w:vMerge w:val="continue"/>
            <w:tcBorders>
              <w:top w:val="dotted" w:color="000000" w:sz="4" w:space="0"/>
              <w:left w:val="nil"/>
              <w:bottom w:val="dotted" w:color="000000" w:sz="4" w:space="0"/>
              <w:right w:val="dotted" w:color="000000" w:sz="4" w:space="0"/>
            </w:tcBorders>
            <w:noWrap/>
            <w:vAlign w:val="center"/>
          </w:tcPr>
          <w:p>
            <w:pPr>
              <w:jc w:val="center"/>
              <w:rPr>
                <w:rFonts w:hint="eastAsia" w:ascii="宋体" w:hAnsi="宋体" w:cs="仿宋"/>
                <w:b/>
                <w:bCs/>
                <w:color w:val="000000"/>
                <w:sz w:val="20"/>
                <w:szCs w:val="20"/>
              </w:rPr>
            </w:pPr>
          </w:p>
        </w:tc>
        <w:tc>
          <w:tcPr>
            <w:tcW w:w="147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外请督导</w:t>
            </w:r>
          </w:p>
        </w:tc>
        <w:tc>
          <w:tcPr>
            <w:tcW w:w="137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12次</w:t>
            </w:r>
          </w:p>
        </w:tc>
        <w:tc>
          <w:tcPr>
            <w:tcW w:w="92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1500.00</w:t>
            </w:r>
          </w:p>
        </w:tc>
        <w:tc>
          <w:tcPr>
            <w:tcW w:w="272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12次*1500元=18000元</w:t>
            </w:r>
          </w:p>
        </w:tc>
        <w:tc>
          <w:tcPr>
            <w:tcW w:w="906" w:type="dxa"/>
            <w:vMerge w:val="continue"/>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kern w:val="0"/>
                <w:sz w:val="20"/>
                <w:szCs w:val="20"/>
                <w:lang w:bidi="ar"/>
              </w:rPr>
            </w:pPr>
          </w:p>
        </w:tc>
      </w:tr>
      <w:tr>
        <w:tblPrEx>
          <w:tblLayout w:type="fixed"/>
          <w:tblCellMar>
            <w:top w:w="0" w:type="dxa"/>
            <w:left w:w="108" w:type="dxa"/>
            <w:bottom w:w="0" w:type="dxa"/>
            <w:right w:w="108" w:type="dxa"/>
          </w:tblCellMar>
        </w:tblPrEx>
        <w:trPr>
          <w:trHeight w:val="360" w:hRule="atLeast"/>
        </w:trPr>
        <w:tc>
          <w:tcPr>
            <w:tcW w:w="1297" w:type="dxa"/>
            <w:vMerge w:val="continue"/>
            <w:tcBorders>
              <w:top w:val="dotted" w:color="000000" w:sz="4" w:space="0"/>
              <w:left w:val="nil"/>
              <w:bottom w:val="dotted" w:color="000000" w:sz="4" w:space="0"/>
              <w:right w:val="dotted" w:color="000000" w:sz="4" w:space="0"/>
            </w:tcBorders>
            <w:noWrap/>
            <w:vAlign w:val="center"/>
          </w:tcPr>
          <w:p>
            <w:pPr>
              <w:jc w:val="center"/>
              <w:rPr>
                <w:rFonts w:hint="eastAsia" w:ascii="宋体" w:hAnsi="宋体" w:cs="仿宋"/>
                <w:b/>
                <w:bCs/>
                <w:color w:val="000000"/>
                <w:sz w:val="20"/>
                <w:szCs w:val="20"/>
              </w:rPr>
            </w:pPr>
          </w:p>
        </w:tc>
        <w:tc>
          <w:tcPr>
            <w:tcW w:w="3778" w:type="dxa"/>
            <w:gridSpan w:val="3"/>
            <w:tcBorders>
              <w:top w:val="dotted" w:color="000000" w:sz="4" w:space="0"/>
              <w:left w:val="dotted" w:color="000000" w:sz="4" w:space="0"/>
              <w:bottom w:val="dotted" w:color="000000" w:sz="4" w:space="0"/>
              <w:right w:val="dotted" w:color="000000" w:sz="4" w:space="0"/>
            </w:tcBorders>
            <w:noWrap/>
            <w:vAlign w:val="center"/>
          </w:tcPr>
          <w:p>
            <w:pPr>
              <w:jc w:val="center"/>
              <w:rPr>
                <w:rFonts w:hint="eastAsia" w:ascii="宋体" w:hAnsi="宋体" w:cs="仿宋"/>
                <w:color w:val="000000"/>
                <w:sz w:val="20"/>
                <w:szCs w:val="20"/>
              </w:rPr>
            </w:pPr>
            <w:r>
              <w:rPr>
                <w:rFonts w:hint="eastAsia" w:ascii="宋体" w:hAnsi="宋体" w:cs="仿宋"/>
                <w:color w:val="000000"/>
                <w:kern w:val="0"/>
                <w:sz w:val="20"/>
                <w:szCs w:val="20"/>
                <w:lang w:bidi="ar"/>
              </w:rPr>
              <w:t>小计</w:t>
            </w:r>
          </w:p>
        </w:tc>
        <w:tc>
          <w:tcPr>
            <w:tcW w:w="272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27,000.00</w:t>
            </w:r>
          </w:p>
        </w:tc>
        <w:tc>
          <w:tcPr>
            <w:tcW w:w="906" w:type="dxa"/>
            <w:vMerge w:val="continue"/>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kern w:val="0"/>
                <w:sz w:val="20"/>
                <w:szCs w:val="20"/>
                <w:lang w:bidi="ar"/>
              </w:rPr>
            </w:pPr>
          </w:p>
        </w:tc>
      </w:tr>
      <w:tr>
        <w:tblPrEx>
          <w:tblLayout w:type="fixed"/>
          <w:tblCellMar>
            <w:top w:w="0" w:type="dxa"/>
            <w:left w:w="108" w:type="dxa"/>
            <w:bottom w:w="0" w:type="dxa"/>
            <w:right w:w="108" w:type="dxa"/>
          </w:tblCellMar>
        </w:tblPrEx>
        <w:trPr>
          <w:trHeight w:val="475" w:hRule="atLeast"/>
        </w:trPr>
        <w:tc>
          <w:tcPr>
            <w:tcW w:w="1297" w:type="dxa"/>
            <w:vMerge w:val="restart"/>
            <w:tcBorders>
              <w:top w:val="dotted" w:color="000000" w:sz="4" w:space="0"/>
              <w:left w:val="nil"/>
              <w:bottom w:val="dotted" w:color="000000" w:sz="4" w:space="0"/>
              <w:right w:val="dotted" w:color="000000" w:sz="4" w:space="0"/>
            </w:tcBorders>
            <w:noWrap/>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5.媒体宣传</w:t>
            </w:r>
          </w:p>
        </w:tc>
        <w:tc>
          <w:tcPr>
            <w:tcW w:w="147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新闻稿</w:t>
            </w:r>
          </w:p>
        </w:tc>
        <w:tc>
          <w:tcPr>
            <w:tcW w:w="137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12份 </w:t>
            </w:r>
          </w:p>
        </w:tc>
        <w:tc>
          <w:tcPr>
            <w:tcW w:w="92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 750.00 </w:t>
            </w:r>
          </w:p>
        </w:tc>
        <w:tc>
          <w:tcPr>
            <w:tcW w:w="272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12次*750元=9000元</w:t>
            </w:r>
          </w:p>
        </w:tc>
        <w:tc>
          <w:tcPr>
            <w:tcW w:w="906" w:type="dxa"/>
            <w:vMerge w:val="restart"/>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kern w:val="0"/>
                <w:sz w:val="20"/>
                <w:szCs w:val="20"/>
                <w:lang w:bidi="ar"/>
              </w:rPr>
            </w:pPr>
            <w:r>
              <w:rPr>
                <w:rFonts w:hint="eastAsia" w:ascii="宋体" w:hAnsi="宋体" w:cs="仿宋"/>
                <w:color w:val="000000"/>
                <w:kern w:val="0"/>
                <w:sz w:val="20"/>
                <w:szCs w:val="20"/>
                <w:lang w:bidi="ar"/>
              </w:rPr>
              <w:t>3.94%</w:t>
            </w:r>
          </w:p>
        </w:tc>
      </w:tr>
      <w:tr>
        <w:tblPrEx>
          <w:tblLayout w:type="fixed"/>
          <w:tblCellMar>
            <w:top w:w="0" w:type="dxa"/>
            <w:left w:w="108" w:type="dxa"/>
            <w:bottom w:w="0" w:type="dxa"/>
            <w:right w:w="108" w:type="dxa"/>
          </w:tblCellMar>
        </w:tblPrEx>
        <w:trPr>
          <w:trHeight w:val="553" w:hRule="atLeast"/>
        </w:trPr>
        <w:tc>
          <w:tcPr>
            <w:tcW w:w="1297" w:type="dxa"/>
            <w:vMerge w:val="continue"/>
            <w:tcBorders>
              <w:top w:val="dotted" w:color="000000" w:sz="4" w:space="0"/>
              <w:left w:val="nil"/>
              <w:bottom w:val="dotted" w:color="000000" w:sz="4" w:space="0"/>
              <w:right w:val="dotted" w:color="000000" w:sz="4" w:space="0"/>
            </w:tcBorders>
            <w:noWrap/>
            <w:vAlign w:val="center"/>
          </w:tcPr>
          <w:p>
            <w:pPr>
              <w:jc w:val="center"/>
              <w:rPr>
                <w:rFonts w:hint="eastAsia" w:ascii="宋体" w:hAnsi="宋体" w:cs="仿宋"/>
                <w:b/>
                <w:bCs/>
                <w:color w:val="000000"/>
                <w:sz w:val="20"/>
                <w:szCs w:val="20"/>
              </w:rPr>
            </w:pPr>
          </w:p>
        </w:tc>
        <w:tc>
          <w:tcPr>
            <w:tcW w:w="147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媒体报道</w:t>
            </w:r>
          </w:p>
        </w:tc>
        <w:tc>
          <w:tcPr>
            <w:tcW w:w="137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5次</w:t>
            </w:r>
          </w:p>
        </w:tc>
        <w:tc>
          <w:tcPr>
            <w:tcW w:w="92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1500.00</w:t>
            </w:r>
          </w:p>
        </w:tc>
        <w:tc>
          <w:tcPr>
            <w:tcW w:w="272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5次*1500元=7500元</w:t>
            </w:r>
          </w:p>
        </w:tc>
        <w:tc>
          <w:tcPr>
            <w:tcW w:w="906" w:type="dxa"/>
            <w:vMerge w:val="continue"/>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kern w:val="0"/>
                <w:sz w:val="20"/>
                <w:szCs w:val="20"/>
                <w:lang w:bidi="ar"/>
              </w:rPr>
            </w:pPr>
          </w:p>
        </w:tc>
      </w:tr>
      <w:tr>
        <w:tblPrEx>
          <w:tblLayout w:type="fixed"/>
          <w:tblCellMar>
            <w:top w:w="0" w:type="dxa"/>
            <w:left w:w="108" w:type="dxa"/>
            <w:bottom w:w="0" w:type="dxa"/>
            <w:right w:w="108" w:type="dxa"/>
          </w:tblCellMar>
        </w:tblPrEx>
        <w:trPr>
          <w:trHeight w:val="407" w:hRule="atLeast"/>
        </w:trPr>
        <w:tc>
          <w:tcPr>
            <w:tcW w:w="1297" w:type="dxa"/>
            <w:vMerge w:val="continue"/>
            <w:tcBorders>
              <w:top w:val="dotted" w:color="000000" w:sz="4" w:space="0"/>
              <w:left w:val="nil"/>
              <w:bottom w:val="dotted" w:color="000000" w:sz="4" w:space="0"/>
              <w:right w:val="dotted" w:color="000000" w:sz="4" w:space="0"/>
            </w:tcBorders>
            <w:noWrap/>
            <w:vAlign w:val="center"/>
          </w:tcPr>
          <w:p>
            <w:pPr>
              <w:jc w:val="center"/>
              <w:rPr>
                <w:rFonts w:hint="eastAsia" w:ascii="宋体" w:hAnsi="宋体" w:cs="仿宋"/>
                <w:b/>
                <w:bCs/>
                <w:color w:val="000000"/>
                <w:sz w:val="20"/>
                <w:szCs w:val="20"/>
              </w:rPr>
            </w:pPr>
          </w:p>
        </w:tc>
        <w:tc>
          <w:tcPr>
            <w:tcW w:w="3778" w:type="dxa"/>
            <w:gridSpan w:val="3"/>
            <w:tcBorders>
              <w:top w:val="dotted" w:color="000000" w:sz="4" w:space="0"/>
              <w:left w:val="dotted" w:color="000000" w:sz="4" w:space="0"/>
              <w:bottom w:val="dotted" w:color="000000" w:sz="4" w:space="0"/>
              <w:right w:val="dotted" w:color="000000" w:sz="4" w:space="0"/>
            </w:tcBorders>
            <w:noWrap/>
            <w:vAlign w:val="center"/>
          </w:tcPr>
          <w:p>
            <w:pPr>
              <w:jc w:val="center"/>
              <w:rPr>
                <w:rFonts w:hint="eastAsia" w:ascii="宋体" w:hAnsi="宋体" w:cs="仿宋"/>
                <w:color w:val="000000"/>
                <w:sz w:val="20"/>
                <w:szCs w:val="20"/>
              </w:rPr>
            </w:pPr>
            <w:r>
              <w:rPr>
                <w:rFonts w:hint="eastAsia" w:ascii="宋体" w:hAnsi="宋体" w:cs="仿宋"/>
                <w:color w:val="000000"/>
                <w:kern w:val="0"/>
                <w:sz w:val="20"/>
                <w:szCs w:val="20"/>
                <w:lang w:bidi="ar"/>
              </w:rPr>
              <w:t>小计</w:t>
            </w:r>
          </w:p>
        </w:tc>
        <w:tc>
          <w:tcPr>
            <w:tcW w:w="272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16,500.00</w:t>
            </w:r>
          </w:p>
        </w:tc>
        <w:tc>
          <w:tcPr>
            <w:tcW w:w="906" w:type="dxa"/>
            <w:vMerge w:val="continue"/>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kern w:val="0"/>
                <w:sz w:val="20"/>
                <w:szCs w:val="20"/>
                <w:lang w:bidi="ar"/>
              </w:rPr>
            </w:pPr>
          </w:p>
        </w:tc>
      </w:tr>
      <w:tr>
        <w:tblPrEx>
          <w:tblLayout w:type="fixed"/>
          <w:tblCellMar>
            <w:top w:w="0" w:type="dxa"/>
            <w:left w:w="108" w:type="dxa"/>
            <w:bottom w:w="0" w:type="dxa"/>
            <w:right w:w="108" w:type="dxa"/>
          </w:tblCellMar>
        </w:tblPrEx>
        <w:trPr>
          <w:trHeight w:val="524" w:hRule="atLeast"/>
        </w:trPr>
        <w:tc>
          <w:tcPr>
            <w:tcW w:w="1297" w:type="dxa"/>
            <w:vMerge w:val="restart"/>
            <w:tcBorders>
              <w:top w:val="dotted" w:color="000000" w:sz="4" w:space="0"/>
              <w:left w:val="nil"/>
              <w:bottom w:val="dotted" w:color="000000" w:sz="4" w:space="0"/>
              <w:right w:val="dotted" w:color="000000" w:sz="4" w:space="0"/>
            </w:tcBorders>
            <w:noWrap/>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6.管理</w:t>
            </w:r>
          </w:p>
        </w:tc>
        <w:tc>
          <w:tcPr>
            <w:tcW w:w="147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管理费</w:t>
            </w:r>
          </w:p>
        </w:tc>
        <w:tc>
          <w:tcPr>
            <w:tcW w:w="137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8%</w:t>
            </w:r>
          </w:p>
        </w:tc>
        <w:tc>
          <w:tcPr>
            <w:tcW w:w="928" w:type="dxa"/>
            <w:tcBorders>
              <w:top w:val="dotted" w:color="000000" w:sz="4" w:space="0"/>
              <w:left w:val="dotted" w:color="000000" w:sz="4" w:space="0"/>
              <w:bottom w:val="dotted" w:color="000000" w:sz="4" w:space="0"/>
              <w:right w:val="dotted" w:color="000000" w:sz="4" w:space="0"/>
            </w:tcBorders>
            <w:noWrap/>
            <w:vAlign w:val="center"/>
          </w:tcPr>
          <w:p>
            <w:pPr>
              <w:jc w:val="center"/>
              <w:rPr>
                <w:rFonts w:hint="eastAsia" w:ascii="宋体" w:hAnsi="宋体" w:cs="仿宋"/>
                <w:color w:val="000000"/>
                <w:sz w:val="20"/>
                <w:szCs w:val="20"/>
              </w:rPr>
            </w:pPr>
          </w:p>
        </w:tc>
        <w:tc>
          <w:tcPr>
            <w:tcW w:w="272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29,232.00</w:t>
            </w:r>
          </w:p>
        </w:tc>
        <w:tc>
          <w:tcPr>
            <w:tcW w:w="906" w:type="dxa"/>
            <w:vMerge w:val="restart"/>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kern w:val="0"/>
                <w:sz w:val="20"/>
                <w:szCs w:val="20"/>
                <w:lang w:bidi="ar"/>
              </w:rPr>
            </w:pPr>
            <w:r>
              <w:rPr>
                <w:rFonts w:hint="eastAsia" w:ascii="宋体" w:hAnsi="宋体" w:cs="仿宋"/>
                <w:color w:val="000000"/>
                <w:kern w:val="0"/>
                <w:sz w:val="20"/>
                <w:szCs w:val="20"/>
                <w:lang w:bidi="ar"/>
              </w:rPr>
              <w:t>6.99%</w:t>
            </w:r>
          </w:p>
        </w:tc>
      </w:tr>
      <w:tr>
        <w:tblPrEx>
          <w:tblLayout w:type="fixed"/>
          <w:tblCellMar>
            <w:top w:w="0" w:type="dxa"/>
            <w:left w:w="108" w:type="dxa"/>
            <w:bottom w:w="0" w:type="dxa"/>
            <w:right w:w="108" w:type="dxa"/>
          </w:tblCellMar>
        </w:tblPrEx>
        <w:trPr>
          <w:trHeight w:val="417" w:hRule="atLeast"/>
        </w:trPr>
        <w:tc>
          <w:tcPr>
            <w:tcW w:w="1297" w:type="dxa"/>
            <w:vMerge w:val="continue"/>
            <w:tcBorders>
              <w:top w:val="dotted" w:color="000000" w:sz="4" w:space="0"/>
              <w:left w:val="nil"/>
              <w:bottom w:val="dotted" w:color="000000" w:sz="4" w:space="0"/>
              <w:right w:val="dotted" w:color="000000" w:sz="4" w:space="0"/>
            </w:tcBorders>
            <w:noWrap/>
            <w:vAlign w:val="center"/>
          </w:tcPr>
          <w:p>
            <w:pPr>
              <w:jc w:val="center"/>
              <w:rPr>
                <w:rFonts w:hint="eastAsia" w:ascii="宋体" w:hAnsi="宋体" w:cs="仿宋"/>
                <w:b/>
                <w:bCs/>
                <w:color w:val="000000"/>
                <w:sz w:val="20"/>
                <w:szCs w:val="20"/>
              </w:rPr>
            </w:pPr>
          </w:p>
        </w:tc>
        <w:tc>
          <w:tcPr>
            <w:tcW w:w="147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小计</w:t>
            </w:r>
          </w:p>
        </w:tc>
        <w:tc>
          <w:tcPr>
            <w:tcW w:w="1378" w:type="dxa"/>
            <w:tcBorders>
              <w:top w:val="dotted" w:color="000000" w:sz="4" w:space="0"/>
              <w:left w:val="dotted" w:color="000000" w:sz="4" w:space="0"/>
              <w:bottom w:val="dotted" w:color="000000" w:sz="4" w:space="0"/>
              <w:right w:val="dotted" w:color="000000" w:sz="4" w:space="0"/>
            </w:tcBorders>
            <w:noWrap/>
            <w:vAlign w:val="center"/>
          </w:tcPr>
          <w:p>
            <w:pPr>
              <w:jc w:val="center"/>
              <w:rPr>
                <w:rFonts w:hint="eastAsia" w:ascii="宋体" w:hAnsi="宋体" w:cs="仿宋"/>
                <w:color w:val="000000"/>
                <w:sz w:val="20"/>
                <w:szCs w:val="20"/>
              </w:rPr>
            </w:pPr>
          </w:p>
        </w:tc>
        <w:tc>
          <w:tcPr>
            <w:tcW w:w="928" w:type="dxa"/>
            <w:tcBorders>
              <w:top w:val="dotted" w:color="000000" w:sz="4" w:space="0"/>
              <w:left w:val="dotted" w:color="000000" w:sz="4" w:space="0"/>
              <w:bottom w:val="dotted" w:color="000000" w:sz="4" w:space="0"/>
              <w:right w:val="dotted" w:color="000000" w:sz="4" w:space="0"/>
            </w:tcBorders>
            <w:noWrap/>
            <w:vAlign w:val="center"/>
          </w:tcPr>
          <w:p>
            <w:pPr>
              <w:jc w:val="center"/>
              <w:rPr>
                <w:rFonts w:hint="eastAsia" w:ascii="宋体" w:hAnsi="宋体" w:cs="仿宋"/>
                <w:color w:val="000000"/>
                <w:sz w:val="20"/>
                <w:szCs w:val="20"/>
              </w:rPr>
            </w:pPr>
          </w:p>
        </w:tc>
        <w:tc>
          <w:tcPr>
            <w:tcW w:w="272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29,232.00</w:t>
            </w:r>
          </w:p>
        </w:tc>
        <w:tc>
          <w:tcPr>
            <w:tcW w:w="906" w:type="dxa"/>
            <w:vMerge w:val="continue"/>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kern w:val="0"/>
                <w:sz w:val="20"/>
                <w:szCs w:val="20"/>
                <w:lang w:bidi="ar"/>
              </w:rPr>
            </w:pPr>
          </w:p>
        </w:tc>
      </w:tr>
      <w:tr>
        <w:tblPrEx>
          <w:tblLayout w:type="fixed"/>
          <w:tblCellMar>
            <w:top w:w="0" w:type="dxa"/>
            <w:left w:w="108" w:type="dxa"/>
            <w:bottom w:w="0" w:type="dxa"/>
            <w:right w:w="108" w:type="dxa"/>
          </w:tblCellMar>
        </w:tblPrEx>
        <w:trPr>
          <w:trHeight w:val="409" w:hRule="atLeast"/>
        </w:trPr>
        <w:tc>
          <w:tcPr>
            <w:tcW w:w="1297" w:type="dxa"/>
            <w:tcBorders>
              <w:top w:val="dotted" w:color="000000" w:sz="4" w:space="0"/>
              <w:left w:val="nil"/>
              <w:bottom w:val="dotted" w:color="000000" w:sz="4" w:space="0"/>
              <w:right w:val="dotted" w:color="000000" w:sz="4" w:space="0"/>
            </w:tcBorders>
            <w:noWrap/>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7.税费</w:t>
            </w:r>
          </w:p>
        </w:tc>
        <w:tc>
          <w:tcPr>
            <w:tcW w:w="147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税金</w:t>
            </w:r>
          </w:p>
        </w:tc>
        <w:tc>
          <w:tcPr>
            <w:tcW w:w="1378"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6%</w:t>
            </w:r>
          </w:p>
        </w:tc>
        <w:tc>
          <w:tcPr>
            <w:tcW w:w="928" w:type="dxa"/>
            <w:tcBorders>
              <w:top w:val="dotted" w:color="000000" w:sz="4" w:space="0"/>
              <w:left w:val="dotted" w:color="000000" w:sz="4" w:space="0"/>
              <w:bottom w:val="dotted" w:color="000000" w:sz="4" w:space="0"/>
              <w:right w:val="dotted" w:color="000000" w:sz="4" w:space="0"/>
            </w:tcBorders>
            <w:noWrap/>
            <w:vAlign w:val="center"/>
          </w:tcPr>
          <w:p>
            <w:pPr>
              <w:jc w:val="center"/>
              <w:rPr>
                <w:rFonts w:hint="eastAsia" w:ascii="宋体" w:hAnsi="宋体" w:cs="仿宋"/>
                <w:color w:val="000000"/>
                <w:sz w:val="20"/>
                <w:szCs w:val="20"/>
              </w:rPr>
            </w:pPr>
          </w:p>
        </w:tc>
        <w:tc>
          <w:tcPr>
            <w:tcW w:w="2722"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23677.92</w:t>
            </w:r>
          </w:p>
        </w:tc>
        <w:tc>
          <w:tcPr>
            <w:tcW w:w="906" w:type="dxa"/>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kern w:val="0"/>
                <w:sz w:val="20"/>
                <w:szCs w:val="20"/>
                <w:lang w:bidi="ar"/>
              </w:rPr>
            </w:pPr>
            <w:r>
              <w:rPr>
                <w:rFonts w:hint="eastAsia" w:ascii="宋体" w:hAnsi="宋体" w:cs="仿宋"/>
                <w:color w:val="000000"/>
                <w:kern w:val="0"/>
                <w:sz w:val="20"/>
                <w:szCs w:val="20"/>
                <w:lang w:bidi="ar"/>
              </w:rPr>
              <w:t>5.66%</w:t>
            </w:r>
          </w:p>
        </w:tc>
      </w:tr>
      <w:tr>
        <w:tblPrEx>
          <w:tblLayout w:type="fixed"/>
          <w:tblCellMar>
            <w:top w:w="0" w:type="dxa"/>
            <w:left w:w="108" w:type="dxa"/>
            <w:bottom w:w="0" w:type="dxa"/>
            <w:right w:w="108" w:type="dxa"/>
          </w:tblCellMar>
        </w:tblPrEx>
        <w:trPr>
          <w:trHeight w:val="400" w:hRule="atLeast"/>
        </w:trPr>
        <w:tc>
          <w:tcPr>
            <w:tcW w:w="5075" w:type="dxa"/>
            <w:gridSpan w:val="4"/>
            <w:tcBorders>
              <w:top w:val="dotted" w:color="000000" w:sz="4" w:space="0"/>
              <w:left w:val="nil"/>
              <w:bottom w:val="single" w:color="000000" w:sz="12" w:space="0"/>
              <w:right w:val="dotted" w:color="000000" w:sz="4" w:space="0"/>
            </w:tcBorders>
            <w:noWrap/>
            <w:vAlign w:val="center"/>
          </w:tcPr>
          <w:p>
            <w:pPr>
              <w:jc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费用总计</w:t>
            </w:r>
          </w:p>
        </w:tc>
        <w:tc>
          <w:tcPr>
            <w:tcW w:w="2722" w:type="dxa"/>
            <w:tcBorders>
              <w:top w:val="dotted" w:color="000000" w:sz="4" w:space="0"/>
              <w:left w:val="dotted" w:color="000000" w:sz="4" w:space="0"/>
              <w:bottom w:val="single" w:color="000000" w:sz="12" w:space="0"/>
              <w:right w:val="dotted" w:color="000000" w:sz="4" w:space="0"/>
            </w:tcBorders>
            <w:noWrap/>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418309.92</w:t>
            </w:r>
          </w:p>
        </w:tc>
        <w:tc>
          <w:tcPr>
            <w:tcW w:w="906" w:type="dxa"/>
            <w:tcBorders>
              <w:top w:val="dotted" w:color="000000" w:sz="4" w:space="0"/>
              <w:left w:val="dotted" w:color="000000" w:sz="4" w:space="0"/>
              <w:bottom w:val="single" w:color="000000" w:sz="12" w:space="0"/>
              <w:right w:val="nil"/>
            </w:tcBorders>
            <w:noWrap/>
            <w:vAlign w:val="center"/>
          </w:tcPr>
          <w:p>
            <w:pPr>
              <w:rPr>
                <w:rFonts w:hint="eastAsia" w:ascii="宋体" w:hAnsi="宋体" w:cs="仿宋"/>
                <w:b/>
                <w:bCs/>
                <w:color w:val="000000"/>
                <w:kern w:val="0"/>
                <w:sz w:val="20"/>
                <w:szCs w:val="20"/>
                <w:lang w:bidi="ar"/>
              </w:rPr>
            </w:pPr>
          </w:p>
        </w:tc>
      </w:tr>
    </w:tbl>
    <w:p>
      <w:pPr>
        <w:pStyle w:val="2"/>
        <w:ind w:firstLine="482"/>
        <w:jc w:val="center"/>
        <w:rPr>
          <w:rFonts w:ascii="宋体" w:hAnsi="宋体" w:cs="宋体"/>
          <w:b/>
          <w:kern w:val="0"/>
          <w:sz w:val="24"/>
        </w:rPr>
        <w:sectPr>
          <w:footerReference r:id="rId6" w:type="default"/>
          <w:pgSz w:w="11906" w:h="16838"/>
          <w:pgMar w:top="1440" w:right="1800" w:bottom="1440" w:left="1800" w:header="851" w:footer="992" w:gutter="0"/>
          <w:pgNumType w:start="1"/>
          <w:cols w:space="720" w:num="1"/>
          <w:docGrid w:type="lines" w:linePitch="312" w:charSpace="0"/>
        </w:sectPr>
      </w:pPr>
    </w:p>
    <w:p>
      <w:pPr>
        <w:pStyle w:val="2"/>
        <w:ind w:firstLine="560"/>
        <w:jc w:val="center"/>
        <w:rPr>
          <w:rFonts w:ascii="黑体" w:hAnsi="黑体" w:eastAsia="黑体"/>
          <w:sz w:val="28"/>
          <w:szCs w:val="28"/>
        </w:rPr>
      </w:pPr>
      <w:r>
        <w:rPr>
          <w:rFonts w:hint="eastAsia" w:ascii="黑体" w:hAnsi="黑体" w:eastAsia="黑体"/>
          <w:sz w:val="28"/>
          <w:szCs w:val="28"/>
        </w:rPr>
        <w:t>图</w:t>
      </w:r>
      <w:r>
        <w:rPr>
          <w:rFonts w:ascii="黑体" w:hAnsi="黑体" w:eastAsia="黑体"/>
          <w:sz w:val="28"/>
          <w:szCs w:val="28"/>
        </w:rPr>
        <w:t>1</w:t>
      </w:r>
      <w:r>
        <w:rPr>
          <w:rFonts w:hint="eastAsia" w:ascii="黑体" w:hAnsi="黑体" w:eastAsia="黑体"/>
          <w:sz w:val="28"/>
          <w:szCs w:val="28"/>
        </w:rPr>
        <w:t xml:space="preserve">  2022年困难群众救助服务所项目预算构成占比</w:t>
      </w:r>
    </w:p>
    <w:p>
      <w:pPr>
        <w:jc w:val="center"/>
        <w:rPr>
          <w:rFonts w:hint="eastAsia" w:ascii="宋体" w:hAnsi="宋体"/>
          <w:sz w:val="20"/>
          <w:szCs w:val="20"/>
        </w:rPr>
      </w:pPr>
      <w:r>
        <w:drawing>
          <wp:anchor distT="0" distB="0" distL="114300" distR="114300" simplePos="0" relativeHeight="251663360" behindDoc="0" locked="0" layoutInCell="1" allowOverlap="1">
            <wp:simplePos x="0" y="0"/>
            <wp:positionH relativeFrom="column">
              <wp:posOffset>367030</wp:posOffset>
            </wp:positionH>
            <wp:positionV relativeFrom="paragraph">
              <wp:posOffset>6985</wp:posOffset>
            </wp:positionV>
            <wp:extent cx="4585970" cy="2757170"/>
            <wp:effectExtent l="0" t="0" r="1270" b="1270"/>
            <wp:wrapTopAndBottom/>
            <wp:docPr id="3" name="图表 1"/>
            <wp:cNvGraphicFramePr/>
            <a:graphic xmlns:a="http://schemas.openxmlformats.org/drawingml/2006/main">
              <a:graphicData uri="http://schemas.openxmlformats.org/drawingml/2006/picture">
                <pic:pic xmlns:pic="http://schemas.openxmlformats.org/drawingml/2006/picture">
                  <pic:nvPicPr>
                    <pic:cNvPr id="3" name="图表 1"/>
                    <pic:cNvPicPr/>
                  </pic:nvPicPr>
                  <pic:blipFill>
                    <a:blip r:embed="rId13"/>
                    <a:stretch>
                      <a:fillRect/>
                    </a:stretch>
                  </pic:blipFill>
                  <pic:spPr>
                    <a:xfrm>
                      <a:off x="0" y="0"/>
                      <a:ext cx="4585970" cy="2757170"/>
                    </a:xfrm>
                    <a:prstGeom prst="rect">
                      <a:avLst/>
                    </a:prstGeom>
                    <a:noFill/>
                    <a:ln>
                      <a:noFill/>
                    </a:ln>
                  </pic:spPr>
                </pic:pic>
              </a:graphicData>
            </a:graphic>
          </wp:anchor>
        </w:drawing>
      </w:r>
      <w:r>
        <w:rPr>
          <w:rFonts w:hint="eastAsia" w:ascii="黑体" w:hAnsi="黑体" w:eastAsia="黑体"/>
          <w:sz w:val="28"/>
          <w:szCs w:val="28"/>
        </w:rPr>
        <w:t xml:space="preserve">表3  2023年困难群众救助服务所项目预算（合同）情况表  </w:t>
      </w:r>
      <w:r>
        <w:rPr>
          <w:rFonts w:hint="eastAsia" w:ascii="宋体" w:hAnsi="宋体"/>
          <w:sz w:val="20"/>
          <w:szCs w:val="20"/>
        </w:rPr>
        <w:t>单位：元</w:t>
      </w:r>
    </w:p>
    <w:tbl>
      <w:tblPr>
        <w:tblStyle w:val="12"/>
        <w:tblW w:w="8767" w:type="dxa"/>
        <w:tblInd w:w="100" w:type="dxa"/>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
      <w:tblGrid>
        <w:gridCol w:w="1207"/>
        <w:gridCol w:w="1915"/>
        <w:gridCol w:w="1206"/>
        <w:gridCol w:w="1054"/>
        <w:gridCol w:w="1034"/>
        <w:gridCol w:w="1399"/>
        <w:gridCol w:w="952"/>
      </w:tblGrid>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460" w:hRule="atLeast"/>
        </w:trPr>
        <w:tc>
          <w:tcPr>
            <w:tcW w:w="1207" w:type="dxa"/>
            <w:noWrap/>
            <w:vAlign w:val="center"/>
          </w:tcPr>
          <w:p>
            <w:pPr>
              <w:widowControl/>
              <w:jc w:val="center"/>
              <w:textAlignment w:val="center"/>
              <w:rPr>
                <w:rFonts w:ascii="宋体" w:hAnsi="宋体" w:cs="仿宋"/>
                <w:b/>
                <w:bCs/>
                <w:color w:val="000000"/>
                <w:sz w:val="20"/>
                <w:szCs w:val="20"/>
              </w:rPr>
            </w:pPr>
            <w:r>
              <w:rPr>
                <w:rFonts w:hint="eastAsia" w:ascii="宋体" w:hAnsi="宋体" w:cs="仿宋"/>
                <w:b/>
                <w:bCs/>
                <w:color w:val="000000"/>
                <w:sz w:val="20"/>
                <w:szCs w:val="20"/>
              </w:rPr>
              <w:t>服务内容</w:t>
            </w:r>
          </w:p>
        </w:tc>
        <w:tc>
          <w:tcPr>
            <w:tcW w:w="1915" w:type="dxa"/>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rPr>
              <w:t>成本类型</w:t>
            </w:r>
          </w:p>
        </w:tc>
        <w:tc>
          <w:tcPr>
            <w:tcW w:w="1206" w:type="dxa"/>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1054" w:type="dxa"/>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数量</w:t>
            </w:r>
          </w:p>
        </w:tc>
        <w:tc>
          <w:tcPr>
            <w:tcW w:w="1034" w:type="dxa"/>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单价</w:t>
            </w:r>
          </w:p>
        </w:tc>
        <w:tc>
          <w:tcPr>
            <w:tcW w:w="1399" w:type="dxa"/>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金额</w:t>
            </w:r>
          </w:p>
        </w:tc>
        <w:tc>
          <w:tcPr>
            <w:tcW w:w="952" w:type="dxa"/>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占比</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560" w:hRule="atLeast"/>
        </w:trPr>
        <w:tc>
          <w:tcPr>
            <w:tcW w:w="1207" w:type="dxa"/>
            <w:vMerge w:val="restart"/>
            <w:noWrap w:val="0"/>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需求评估</w:t>
            </w:r>
          </w:p>
        </w:tc>
        <w:tc>
          <w:tcPr>
            <w:tcW w:w="1915"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入户评估劳务费</w:t>
            </w:r>
          </w:p>
        </w:tc>
        <w:tc>
          <w:tcPr>
            <w:tcW w:w="1206"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人.次</w:t>
            </w:r>
          </w:p>
        </w:tc>
        <w:tc>
          <w:tcPr>
            <w:tcW w:w="105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966</w:t>
            </w:r>
          </w:p>
        </w:tc>
        <w:tc>
          <w:tcPr>
            <w:tcW w:w="103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200</w:t>
            </w:r>
          </w:p>
        </w:tc>
        <w:tc>
          <w:tcPr>
            <w:tcW w:w="1399"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193200</w:t>
            </w:r>
          </w:p>
        </w:tc>
        <w:tc>
          <w:tcPr>
            <w:tcW w:w="952" w:type="dxa"/>
            <w:vMerge w:val="restart"/>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62.05%</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560" w:hRule="atLeast"/>
        </w:trPr>
        <w:tc>
          <w:tcPr>
            <w:tcW w:w="1207" w:type="dxa"/>
            <w:vMerge w:val="continue"/>
            <w:noWrap w:val="0"/>
            <w:vAlign w:val="center"/>
          </w:tcPr>
          <w:p>
            <w:pPr>
              <w:jc w:val="center"/>
              <w:rPr>
                <w:rFonts w:hint="eastAsia" w:ascii="宋体" w:hAnsi="宋体" w:cs="仿宋"/>
                <w:b/>
                <w:bCs/>
                <w:color w:val="000000"/>
                <w:sz w:val="20"/>
                <w:szCs w:val="20"/>
              </w:rPr>
            </w:pPr>
          </w:p>
        </w:tc>
        <w:tc>
          <w:tcPr>
            <w:tcW w:w="1915" w:type="dxa"/>
            <w:noWrap w:val="0"/>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系统台账信息维护</w:t>
            </w:r>
          </w:p>
        </w:tc>
        <w:tc>
          <w:tcPr>
            <w:tcW w:w="1206"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人.次</w:t>
            </w:r>
          </w:p>
        </w:tc>
        <w:tc>
          <w:tcPr>
            <w:tcW w:w="105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483</w:t>
            </w:r>
          </w:p>
        </w:tc>
        <w:tc>
          <w:tcPr>
            <w:tcW w:w="103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100</w:t>
            </w:r>
          </w:p>
        </w:tc>
        <w:tc>
          <w:tcPr>
            <w:tcW w:w="1399"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48300</w:t>
            </w:r>
          </w:p>
        </w:tc>
        <w:tc>
          <w:tcPr>
            <w:tcW w:w="952" w:type="dxa"/>
            <w:vMerge w:val="continue"/>
            <w:noWrap/>
            <w:vAlign w:val="center"/>
          </w:tcPr>
          <w:p>
            <w:pPr>
              <w:jc w:val="center"/>
              <w:rPr>
                <w:rFonts w:hint="eastAsia" w:ascii="宋体" w:hAnsi="宋体" w:cs="仿宋"/>
                <w:color w:val="000000"/>
                <w:sz w:val="20"/>
                <w:szCs w:val="20"/>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437" w:hRule="atLeast"/>
        </w:trPr>
        <w:tc>
          <w:tcPr>
            <w:tcW w:w="1207" w:type="dxa"/>
            <w:vMerge w:val="continue"/>
            <w:noWrap w:val="0"/>
            <w:vAlign w:val="center"/>
          </w:tcPr>
          <w:p>
            <w:pPr>
              <w:jc w:val="center"/>
              <w:rPr>
                <w:rFonts w:hint="eastAsia" w:ascii="宋体" w:hAnsi="宋体" w:cs="仿宋"/>
                <w:b/>
                <w:bCs/>
                <w:color w:val="000000"/>
                <w:sz w:val="20"/>
                <w:szCs w:val="20"/>
              </w:rPr>
            </w:pPr>
          </w:p>
        </w:tc>
        <w:tc>
          <w:tcPr>
            <w:tcW w:w="1915"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打印费</w:t>
            </w:r>
          </w:p>
        </w:tc>
        <w:tc>
          <w:tcPr>
            <w:tcW w:w="1206"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份</w:t>
            </w:r>
          </w:p>
        </w:tc>
        <w:tc>
          <w:tcPr>
            <w:tcW w:w="105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483</w:t>
            </w:r>
          </w:p>
        </w:tc>
        <w:tc>
          <w:tcPr>
            <w:tcW w:w="103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7</w:t>
            </w:r>
          </w:p>
        </w:tc>
        <w:tc>
          <w:tcPr>
            <w:tcW w:w="1399"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3381</w:t>
            </w:r>
          </w:p>
        </w:tc>
        <w:tc>
          <w:tcPr>
            <w:tcW w:w="952" w:type="dxa"/>
            <w:vMerge w:val="continue"/>
            <w:noWrap/>
            <w:vAlign w:val="center"/>
          </w:tcPr>
          <w:p>
            <w:pPr>
              <w:jc w:val="center"/>
              <w:rPr>
                <w:rFonts w:hint="eastAsia" w:ascii="宋体" w:hAnsi="宋体" w:cs="仿宋"/>
                <w:color w:val="000000"/>
                <w:sz w:val="20"/>
                <w:szCs w:val="20"/>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428" w:hRule="atLeast"/>
        </w:trPr>
        <w:tc>
          <w:tcPr>
            <w:tcW w:w="1207" w:type="dxa"/>
            <w:vMerge w:val="continue"/>
            <w:noWrap w:val="0"/>
            <w:vAlign w:val="center"/>
          </w:tcPr>
          <w:p>
            <w:pPr>
              <w:jc w:val="center"/>
              <w:rPr>
                <w:rFonts w:hint="eastAsia" w:ascii="宋体" w:hAnsi="宋体" w:cs="仿宋"/>
                <w:b/>
                <w:bCs/>
                <w:color w:val="000000"/>
                <w:sz w:val="20"/>
                <w:szCs w:val="20"/>
              </w:rPr>
            </w:pPr>
          </w:p>
        </w:tc>
        <w:tc>
          <w:tcPr>
            <w:tcW w:w="1915"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交通费</w:t>
            </w:r>
          </w:p>
        </w:tc>
        <w:tc>
          <w:tcPr>
            <w:tcW w:w="1206"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人.次</w:t>
            </w:r>
          </w:p>
        </w:tc>
        <w:tc>
          <w:tcPr>
            <w:tcW w:w="105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966</w:t>
            </w:r>
          </w:p>
        </w:tc>
        <w:tc>
          <w:tcPr>
            <w:tcW w:w="103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5</w:t>
            </w:r>
          </w:p>
        </w:tc>
        <w:tc>
          <w:tcPr>
            <w:tcW w:w="1399"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4830</w:t>
            </w:r>
          </w:p>
        </w:tc>
        <w:tc>
          <w:tcPr>
            <w:tcW w:w="952" w:type="dxa"/>
            <w:vMerge w:val="continue"/>
            <w:noWrap/>
            <w:vAlign w:val="center"/>
          </w:tcPr>
          <w:p>
            <w:pPr>
              <w:jc w:val="center"/>
              <w:rPr>
                <w:rFonts w:hint="eastAsia" w:ascii="宋体" w:hAnsi="宋体" w:cs="仿宋"/>
                <w:color w:val="000000"/>
                <w:sz w:val="20"/>
                <w:szCs w:val="20"/>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465" w:hRule="atLeast"/>
        </w:trPr>
        <w:tc>
          <w:tcPr>
            <w:tcW w:w="1207" w:type="dxa"/>
            <w:vMerge w:val="continue"/>
            <w:noWrap w:val="0"/>
            <w:vAlign w:val="center"/>
          </w:tcPr>
          <w:p>
            <w:pPr>
              <w:jc w:val="center"/>
              <w:rPr>
                <w:rFonts w:hint="eastAsia" w:ascii="宋体" w:hAnsi="宋体" w:cs="仿宋"/>
                <w:b/>
                <w:bCs/>
                <w:color w:val="000000"/>
                <w:sz w:val="20"/>
                <w:szCs w:val="20"/>
              </w:rPr>
            </w:pPr>
          </w:p>
        </w:tc>
        <w:tc>
          <w:tcPr>
            <w:tcW w:w="1915"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餐费</w:t>
            </w:r>
          </w:p>
        </w:tc>
        <w:tc>
          <w:tcPr>
            <w:tcW w:w="1206"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天</w:t>
            </w:r>
          </w:p>
        </w:tc>
        <w:tc>
          <w:tcPr>
            <w:tcW w:w="105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498</w:t>
            </w:r>
          </w:p>
        </w:tc>
        <w:tc>
          <w:tcPr>
            <w:tcW w:w="103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20</w:t>
            </w:r>
          </w:p>
        </w:tc>
        <w:tc>
          <w:tcPr>
            <w:tcW w:w="1399"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9960</w:t>
            </w:r>
          </w:p>
        </w:tc>
        <w:tc>
          <w:tcPr>
            <w:tcW w:w="952" w:type="dxa"/>
            <w:vMerge w:val="continue"/>
            <w:noWrap/>
            <w:vAlign w:val="center"/>
          </w:tcPr>
          <w:p>
            <w:pPr>
              <w:jc w:val="center"/>
              <w:rPr>
                <w:rFonts w:hint="eastAsia" w:ascii="宋体" w:hAnsi="宋体" w:cs="仿宋"/>
                <w:color w:val="000000"/>
                <w:sz w:val="20"/>
                <w:szCs w:val="20"/>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410" w:hRule="atLeast"/>
        </w:trPr>
        <w:tc>
          <w:tcPr>
            <w:tcW w:w="1207" w:type="dxa"/>
            <w:vMerge w:val="continue"/>
            <w:noWrap w:val="0"/>
            <w:vAlign w:val="center"/>
          </w:tcPr>
          <w:p>
            <w:pPr>
              <w:jc w:val="center"/>
              <w:rPr>
                <w:rFonts w:hint="eastAsia" w:ascii="宋体" w:hAnsi="宋体" w:cs="仿宋"/>
                <w:b/>
                <w:bCs/>
                <w:color w:val="000000"/>
                <w:sz w:val="20"/>
                <w:szCs w:val="20"/>
              </w:rPr>
            </w:pPr>
          </w:p>
        </w:tc>
        <w:tc>
          <w:tcPr>
            <w:tcW w:w="5209" w:type="dxa"/>
            <w:gridSpan w:val="4"/>
            <w:noWrap/>
            <w:vAlign w:val="center"/>
          </w:tcPr>
          <w:p>
            <w:pPr>
              <w:jc w:val="center"/>
              <w:rPr>
                <w:rFonts w:hint="eastAsia" w:ascii="宋体" w:hAnsi="宋体" w:cs="宋体"/>
                <w:b/>
                <w:bCs/>
                <w:color w:val="000000"/>
                <w:sz w:val="20"/>
                <w:szCs w:val="20"/>
              </w:rPr>
            </w:pPr>
            <w:r>
              <w:rPr>
                <w:rFonts w:hint="eastAsia" w:ascii="宋体" w:hAnsi="宋体" w:cs="宋体"/>
                <w:b/>
                <w:bCs/>
                <w:color w:val="000000"/>
                <w:sz w:val="20"/>
                <w:szCs w:val="20"/>
              </w:rPr>
              <w:t>小计</w:t>
            </w:r>
          </w:p>
        </w:tc>
        <w:tc>
          <w:tcPr>
            <w:tcW w:w="1399" w:type="dxa"/>
            <w:noWrap/>
            <w:vAlign w:val="center"/>
          </w:tcPr>
          <w:p>
            <w:pPr>
              <w:widowControl/>
              <w:jc w:val="right"/>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259671</w:t>
            </w:r>
          </w:p>
        </w:tc>
        <w:tc>
          <w:tcPr>
            <w:tcW w:w="952" w:type="dxa"/>
            <w:vMerge w:val="continue"/>
            <w:noWrap/>
            <w:vAlign w:val="center"/>
          </w:tcPr>
          <w:p>
            <w:pPr>
              <w:jc w:val="center"/>
              <w:rPr>
                <w:rFonts w:hint="eastAsia" w:ascii="宋体" w:hAnsi="宋体" w:cs="仿宋"/>
                <w:color w:val="000000"/>
                <w:sz w:val="20"/>
                <w:szCs w:val="20"/>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560" w:hRule="atLeast"/>
        </w:trPr>
        <w:tc>
          <w:tcPr>
            <w:tcW w:w="1207" w:type="dxa"/>
            <w:vMerge w:val="restart"/>
            <w:noWrap w:val="0"/>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个案帮扶</w:t>
            </w:r>
          </w:p>
        </w:tc>
        <w:tc>
          <w:tcPr>
            <w:tcW w:w="1915"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个案服务</w:t>
            </w:r>
          </w:p>
        </w:tc>
        <w:tc>
          <w:tcPr>
            <w:tcW w:w="1206"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人.次</w:t>
            </w:r>
          </w:p>
        </w:tc>
        <w:tc>
          <w:tcPr>
            <w:tcW w:w="105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240</w:t>
            </w:r>
          </w:p>
        </w:tc>
        <w:tc>
          <w:tcPr>
            <w:tcW w:w="103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200</w:t>
            </w:r>
          </w:p>
        </w:tc>
        <w:tc>
          <w:tcPr>
            <w:tcW w:w="1399"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48000</w:t>
            </w:r>
          </w:p>
        </w:tc>
        <w:tc>
          <w:tcPr>
            <w:tcW w:w="952" w:type="dxa"/>
            <w:vMerge w:val="restart"/>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17.20%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560" w:hRule="atLeast"/>
        </w:trPr>
        <w:tc>
          <w:tcPr>
            <w:tcW w:w="1207" w:type="dxa"/>
            <w:vMerge w:val="continue"/>
            <w:noWrap w:val="0"/>
            <w:vAlign w:val="center"/>
          </w:tcPr>
          <w:p>
            <w:pPr>
              <w:jc w:val="center"/>
              <w:rPr>
                <w:rFonts w:hint="eastAsia" w:ascii="宋体" w:hAnsi="宋体" w:cs="仿宋"/>
                <w:b/>
                <w:bCs/>
                <w:color w:val="000000"/>
                <w:sz w:val="20"/>
                <w:szCs w:val="20"/>
              </w:rPr>
            </w:pPr>
          </w:p>
        </w:tc>
        <w:tc>
          <w:tcPr>
            <w:tcW w:w="1915"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个案信息录入</w:t>
            </w:r>
          </w:p>
        </w:tc>
        <w:tc>
          <w:tcPr>
            <w:tcW w:w="1206"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人.次</w:t>
            </w:r>
          </w:p>
        </w:tc>
        <w:tc>
          <w:tcPr>
            <w:tcW w:w="105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240</w:t>
            </w:r>
          </w:p>
        </w:tc>
        <w:tc>
          <w:tcPr>
            <w:tcW w:w="103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100</w:t>
            </w:r>
          </w:p>
        </w:tc>
        <w:tc>
          <w:tcPr>
            <w:tcW w:w="1399"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24000</w:t>
            </w:r>
          </w:p>
        </w:tc>
        <w:tc>
          <w:tcPr>
            <w:tcW w:w="952" w:type="dxa"/>
            <w:vMerge w:val="continue"/>
            <w:noWrap/>
            <w:vAlign w:val="center"/>
          </w:tcPr>
          <w:p>
            <w:pPr>
              <w:jc w:val="center"/>
              <w:rPr>
                <w:rFonts w:hint="eastAsia" w:ascii="宋体" w:hAnsi="宋体" w:cs="仿宋"/>
                <w:color w:val="000000"/>
                <w:sz w:val="20"/>
                <w:szCs w:val="20"/>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438" w:hRule="atLeast"/>
        </w:trPr>
        <w:tc>
          <w:tcPr>
            <w:tcW w:w="1207" w:type="dxa"/>
            <w:vMerge w:val="continue"/>
            <w:noWrap w:val="0"/>
            <w:vAlign w:val="center"/>
          </w:tcPr>
          <w:p>
            <w:pPr>
              <w:jc w:val="center"/>
              <w:rPr>
                <w:rFonts w:hint="eastAsia" w:ascii="宋体" w:hAnsi="宋体" w:cs="仿宋"/>
                <w:b/>
                <w:bCs/>
                <w:color w:val="000000"/>
                <w:sz w:val="20"/>
                <w:szCs w:val="20"/>
              </w:rPr>
            </w:pPr>
          </w:p>
        </w:tc>
        <w:tc>
          <w:tcPr>
            <w:tcW w:w="1915" w:type="dxa"/>
            <w:noWrap/>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合计</w:t>
            </w:r>
          </w:p>
        </w:tc>
        <w:tc>
          <w:tcPr>
            <w:tcW w:w="1206" w:type="dxa"/>
            <w:noWrap/>
            <w:vAlign w:val="center"/>
          </w:tcPr>
          <w:p>
            <w:pPr>
              <w:rPr>
                <w:rFonts w:hint="eastAsia" w:ascii="宋体" w:hAnsi="宋体" w:cs="宋体"/>
                <w:b/>
                <w:bCs/>
                <w:color w:val="000000"/>
                <w:sz w:val="20"/>
                <w:szCs w:val="20"/>
              </w:rPr>
            </w:pPr>
          </w:p>
        </w:tc>
        <w:tc>
          <w:tcPr>
            <w:tcW w:w="1054" w:type="dxa"/>
            <w:noWrap/>
            <w:vAlign w:val="center"/>
          </w:tcPr>
          <w:p>
            <w:pPr>
              <w:rPr>
                <w:rFonts w:hint="eastAsia" w:ascii="宋体" w:hAnsi="宋体" w:cs="宋体"/>
                <w:b/>
                <w:bCs/>
                <w:color w:val="000000"/>
                <w:sz w:val="20"/>
                <w:szCs w:val="20"/>
              </w:rPr>
            </w:pPr>
          </w:p>
        </w:tc>
        <w:tc>
          <w:tcPr>
            <w:tcW w:w="1034" w:type="dxa"/>
            <w:noWrap/>
            <w:vAlign w:val="center"/>
          </w:tcPr>
          <w:p>
            <w:pPr>
              <w:rPr>
                <w:rFonts w:hint="eastAsia" w:ascii="宋体" w:hAnsi="宋体" w:cs="宋体"/>
                <w:b/>
                <w:bCs/>
                <w:color w:val="000000"/>
                <w:sz w:val="20"/>
                <w:szCs w:val="20"/>
              </w:rPr>
            </w:pPr>
          </w:p>
        </w:tc>
        <w:tc>
          <w:tcPr>
            <w:tcW w:w="1399" w:type="dxa"/>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72000</w:t>
            </w:r>
          </w:p>
        </w:tc>
        <w:tc>
          <w:tcPr>
            <w:tcW w:w="952" w:type="dxa"/>
            <w:vMerge w:val="continue"/>
            <w:noWrap/>
            <w:vAlign w:val="center"/>
          </w:tcPr>
          <w:p>
            <w:pPr>
              <w:jc w:val="center"/>
              <w:rPr>
                <w:rFonts w:hint="eastAsia" w:ascii="宋体" w:hAnsi="宋体" w:cs="仿宋"/>
                <w:color w:val="000000"/>
                <w:sz w:val="20"/>
                <w:szCs w:val="20"/>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560" w:hRule="atLeast"/>
        </w:trPr>
        <w:tc>
          <w:tcPr>
            <w:tcW w:w="1207" w:type="dxa"/>
            <w:vMerge w:val="restart"/>
            <w:noWrap w:val="0"/>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案例总结</w:t>
            </w:r>
          </w:p>
        </w:tc>
        <w:tc>
          <w:tcPr>
            <w:tcW w:w="1915"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经典案例撰写</w:t>
            </w:r>
          </w:p>
        </w:tc>
        <w:tc>
          <w:tcPr>
            <w:tcW w:w="1206"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份</w:t>
            </w:r>
          </w:p>
        </w:tc>
        <w:tc>
          <w:tcPr>
            <w:tcW w:w="105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10</w:t>
            </w:r>
          </w:p>
        </w:tc>
        <w:tc>
          <w:tcPr>
            <w:tcW w:w="103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1000</w:t>
            </w:r>
          </w:p>
        </w:tc>
        <w:tc>
          <w:tcPr>
            <w:tcW w:w="1399"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10000</w:t>
            </w:r>
          </w:p>
        </w:tc>
        <w:tc>
          <w:tcPr>
            <w:tcW w:w="952" w:type="dxa"/>
            <w:vMerge w:val="restart"/>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2.75%</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560" w:hRule="atLeast"/>
        </w:trPr>
        <w:tc>
          <w:tcPr>
            <w:tcW w:w="1207" w:type="dxa"/>
            <w:vMerge w:val="continue"/>
            <w:noWrap w:val="0"/>
            <w:vAlign w:val="center"/>
          </w:tcPr>
          <w:p>
            <w:pPr>
              <w:jc w:val="center"/>
              <w:rPr>
                <w:rFonts w:hint="eastAsia" w:ascii="宋体" w:hAnsi="宋体" w:cs="仿宋"/>
                <w:b/>
                <w:bCs/>
                <w:color w:val="000000"/>
                <w:sz w:val="20"/>
                <w:szCs w:val="20"/>
              </w:rPr>
            </w:pPr>
          </w:p>
        </w:tc>
        <w:tc>
          <w:tcPr>
            <w:tcW w:w="1915"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需求评估报告</w:t>
            </w:r>
          </w:p>
        </w:tc>
        <w:tc>
          <w:tcPr>
            <w:tcW w:w="1206"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份</w:t>
            </w:r>
          </w:p>
        </w:tc>
        <w:tc>
          <w:tcPr>
            <w:tcW w:w="105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w:t>
            </w:r>
          </w:p>
        </w:tc>
        <w:tc>
          <w:tcPr>
            <w:tcW w:w="103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1500</w:t>
            </w:r>
          </w:p>
        </w:tc>
        <w:tc>
          <w:tcPr>
            <w:tcW w:w="1399"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1500</w:t>
            </w:r>
          </w:p>
        </w:tc>
        <w:tc>
          <w:tcPr>
            <w:tcW w:w="952" w:type="dxa"/>
            <w:vMerge w:val="continue"/>
            <w:noWrap/>
            <w:vAlign w:val="center"/>
          </w:tcPr>
          <w:p>
            <w:pPr>
              <w:jc w:val="center"/>
              <w:rPr>
                <w:rFonts w:hint="eastAsia" w:ascii="宋体" w:hAnsi="宋体" w:cs="仿宋"/>
                <w:color w:val="000000"/>
                <w:sz w:val="20"/>
                <w:szCs w:val="20"/>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428" w:hRule="atLeast"/>
        </w:trPr>
        <w:tc>
          <w:tcPr>
            <w:tcW w:w="1207" w:type="dxa"/>
            <w:vMerge w:val="continue"/>
            <w:noWrap w:val="0"/>
            <w:vAlign w:val="center"/>
          </w:tcPr>
          <w:p>
            <w:pPr>
              <w:jc w:val="center"/>
              <w:rPr>
                <w:rFonts w:hint="eastAsia" w:ascii="宋体" w:hAnsi="宋体" w:cs="仿宋"/>
                <w:b/>
                <w:bCs/>
                <w:color w:val="000000"/>
                <w:sz w:val="20"/>
                <w:szCs w:val="20"/>
              </w:rPr>
            </w:pPr>
          </w:p>
        </w:tc>
        <w:tc>
          <w:tcPr>
            <w:tcW w:w="5209" w:type="dxa"/>
            <w:gridSpan w:val="4"/>
            <w:noWrap/>
            <w:vAlign w:val="center"/>
          </w:tcPr>
          <w:p>
            <w:pPr>
              <w:jc w:val="center"/>
              <w:rPr>
                <w:rFonts w:hint="eastAsia" w:ascii="宋体" w:hAnsi="宋体" w:cs="宋体"/>
                <w:b/>
                <w:bCs/>
                <w:color w:val="000000"/>
                <w:sz w:val="20"/>
                <w:szCs w:val="20"/>
              </w:rPr>
            </w:pPr>
            <w:r>
              <w:rPr>
                <w:rFonts w:hint="eastAsia" w:ascii="宋体" w:hAnsi="宋体" w:cs="仿宋"/>
                <w:b/>
                <w:bCs/>
                <w:color w:val="000000"/>
                <w:kern w:val="0"/>
                <w:sz w:val="20"/>
                <w:szCs w:val="20"/>
                <w:lang w:bidi="ar"/>
              </w:rPr>
              <w:t>合计</w:t>
            </w:r>
          </w:p>
        </w:tc>
        <w:tc>
          <w:tcPr>
            <w:tcW w:w="1399" w:type="dxa"/>
            <w:noWrap/>
            <w:vAlign w:val="center"/>
          </w:tcPr>
          <w:p>
            <w:pPr>
              <w:widowControl/>
              <w:jc w:val="right"/>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11500</w:t>
            </w:r>
          </w:p>
        </w:tc>
        <w:tc>
          <w:tcPr>
            <w:tcW w:w="952" w:type="dxa"/>
            <w:vMerge w:val="continue"/>
            <w:noWrap/>
            <w:vAlign w:val="center"/>
          </w:tcPr>
          <w:p>
            <w:pPr>
              <w:jc w:val="center"/>
              <w:rPr>
                <w:rFonts w:hint="eastAsia" w:ascii="宋体" w:hAnsi="宋体" w:cs="仿宋"/>
                <w:color w:val="000000"/>
                <w:sz w:val="20"/>
                <w:szCs w:val="20"/>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560" w:hRule="atLeast"/>
        </w:trPr>
        <w:tc>
          <w:tcPr>
            <w:tcW w:w="1207" w:type="dxa"/>
            <w:vMerge w:val="restart"/>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社区或小组活动</w:t>
            </w:r>
          </w:p>
        </w:tc>
        <w:tc>
          <w:tcPr>
            <w:tcW w:w="1915"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小组活动</w:t>
            </w:r>
          </w:p>
        </w:tc>
        <w:tc>
          <w:tcPr>
            <w:tcW w:w="1206"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人次</w:t>
            </w:r>
          </w:p>
        </w:tc>
        <w:tc>
          <w:tcPr>
            <w:tcW w:w="105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8</w:t>
            </w:r>
          </w:p>
        </w:tc>
        <w:tc>
          <w:tcPr>
            <w:tcW w:w="103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800</w:t>
            </w:r>
          </w:p>
        </w:tc>
        <w:tc>
          <w:tcPr>
            <w:tcW w:w="1399"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6400</w:t>
            </w:r>
          </w:p>
        </w:tc>
        <w:tc>
          <w:tcPr>
            <w:tcW w:w="952" w:type="dxa"/>
            <w:vMerge w:val="restart"/>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3.06%</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560" w:hRule="atLeast"/>
        </w:trPr>
        <w:tc>
          <w:tcPr>
            <w:tcW w:w="1207" w:type="dxa"/>
            <w:vMerge w:val="continue"/>
            <w:noWrap w:val="0"/>
            <w:vAlign w:val="center"/>
          </w:tcPr>
          <w:p>
            <w:pPr>
              <w:jc w:val="center"/>
              <w:rPr>
                <w:rFonts w:hint="eastAsia" w:ascii="宋体" w:hAnsi="宋体" w:cs="宋体"/>
                <w:b/>
                <w:bCs/>
                <w:color w:val="000000"/>
                <w:sz w:val="20"/>
                <w:szCs w:val="20"/>
              </w:rPr>
            </w:pPr>
          </w:p>
        </w:tc>
        <w:tc>
          <w:tcPr>
            <w:tcW w:w="1915"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社区活动</w:t>
            </w:r>
          </w:p>
        </w:tc>
        <w:tc>
          <w:tcPr>
            <w:tcW w:w="1206"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人次</w:t>
            </w:r>
          </w:p>
        </w:tc>
        <w:tc>
          <w:tcPr>
            <w:tcW w:w="105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8</w:t>
            </w:r>
          </w:p>
        </w:tc>
        <w:tc>
          <w:tcPr>
            <w:tcW w:w="103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800</w:t>
            </w:r>
          </w:p>
        </w:tc>
        <w:tc>
          <w:tcPr>
            <w:tcW w:w="1399"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6400</w:t>
            </w:r>
          </w:p>
        </w:tc>
        <w:tc>
          <w:tcPr>
            <w:tcW w:w="952" w:type="dxa"/>
            <w:vMerge w:val="continue"/>
            <w:noWrap/>
            <w:vAlign w:val="center"/>
          </w:tcPr>
          <w:p>
            <w:pPr>
              <w:jc w:val="center"/>
              <w:rPr>
                <w:rFonts w:hint="eastAsia" w:ascii="宋体" w:hAnsi="宋体" w:cs="仿宋"/>
                <w:color w:val="000000"/>
                <w:sz w:val="20"/>
                <w:szCs w:val="20"/>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560" w:hRule="atLeast"/>
        </w:trPr>
        <w:tc>
          <w:tcPr>
            <w:tcW w:w="1207" w:type="dxa"/>
            <w:vMerge w:val="continue"/>
            <w:noWrap w:val="0"/>
            <w:vAlign w:val="center"/>
          </w:tcPr>
          <w:p>
            <w:pPr>
              <w:jc w:val="center"/>
              <w:rPr>
                <w:rFonts w:hint="eastAsia" w:ascii="宋体" w:hAnsi="宋体" w:cs="宋体"/>
                <w:b/>
                <w:bCs/>
                <w:color w:val="000000"/>
                <w:sz w:val="20"/>
                <w:szCs w:val="20"/>
              </w:rPr>
            </w:pPr>
          </w:p>
        </w:tc>
        <w:tc>
          <w:tcPr>
            <w:tcW w:w="1915" w:type="dxa"/>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合计</w:t>
            </w:r>
          </w:p>
        </w:tc>
        <w:tc>
          <w:tcPr>
            <w:tcW w:w="1206" w:type="dxa"/>
            <w:noWrap/>
            <w:vAlign w:val="center"/>
          </w:tcPr>
          <w:p>
            <w:pPr>
              <w:rPr>
                <w:rFonts w:hint="eastAsia" w:ascii="宋体" w:hAnsi="宋体" w:cs="宋体"/>
                <w:b/>
                <w:bCs/>
                <w:color w:val="000000"/>
                <w:sz w:val="20"/>
                <w:szCs w:val="20"/>
              </w:rPr>
            </w:pPr>
          </w:p>
        </w:tc>
        <w:tc>
          <w:tcPr>
            <w:tcW w:w="1054" w:type="dxa"/>
            <w:noWrap/>
            <w:vAlign w:val="center"/>
          </w:tcPr>
          <w:p>
            <w:pPr>
              <w:rPr>
                <w:rFonts w:hint="eastAsia" w:ascii="宋体" w:hAnsi="宋体" w:cs="宋体"/>
                <w:b/>
                <w:bCs/>
                <w:color w:val="000000"/>
                <w:sz w:val="20"/>
                <w:szCs w:val="20"/>
              </w:rPr>
            </w:pPr>
          </w:p>
        </w:tc>
        <w:tc>
          <w:tcPr>
            <w:tcW w:w="1034" w:type="dxa"/>
            <w:noWrap/>
            <w:vAlign w:val="center"/>
          </w:tcPr>
          <w:p>
            <w:pPr>
              <w:rPr>
                <w:rFonts w:hint="eastAsia" w:ascii="宋体" w:hAnsi="宋体" w:cs="宋体"/>
                <w:b/>
                <w:bCs/>
                <w:color w:val="000000"/>
                <w:sz w:val="20"/>
                <w:szCs w:val="20"/>
              </w:rPr>
            </w:pPr>
          </w:p>
        </w:tc>
        <w:tc>
          <w:tcPr>
            <w:tcW w:w="1399" w:type="dxa"/>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12800</w:t>
            </w:r>
          </w:p>
        </w:tc>
        <w:tc>
          <w:tcPr>
            <w:tcW w:w="952" w:type="dxa"/>
            <w:vMerge w:val="continue"/>
            <w:noWrap/>
            <w:vAlign w:val="center"/>
          </w:tcPr>
          <w:p>
            <w:pPr>
              <w:jc w:val="center"/>
              <w:rPr>
                <w:rFonts w:hint="eastAsia" w:ascii="宋体" w:hAnsi="宋体" w:cs="仿宋"/>
                <w:color w:val="000000"/>
                <w:sz w:val="20"/>
                <w:szCs w:val="20"/>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560" w:hRule="atLeast"/>
        </w:trPr>
        <w:tc>
          <w:tcPr>
            <w:tcW w:w="1207" w:type="dxa"/>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新增低保、低收入家庭入户审核</w:t>
            </w:r>
          </w:p>
        </w:tc>
        <w:tc>
          <w:tcPr>
            <w:tcW w:w="1915" w:type="dxa"/>
            <w:noWrap w:val="0"/>
            <w:vAlign w:val="center"/>
          </w:tcPr>
          <w:p>
            <w:pPr>
              <w:jc w:val="center"/>
              <w:rPr>
                <w:rFonts w:hint="eastAsia" w:ascii="宋体" w:hAnsi="宋体" w:cs="仿宋"/>
                <w:b/>
                <w:bCs/>
                <w:color w:val="000000"/>
                <w:sz w:val="20"/>
                <w:szCs w:val="20"/>
              </w:rPr>
            </w:pPr>
          </w:p>
        </w:tc>
        <w:tc>
          <w:tcPr>
            <w:tcW w:w="1206"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次</w:t>
            </w:r>
          </w:p>
        </w:tc>
        <w:tc>
          <w:tcPr>
            <w:tcW w:w="105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30</w:t>
            </w:r>
          </w:p>
        </w:tc>
        <w:tc>
          <w:tcPr>
            <w:tcW w:w="1034"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550</w:t>
            </w:r>
          </w:p>
        </w:tc>
        <w:tc>
          <w:tcPr>
            <w:tcW w:w="1399" w:type="dxa"/>
            <w:noWrap/>
            <w:vAlign w:val="center"/>
          </w:tcPr>
          <w:p>
            <w:pPr>
              <w:widowControl/>
              <w:jc w:val="right"/>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16500</w:t>
            </w:r>
          </w:p>
        </w:tc>
        <w:tc>
          <w:tcPr>
            <w:tcW w:w="952" w:type="dxa"/>
            <w:noWrap/>
            <w:vAlign w:val="center"/>
          </w:tcPr>
          <w:p>
            <w:pPr>
              <w:widowControl/>
              <w:jc w:val="righ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3.94%</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560" w:hRule="atLeast"/>
        </w:trPr>
        <w:tc>
          <w:tcPr>
            <w:tcW w:w="1207" w:type="dxa"/>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项目管理费</w:t>
            </w:r>
          </w:p>
        </w:tc>
        <w:tc>
          <w:tcPr>
            <w:tcW w:w="1915" w:type="dxa"/>
            <w:noWrap/>
            <w:vAlign w:val="center"/>
          </w:tcPr>
          <w:p>
            <w:pPr>
              <w:jc w:val="center"/>
              <w:rPr>
                <w:rFonts w:hint="eastAsia" w:ascii="宋体" w:hAnsi="宋体" w:cs="仿宋"/>
                <w:b/>
                <w:bCs/>
                <w:color w:val="000000"/>
                <w:sz w:val="20"/>
                <w:szCs w:val="20"/>
              </w:rPr>
            </w:pPr>
          </w:p>
        </w:tc>
        <w:tc>
          <w:tcPr>
            <w:tcW w:w="1206" w:type="dxa"/>
            <w:noWrap/>
            <w:vAlign w:val="center"/>
          </w:tcPr>
          <w:p>
            <w:pPr>
              <w:jc w:val="center"/>
              <w:rPr>
                <w:rFonts w:hint="eastAsia" w:ascii="宋体" w:hAnsi="宋体" w:cs="仿宋"/>
                <w:color w:val="000000"/>
                <w:sz w:val="20"/>
                <w:szCs w:val="20"/>
              </w:rPr>
            </w:pPr>
          </w:p>
        </w:tc>
        <w:tc>
          <w:tcPr>
            <w:tcW w:w="1054" w:type="dxa"/>
            <w:noWrap/>
            <w:vAlign w:val="center"/>
          </w:tcPr>
          <w:p>
            <w:pPr>
              <w:jc w:val="center"/>
              <w:rPr>
                <w:rFonts w:hint="eastAsia" w:ascii="宋体" w:hAnsi="宋体" w:cs="仿宋"/>
                <w:color w:val="000000"/>
                <w:sz w:val="20"/>
                <w:szCs w:val="20"/>
              </w:rPr>
            </w:pPr>
          </w:p>
        </w:tc>
        <w:tc>
          <w:tcPr>
            <w:tcW w:w="1034" w:type="dxa"/>
            <w:noWrap/>
            <w:vAlign w:val="center"/>
          </w:tcPr>
          <w:p>
            <w:pPr>
              <w:jc w:val="center"/>
              <w:rPr>
                <w:rFonts w:hint="eastAsia" w:ascii="宋体" w:hAnsi="宋体" w:cs="仿宋"/>
                <w:color w:val="000000"/>
                <w:sz w:val="20"/>
                <w:szCs w:val="20"/>
              </w:rPr>
            </w:pPr>
          </w:p>
        </w:tc>
        <w:tc>
          <w:tcPr>
            <w:tcW w:w="1399" w:type="dxa"/>
            <w:noWrap/>
            <w:vAlign w:val="center"/>
          </w:tcPr>
          <w:p>
            <w:pPr>
              <w:widowControl/>
              <w:jc w:val="right"/>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22348.26</w:t>
            </w:r>
          </w:p>
        </w:tc>
        <w:tc>
          <w:tcPr>
            <w:tcW w:w="952" w:type="dxa"/>
            <w:noWrap/>
            <w:vAlign w:val="center"/>
          </w:tcPr>
          <w:p>
            <w:pPr>
              <w:widowControl/>
              <w:jc w:val="righ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5.34%</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560" w:hRule="atLeast"/>
        </w:trPr>
        <w:tc>
          <w:tcPr>
            <w:tcW w:w="1207" w:type="dxa"/>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税费</w:t>
            </w:r>
          </w:p>
        </w:tc>
        <w:tc>
          <w:tcPr>
            <w:tcW w:w="1915" w:type="dxa"/>
            <w:noWrap/>
            <w:vAlign w:val="center"/>
          </w:tcPr>
          <w:p>
            <w:pPr>
              <w:jc w:val="center"/>
              <w:rPr>
                <w:rFonts w:hint="eastAsia" w:ascii="宋体" w:hAnsi="宋体" w:cs="仿宋"/>
                <w:b/>
                <w:bCs/>
                <w:color w:val="000000"/>
                <w:sz w:val="20"/>
                <w:szCs w:val="20"/>
              </w:rPr>
            </w:pPr>
          </w:p>
        </w:tc>
        <w:tc>
          <w:tcPr>
            <w:tcW w:w="1206" w:type="dxa"/>
            <w:noWrap/>
            <w:vAlign w:val="center"/>
          </w:tcPr>
          <w:p>
            <w:pPr>
              <w:jc w:val="center"/>
              <w:rPr>
                <w:rFonts w:hint="eastAsia" w:ascii="宋体" w:hAnsi="宋体" w:cs="仿宋"/>
                <w:color w:val="000000"/>
                <w:sz w:val="20"/>
                <w:szCs w:val="20"/>
              </w:rPr>
            </w:pPr>
          </w:p>
        </w:tc>
        <w:tc>
          <w:tcPr>
            <w:tcW w:w="1054" w:type="dxa"/>
            <w:noWrap/>
            <w:vAlign w:val="center"/>
          </w:tcPr>
          <w:p>
            <w:pPr>
              <w:jc w:val="center"/>
              <w:rPr>
                <w:rFonts w:hint="eastAsia" w:ascii="宋体" w:hAnsi="宋体" w:cs="仿宋"/>
                <w:color w:val="000000"/>
                <w:sz w:val="20"/>
                <w:szCs w:val="20"/>
              </w:rPr>
            </w:pPr>
          </w:p>
        </w:tc>
        <w:tc>
          <w:tcPr>
            <w:tcW w:w="1034" w:type="dxa"/>
            <w:noWrap/>
            <w:vAlign w:val="center"/>
          </w:tcPr>
          <w:p>
            <w:pPr>
              <w:jc w:val="center"/>
              <w:rPr>
                <w:rFonts w:hint="eastAsia" w:ascii="宋体" w:hAnsi="宋体" w:cs="仿宋"/>
                <w:color w:val="000000"/>
                <w:sz w:val="20"/>
                <w:szCs w:val="20"/>
              </w:rPr>
            </w:pPr>
          </w:p>
        </w:tc>
        <w:tc>
          <w:tcPr>
            <w:tcW w:w="1399" w:type="dxa"/>
            <w:noWrap/>
            <w:vAlign w:val="center"/>
          </w:tcPr>
          <w:p>
            <w:pPr>
              <w:widowControl/>
              <w:jc w:val="right"/>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23689.16</w:t>
            </w:r>
          </w:p>
        </w:tc>
        <w:tc>
          <w:tcPr>
            <w:tcW w:w="952" w:type="dxa"/>
            <w:noWrap/>
            <w:vAlign w:val="center"/>
          </w:tcPr>
          <w:p>
            <w:pPr>
              <w:widowControl/>
              <w:jc w:val="righ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5.66%</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480" w:hRule="atLeast"/>
        </w:trPr>
        <w:tc>
          <w:tcPr>
            <w:tcW w:w="6416" w:type="dxa"/>
            <w:gridSpan w:val="5"/>
            <w:noWrap/>
            <w:vAlign w:val="center"/>
          </w:tcPr>
          <w:p>
            <w:pPr>
              <w:jc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费用总计</w:t>
            </w:r>
          </w:p>
        </w:tc>
        <w:tc>
          <w:tcPr>
            <w:tcW w:w="1399" w:type="dxa"/>
            <w:noWrap/>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418508.42</w:t>
            </w:r>
          </w:p>
        </w:tc>
        <w:tc>
          <w:tcPr>
            <w:tcW w:w="952" w:type="dxa"/>
            <w:noWrap/>
            <w:vAlign w:val="center"/>
          </w:tcPr>
          <w:p>
            <w:pPr>
              <w:rPr>
                <w:rFonts w:hint="eastAsia" w:ascii="宋体" w:hAnsi="宋体" w:cs="宋体"/>
                <w:color w:val="000000"/>
                <w:sz w:val="20"/>
                <w:szCs w:val="20"/>
              </w:rPr>
            </w:pPr>
          </w:p>
        </w:tc>
      </w:tr>
    </w:tbl>
    <w:p>
      <w:pPr>
        <w:pStyle w:val="2"/>
        <w:ind w:firstLine="560"/>
        <w:jc w:val="center"/>
        <w:rPr>
          <w:rFonts w:ascii="黑体" w:hAnsi="黑体" w:eastAsia="黑体"/>
          <w:sz w:val="28"/>
          <w:szCs w:val="28"/>
        </w:rPr>
      </w:pPr>
      <w:r>
        <w:rPr>
          <w:rFonts w:ascii="黑体" w:hAnsi="黑体" w:eastAsia="黑体"/>
          <w:sz w:val="28"/>
          <w:szCs w:val="28"/>
        </w:rPr>
        <w:drawing>
          <wp:anchor distT="0" distB="0" distL="114300" distR="114300" simplePos="0" relativeHeight="251664384" behindDoc="0" locked="0" layoutInCell="1" allowOverlap="1">
            <wp:simplePos x="0" y="0"/>
            <wp:positionH relativeFrom="column">
              <wp:posOffset>465455</wp:posOffset>
            </wp:positionH>
            <wp:positionV relativeFrom="paragraph">
              <wp:posOffset>400685</wp:posOffset>
            </wp:positionV>
            <wp:extent cx="4585970" cy="2757170"/>
            <wp:effectExtent l="0" t="0" r="1270" b="1270"/>
            <wp:wrapTopAndBottom/>
            <wp:docPr id="9" name="图片 8"/>
            <wp:cNvGraphicFramePr/>
            <a:graphic xmlns:a="http://schemas.openxmlformats.org/drawingml/2006/main">
              <a:graphicData uri="http://schemas.openxmlformats.org/drawingml/2006/picture">
                <pic:pic xmlns:pic="http://schemas.openxmlformats.org/drawingml/2006/picture">
                  <pic:nvPicPr>
                    <pic:cNvPr id="9" name="图片 8"/>
                    <pic:cNvPicPr/>
                  </pic:nvPicPr>
                  <pic:blipFill>
                    <a:blip r:embed="rId14"/>
                    <a:stretch>
                      <a:fillRect/>
                    </a:stretch>
                  </pic:blipFill>
                  <pic:spPr>
                    <a:xfrm>
                      <a:off x="0" y="0"/>
                      <a:ext cx="4585970" cy="2757170"/>
                    </a:xfrm>
                    <a:prstGeom prst="rect">
                      <a:avLst/>
                    </a:prstGeom>
                    <a:noFill/>
                    <a:ln>
                      <a:noFill/>
                    </a:ln>
                  </pic:spPr>
                </pic:pic>
              </a:graphicData>
            </a:graphic>
          </wp:anchor>
        </w:drawing>
      </w:r>
      <w:r>
        <w:rPr>
          <w:rFonts w:hint="eastAsia" w:ascii="黑体" w:hAnsi="黑体" w:eastAsia="黑体"/>
          <w:sz w:val="28"/>
          <w:szCs w:val="28"/>
        </w:rPr>
        <w:t>图2 2023年困难群众救助服务所项目预算构成占比</w:t>
      </w:r>
    </w:p>
    <w:p>
      <w:pPr>
        <w:pStyle w:val="2"/>
        <w:spacing w:line="600" w:lineRule="exact"/>
        <w:ind w:firstLine="640"/>
        <w:rPr>
          <w:rFonts w:hint="eastAsia" w:ascii="仿宋" w:hAnsi="仿宋" w:eastAsia="仿宋" w:cs="仿宋"/>
          <w:sz w:val="32"/>
          <w:szCs w:val="32"/>
        </w:rPr>
      </w:pPr>
      <w:r>
        <w:rPr>
          <w:rFonts w:hint="eastAsia" w:ascii="仿宋" w:hAnsi="仿宋" w:eastAsia="仿宋" w:cs="仿宋"/>
          <w:sz w:val="32"/>
          <w:szCs w:val="32"/>
        </w:rPr>
        <w:t>从2022年困难群众救助服务所项目预算内容来看，年度成本构成中包含需求评估、数据维护、案例总结、业务培训、媒体宣传、管理费用以及税费等。从各项成本总体占比情况来看，从大到小依次为：数据维护成本</w:t>
      </w:r>
      <w:r>
        <w:rPr>
          <w:rFonts w:hint="eastAsia" w:ascii="仿宋" w:hAnsi="仿宋" w:eastAsia="仿宋" w:cs="仿宋"/>
          <w:kern w:val="0"/>
          <w:sz w:val="32"/>
          <w:szCs w:val="32"/>
        </w:rPr>
        <w:t>占比43.03%，相对于其他预算内容占比较高</w:t>
      </w:r>
      <w:r>
        <w:rPr>
          <w:rFonts w:hint="eastAsia" w:ascii="仿宋" w:hAnsi="仿宋" w:eastAsia="仿宋" w:cs="仿宋"/>
          <w:sz w:val="32"/>
          <w:szCs w:val="32"/>
        </w:rPr>
        <w:t>；需求评估成本</w:t>
      </w:r>
      <w:r>
        <w:rPr>
          <w:rFonts w:hint="eastAsia" w:ascii="仿宋" w:hAnsi="仿宋" w:eastAsia="仿宋" w:cs="仿宋"/>
          <w:kern w:val="0"/>
          <w:sz w:val="32"/>
          <w:szCs w:val="32"/>
        </w:rPr>
        <w:t>占比31.41%</w:t>
      </w:r>
      <w:r>
        <w:rPr>
          <w:rFonts w:hint="eastAsia" w:ascii="仿宋" w:hAnsi="仿宋" w:eastAsia="仿宋" w:cs="仿宋"/>
          <w:sz w:val="32"/>
          <w:szCs w:val="32"/>
        </w:rPr>
        <w:t>；管理费用成本占比6.99%；业务培训成本占比6.45%；税费成本占比5.66%;,媒体宣传成本占比3.94%，案例总结成本占比2.51%。</w:t>
      </w:r>
    </w:p>
    <w:p>
      <w:pPr>
        <w:pStyle w:val="2"/>
        <w:spacing w:line="600" w:lineRule="exact"/>
        <w:ind w:firstLine="640"/>
        <w:rPr>
          <w:rFonts w:hint="eastAsia" w:ascii="仿宋" w:hAnsi="仿宋" w:eastAsia="仿宋" w:cs="仿宋"/>
          <w:sz w:val="32"/>
          <w:szCs w:val="32"/>
        </w:rPr>
      </w:pPr>
      <w:r>
        <w:rPr>
          <w:rFonts w:hint="eastAsia" w:ascii="仿宋" w:hAnsi="仿宋" w:eastAsia="仿宋" w:cs="仿宋"/>
          <w:sz w:val="32"/>
          <w:szCs w:val="32"/>
        </w:rPr>
        <w:t>从2023年困难群众救助服务所项目预算内容来看，年度成本构成中包含需求评估、个案帮扶、案例总结、社区或小组活动、新增低保/低收入家庭入户审核、项目管理费用以及税费等。从各项成本总体占比情况来看，从大到小依次为：需求评估成本占比62.05%，相对于其他预算内容占比较高；个案帮扶成本占比17.20%；项目税费成本占比5.66%；项目管理费用成本占比5.34%；新增低保低收入家庭入户审核成本占比3.94%;社区或小组活动成本占比3.06%;案例总结成本占比2.75%。</w:t>
      </w:r>
    </w:p>
    <w:p>
      <w:pPr>
        <w:spacing w:line="600" w:lineRule="exact"/>
        <w:ind w:firstLine="640" w:firstLineChars="200"/>
        <w:outlineLvl w:val="1"/>
        <w:rPr>
          <w:rFonts w:hint="eastAsia" w:ascii="仿宋" w:hAnsi="仿宋" w:eastAsia="仿宋" w:cs="仿宋"/>
          <w:bCs/>
          <w:kern w:val="0"/>
          <w:sz w:val="32"/>
          <w:szCs w:val="32"/>
        </w:rPr>
      </w:pPr>
      <w:bookmarkStart w:id="6" w:name="_Toc17396"/>
      <w:r>
        <w:rPr>
          <w:rFonts w:hint="eastAsia" w:ascii="仿宋" w:hAnsi="仿宋" w:eastAsia="仿宋" w:cs="仿宋"/>
          <w:bCs/>
          <w:kern w:val="0"/>
          <w:sz w:val="32"/>
          <w:szCs w:val="32"/>
        </w:rPr>
        <w:t>（三）成本变化及影响因素分析</w:t>
      </w:r>
      <w:bookmarkEnd w:id="6"/>
      <w:r>
        <w:rPr>
          <w:rFonts w:hint="eastAsia" w:ascii="仿宋" w:hAnsi="仿宋" w:eastAsia="仿宋" w:cs="仿宋"/>
          <w:bCs/>
          <w:kern w:val="0"/>
          <w:sz w:val="32"/>
          <w:szCs w:val="32"/>
        </w:rPr>
        <w:t xml:space="preserve"> </w:t>
      </w:r>
    </w:p>
    <w:p>
      <w:pPr>
        <w:pStyle w:val="5"/>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1.成本变化趋势分析</w:t>
      </w:r>
    </w:p>
    <w:p>
      <w:pPr>
        <w:pStyle w:val="2"/>
        <w:spacing w:line="600" w:lineRule="exact"/>
        <w:ind w:firstLine="640"/>
        <w:rPr>
          <w:rFonts w:hint="eastAsia" w:ascii="仿宋" w:hAnsi="仿宋" w:eastAsia="仿宋" w:cs="仿宋"/>
          <w:sz w:val="32"/>
          <w:szCs w:val="32"/>
        </w:rPr>
      </w:pPr>
      <w:r>
        <w:rPr>
          <w:rFonts w:hint="eastAsia" w:ascii="仿宋" w:hAnsi="仿宋" w:eastAsia="仿宋" w:cs="仿宋"/>
          <w:sz w:val="32"/>
          <w:szCs w:val="32"/>
        </w:rPr>
        <w:t>依据权责发生制，2021年度合同金额28.88万元， 2022年度合同金额41.83万元， 2023年度合同金额41.85万元。</w:t>
      </w:r>
      <w:r>
        <w:rPr>
          <w:rFonts w:hint="eastAsia" w:ascii="仿宋" w:hAnsi="仿宋" w:eastAsia="仿宋" w:cs="仿宋"/>
          <w:kern w:val="0"/>
          <w:sz w:val="32"/>
          <w:szCs w:val="32"/>
        </w:rPr>
        <w:t>通过比对，</w:t>
      </w:r>
      <w:r>
        <w:rPr>
          <w:rFonts w:hint="eastAsia" w:ascii="仿宋" w:hAnsi="仿宋" w:eastAsia="仿宋" w:cs="仿宋"/>
          <w:sz w:val="32"/>
          <w:szCs w:val="32"/>
        </w:rPr>
        <w:t>根据每年的工作重点，三个年度在项目总体服务需求上有所不同，服务期限相同，资金投入的总体变化不同。</w:t>
      </w:r>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sz w:val="32"/>
          <w:szCs w:val="32"/>
        </w:rPr>
        <w:t>本次分析以2022年-2023年为重点分析对象，</w:t>
      </w:r>
      <w:r>
        <w:rPr>
          <w:rFonts w:hint="eastAsia" w:ascii="仿宋" w:hAnsi="仿宋" w:eastAsia="仿宋" w:cs="仿宋"/>
          <w:kern w:val="0"/>
          <w:sz w:val="32"/>
          <w:szCs w:val="32"/>
        </w:rPr>
        <w:t>月坛街道困难群众救助服务所项目，自2021年度12月1日至2022年11月30日，月坛街道申报了需求评估、数据维护、案例总结、业务培训（含定期培训和外请督导）、媒体宣传、管理费及税费等6个子项，预算金额41.83万元。</w:t>
      </w:r>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2023年度3月1日至2024年2月29日项目申报内容较之前年度项目内容调整为需求评估，个案帮扶，案例总结，社区或小组活动，新增低保低收入家庭入户审核等，预算金额41.85万元。具体申报明细见下表4：</w:t>
      </w:r>
    </w:p>
    <w:p>
      <w:pPr>
        <w:rPr>
          <w:rFonts w:hint="eastAsia" w:ascii="仿宋" w:hAnsi="仿宋" w:eastAsia="仿宋" w:cs="仿宋"/>
          <w:sz w:val="32"/>
          <w:szCs w:val="32"/>
        </w:rPr>
        <w:sectPr>
          <w:pgSz w:w="11906" w:h="16838"/>
          <w:pgMar w:top="1440" w:right="1800" w:bottom="1440" w:left="1800" w:header="851" w:footer="992" w:gutter="0"/>
          <w:cols w:space="720" w:num="1"/>
          <w:docGrid w:type="lines" w:linePitch="312" w:charSpace="0"/>
        </w:sectPr>
      </w:pPr>
    </w:p>
    <w:p>
      <w:pPr>
        <w:ind w:firstLine="2240" w:firstLineChars="800"/>
        <w:rPr>
          <w:rFonts w:hint="eastAsia" w:ascii="仿宋" w:hAnsi="仿宋" w:eastAsia="仿宋" w:cs="仿宋"/>
          <w:color w:val="000000"/>
          <w:kern w:val="0"/>
          <w:sz w:val="18"/>
          <w:szCs w:val="18"/>
          <w:lang w:bidi="ar"/>
        </w:rPr>
      </w:pPr>
      <w:r>
        <w:rPr>
          <w:rFonts w:hint="eastAsia" w:ascii="黑体" w:hAnsi="黑体" w:eastAsia="黑体"/>
          <w:sz w:val="28"/>
          <w:szCs w:val="28"/>
        </w:rPr>
        <w:t xml:space="preserve">表4    2022年-2023年度困难群众救助服务所项目申报明细表 </w:t>
      </w:r>
      <w:r>
        <w:rPr>
          <w:rFonts w:hint="eastAsia" w:ascii="宋体" w:hAnsi="宋体" w:cs="宋体"/>
          <w:b/>
          <w:bCs/>
          <w:kern w:val="0"/>
          <w:sz w:val="24"/>
        </w:rPr>
        <w:t xml:space="preserve">       </w:t>
      </w:r>
      <w:r>
        <w:rPr>
          <w:rFonts w:hint="eastAsia" w:ascii="宋体" w:hAnsi="宋体" w:cs="宋体"/>
          <w:bCs/>
          <w:kern w:val="0"/>
          <w:sz w:val="20"/>
          <w:szCs w:val="20"/>
        </w:rPr>
        <w:t xml:space="preserve"> 单位：元</w:t>
      </w:r>
    </w:p>
    <w:tbl>
      <w:tblPr>
        <w:tblStyle w:val="12"/>
        <w:tblW w:w="14074" w:type="dxa"/>
        <w:tblInd w:w="100" w:type="dxa"/>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
      <w:tblGrid>
        <w:gridCol w:w="2718"/>
        <w:gridCol w:w="3167"/>
        <w:gridCol w:w="1238"/>
        <w:gridCol w:w="2540"/>
        <w:gridCol w:w="2785"/>
        <w:gridCol w:w="1626"/>
      </w:tblGrid>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465" w:hRule="atLeast"/>
        </w:trPr>
        <w:tc>
          <w:tcPr>
            <w:tcW w:w="2718" w:type="dxa"/>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2022年项目内容</w:t>
            </w:r>
          </w:p>
        </w:tc>
        <w:tc>
          <w:tcPr>
            <w:tcW w:w="3167" w:type="dxa"/>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明细</w:t>
            </w:r>
          </w:p>
        </w:tc>
        <w:tc>
          <w:tcPr>
            <w:tcW w:w="1238" w:type="dxa"/>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预算金额</w:t>
            </w:r>
          </w:p>
        </w:tc>
        <w:tc>
          <w:tcPr>
            <w:tcW w:w="2540" w:type="dxa"/>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2023年项目内容</w:t>
            </w:r>
          </w:p>
        </w:tc>
        <w:tc>
          <w:tcPr>
            <w:tcW w:w="2785" w:type="dxa"/>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明细</w:t>
            </w:r>
          </w:p>
        </w:tc>
        <w:tc>
          <w:tcPr>
            <w:tcW w:w="1626" w:type="dxa"/>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预算金额</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1711" w:hRule="atLeast"/>
        </w:trPr>
        <w:tc>
          <w:tcPr>
            <w:tcW w:w="2718" w:type="dxa"/>
            <w:noWrap w:val="0"/>
            <w:vAlign w:val="center"/>
          </w:tcPr>
          <w:p>
            <w:pPr>
              <w:widowControl/>
              <w:jc w:val="left"/>
              <w:textAlignment w:val="center"/>
              <w:rPr>
                <w:rFonts w:ascii="宋体" w:hAnsi="宋体" w:cs="仿宋"/>
                <w:color w:val="000000"/>
                <w:sz w:val="20"/>
                <w:szCs w:val="20"/>
              </w:rPr>
            </w:pPr>
            <w:r>
              <w:rPr>
                <w:rFonts w:hint="eastAsia" w:ascii="宋体" w:hAnsi="宋体" w:cs="仿宋"/>
                <w:color w:val="000000"/>
                <w:kern w:val="0"/>
                <w:sz w:val="20"/>
                <w:szCs w:val="20"/>
                <w:lang w:bidi="ar"/>
              </w:rPr>
              <w:t>需求评估：入户评估劳务费；打印费；交通费；通讯费</w:t>
            </w:r>
          </w:p>
        </w:tc>
        <w:tc>
          <w:tcPr>
            <w:tcW w:w="3167" w:type="dxa"/>
            <w:noWrap w:val="0"/>
            <w:vAlign w:val="center"/>
          </w:tcPr>
          <w:p>
            <w:pPr>
              <w:widowControl/>
              <w:jc w:val="left"/>
              <w:textAlignment w:val="center"/>
              <w:rPr>
                <w:rFonts w:ascii="宋体" w:hAnsi="宋体" w:cs="仿宋"/>
                <w:color w:val="000000"/>
                <w:sz w:val="20"/>
                <w:szCs w:val="20"/>
              </w:rPr>
            </w:pPr>
            <w:r>
              <w:rPr>
                <w:rFonts w:hint="eastAsia" w:ascii="宋体" w:hAnsi="宋体" w:cs="仿宋"/>
                <w:color w:val="000000"/>
                <w:kern w:val="0"/>
                <w:sz w:val="20"/>
                <w:szCs w:val="20"/>
                <w:lang w:bidi="ar"/>
              </w:rPr>
              <w:t>3人*180次*200元=108000元；</w:t>
            </w:r>
            <w:r>
              <w:rPr>
                <w:rStyle w:val="17"/>
                <w:rFonts w:hint="default" w:ascii="宋体" w:hAnsi="宋体" w:eastAsia="宋体"/>
                <w:sz w:val="20"/>
                <w:szCs w:val="20"/>
                <w:lang w:bidi="ar"/>
              </w:rPr>
              <w:t xml:space="preserve">                    120份*30元=3600元；                         3人*120*50元=18000元；                                 120次*15元=1800元；</w:t>
            </w:r>
          </w:p>
        </w:tc>
        <w:tc>
          <w:tcPr>
            <w:tcW w:w="1238"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131400</w:t>
            </w:r>
          </w:p>
        </w:tc>
        <w:tc>
          <w:tcPr>
            <w:tcW w:w="2540" w:type="dxa"/>
            <w:noWrap w:val="0"/>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需求评估，入户评估劳务费、系统台账信息维护、打印费、交通费</w:t>
            </w:r>
          </w:p>
        </w:tc>
        <w:tc>
          <w:tcPr>
            <w:tcW w:w="2785" w:type="dxa"/>
            <w:noWrap w:val="0"/>
            <w:vAlign w:val="center"/>
          </w:tcPr>
          <w:p>
            <w:pPr>
              <w:widowControl/>
              <w:ind w:left="600" w:hanging="600" w:hangingChars="300"/>
              <w:jc w:val="left"/>
              <w:textAlignment w:val="center"/>
              <w:rPr>
                <w:rFonts w:hint="eastAsia" w:ascii="宋体" w:hAnsi="宋体" w:cs="仿宋"/>
                <w:color w:val="000000"/>
                <w:kern w:val="0"/>
                <w:sz w:val="20"/>
                <w:szCs w:val="20"/>
                <w:lang w:bidi="ar"/>
              </w:rPr>
            </w:pPr>
            <w:r>
              <w:rPr>
                <w:rFonts w:hint="eastAsia" w:ascii="宋体" w:hAnsi="宋体" w:cs="仿宋"/>
                <w:color w:val="000000"/>
                <w:kern w:val="0"/>
                <w:sz w:val="20"/>
                <w:szCs w:val="20"/>
                <w:lang w:bidi="ar"/>
              </w:rPr>
              <w:t xml:space="preserve">966人次*200元=193200元；              </w:t>
            </w:r>
          </w:p>
          <w:p>
            <w:pPr>
              <w:widowControl/>
              <w:ind w:left="600" w:hanging="600" w:hangingChars="300"/>
              <w:jc w:val="left"/>
              <w:textAlignment w:val="center"/>
              <w:rPr>
                <w:rStyle w:val="17"/>
                <w:rFonts w:hint="default" w:ascii="宋体" w:hAnsi="宋体" w:eastAsia="宋体"/>
                <w:sz w:val="20"/>
                <w:szCs w:val="20"/>
                <w:lang w:bidi="ar"/>
              </w:rPr>
            </w:pPr>
            <w:r>
              <w:rPr>
                <w:rFonts w:hint="eastAsia" w:ascii="宋体" w:hAnsi="宋体" w:cs="仿宋"/>
                <w:color w:val="000000"/>
                <w:kern w:val="0"/>
                <w:sz w:val="20"/>
                <w:szCs w:val="20"/>
                <w:lang w:bidi="ar"/>
              </w:rPr>
              <w:t xml:space="preserve">483人次*100=48300元； </w:t>
            </w:r>
            <w:r>
              <w:rPr>
                <w:rStyle w:val="17"/>
                <w:rFonts w:hint="default" w:ascii="宋体" w:hAnsi="宋体" w:eastAsia="宋体"/>
                <w:sz w:val="20"/>
                <w:szCs w:val="20"/>
                <w:lang w:bidi="ar"/>
              </w:rPr>
              <w:t xml:space="preserve">               </w:t>
            </w:r>
          </w:p>
          <w:p>
            <w:pPr>
              <w:widowControl/>
              <w:jc w:val="left"/>
              <w:textAlignment w:val="center"/>
              <w:rPr>
                <w:rStyle w:val="17"/>
                <w:rFonts w:hint="default" w:ascii="宋体" w:hAnsi="宋体" w:eastAsia="宋体"/>
                <w:sz w:val="20"/>
                <w:szCs w:val="20"/>
                <w:lang w:bidi="ar"/>
              </w:rPr>
            </w:pPr>
            <w:r>
              <w:rPr>
                <w:rStyle w:val="17"/>
                <w:rFonts w:hint="default" w:ascii="宋体" w:hAnsi="宋体" w:eastAsia="宋体"/>
                <w:sz w:val="20"/>
                <w:szCs w:val="20"/>
                <w:lang w:bidi="ar"/>
              </w:rPr>
              <w:t xml:space="preserve">483份*7元=3381元；              </w:t>
            </w:r>
          </w:p>
          <w:p>
            <w:pPr>
              <w:widowControl/>
              <w:jc w:val="left"/>
              <w:textAlignment w:val="center"/>
              <w:rPr>
                <w:rFonts w:ascii="宋体" w:hAnsi="宋体" w:cs="仿宋"/>
                <w:color w:val="000000"/>
                <w:sz w:val="20"/>
                <w:szCs w:val="20"/>
              </w:rPr>
            </w:pPr>
            <w:r>
              <w:rPr>
                <w:rStyle w:val="17"/>
                <w:rFonts w:hint="default" w:ascii="宋体" w:hAnsi="宋体" w:eastAsia="宋体"/>
                <w:sz w:val="20"/>
                <w:szCs w:val="20"/>
                <w:lang w:bidi="ar"/>
              </w:rPr>
              <w:t>966人次*5元=4830元；                 498天*20元=9960元；</w:t>
            </w:r>
          </w:p>
        </w:tc>
        <w:tc>
          <w:tcPr>
            <w:tcW w:w="1626"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259671</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90" w:hRule="atLeast"/>
        </w:trPr>
        <w:tc>
          <w:tcPr>
            <w:tcW w:w="2718" w:type="dxa"/>
            <w:noWrap w:val="0"/>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数据维护：完善档案；信息更新；系统维护</w:t>
            </w:r>
          </w:p>
        </w:tc>
        <w:tc>
          <w:tcPr>
            <w:tcW w:w="3167" w:type="dxa"/>
            <w:noWrap w:val="0"/>
            <w:vAlign w:val="center"/>
          </w:tcPr>
          <w:p>
            <w:pPr>
              <w:widowControl/>
              <w:jc w:val="left"/>
              <w:textAlignment w:val="center"/>
              <w:rPr>
                <w:rFonts w:ascii="宋体" w:hAnsi="宋体" w:cs="仿宋"/>
                <w:color w:val="000000"/>
                <w:sz w:val="20"/>
                <w:szCs w:val="20"/>
              </w:rPr>
            </w:pPr>
            <w:r>
              <w:rPr>
                <w:rFonts w:hint="eastAsia" w:ascii="宋体" w:hAnsi="宋体" w:cs="仿宋"/>
                <w:color w:val="000000"/>
                <w:kern w:val="0"/>
                <w:sz w:val="20"/>
                <w:szCs w:val="20"/>
                <w:lang w:bidi="ar"/>
              </w:rPr>
              <w:t xml:space="preserve">3人*120次*100元=36000元； </w:t>
            </w:r>
            <w:r>
              <w:rPr>
                <w:rStyle w:val="17"/>
                <w:rFonts w:hint="default" w:ascii="宋体" w:hAnsi="宋体" w:eastAsia="宋体"/>
                <w:sz w:val="20"/>
                <w:szCs w:val="20"/>
                <w:lang w:bidi="ar"/>
              </w:rPr>
              <w:t xml:space="preserve">                           3人*120次*200元=72000元；                                3人*120次*200元=72000元；</w:t>
            </w:r>
          </w:p>
        </w:tc>
        <w:tc>
          <w:tcPr>
            <w:tcW w:w="1238"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180000</w:t>
            </w:r>
          </w:p>
        </w:tc>
        <w:tc>
          <w:tcPr>
            <w:tcW w:w="2540" w:type="dxa"/>
            <w:noWrap w:val="0"/>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个案帮扶（个案服务、个案信息录入）</w:t>
            </w:r>
          </w:p>
        </w:tc>
        <w:tc>
          <w:tcPr>
            <w:tcW w:w="2785" w:type="dxa"/>
            <w:noWrap w:val="0"/>
            <w:vAlign w:val="center"/>
          </w:tcPr>
          <w:p>
            <w:pPr>
              <w:widowControl/>
              <w:jc w:val="left"/>
              <w:textAlignment w:val="center"/>
              <w:rPr>
                <w:rFonts w:ascii="宋体" w:hAnsi="宋体" w:cs="仿宋"/>
                <w:color w:val="000000"/>
                <w:sz w:val="20"/>
                <w:szCs w:val="20"/>
              </w:rPr>
            </w:pPr>
            <w:r>
              <w:rPr>
                <w:rFonts w:hint="eastAsia" w:ascii="宋体" w:hAnsi="宋体" w:cs="仿宋"/>
                <w:color w:val="000000"/>
                <w:kern w:val="0"/>
                <w:sz w:val="20"/>
                <w:szCs w:val="20"/>
                <w:lang w:bidi="ar"/>
              </w:rPr>
              <w:t xml:space="preserve">240人次*200元=48000元； </w:t>
            </w:r>
            <w:r>
              <w:rPr>
                <w:rStyle w:val="17"/>
                <w:rFonts w:hint="default" w:ascii="宋体" w:hAnsi="宋体" w:eastAsia="宋体"/>
                <w:sz w:val="20"/>
                <w:szCs w:val="20"/>
                <w:lang w:bidi="ar"/>
              </w:rPr>
              <w:t xml:space="preserve">            240人次*100元=24000元；</w:t>
            </w:r>
          </w:p>
        </w:tc>
        <w:tc>
          <w:tcPr>
            <w:tcW w:w="1626"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72000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1112" w:hRule="atLeast"/>
        </w:trPr>
        <w:tc>
          <w:tcPr>
            <w:tcW w:w="2718" w:type="dxa"/>
            <w:noWrap w:val="0"/>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案例总结：经典案例撰写；调研问题总结；需求评估报告</w:t>
            </w:r>
          </w:p>
        </w:tc>
        <w:tc>
          <w:tcPr>
            <w:tcW w:w="3167" w:type="dxa"/>
            <w:noWrap w:val="0"/>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10份*750元=7500元； </w:t>
            </w:r>
            <w:r>
              <w:rPr>
                <w:rStyle w:val="17"/>
                <w:rFonts w:hint="default" w:ascii="宋体" w:hAnsi="宋体" w:eastAsia="宋体"/>
                <w:sz w:val="20"/>
                <w:szCs w:val="20"/>
                <w:lang w:bidi="ar"/>
              </w:rPr>
              <w:t xml:space="preserve">                  1份*1500元=1500元；                   1份*1500元=1500元；</w:t>
            </w:r>
          </w:p>
        </w:tc>
        <w:tc>
          <w:tcPr>
            <w:tcW w:w="1238"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10500</w:t>
            </w:r>
          </w:p>
        </w:tc>
        <w:tc>
          <w:tcPr>
            <w:tcW w:w="2540" w:type="dxa"/>
            <w:noWrap w:val="0"/>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案例总结（经典案例撰写、需求评估报告）</w:t>
            </w:r>
          </w:p>
        </w:tc>
        <w:tc>
          <w:tcPr>
            <w:tcW w:w="2785" w:type="dxa"/>
            <w:noWrap w:val="0"/>
            <w:vAlign w:val="center"/>
          </w:tcPr>
          <w:p>
            <w:pPr>
              <w:widowControl/>
              <w:jc w:val="left"/>
              <w:textAlignment w:val="center"/>
              <w:rPr>
                <w:rFonts w:ascii="宋体" w:hAnsi="宋体" w:cs="仿宋"/>
                <w:color w:val="000000"/>
                <w:sz w:val="20"/>
                <w:szCs w:val="20"/>
              </w:rPr>
            </w:pPr>
            <w:r>
              <w:rPr>
                <w:rFonts w:hint="eastAsia" w:ascii="宋体" w:hAnsi="宋体" w:cs="仿宋"/>
                <w:color w:val="000000"/>
                <w:kern w:val="0"/>
                <w:sz w:val="20"/>
                <w:szCs w:val="20"/>
                <w:lang w:bidi="ar"/>
              </w:rPr>
              <w:t xml:space="preserve">10份*1000元=10000元； </w:t>
            </w:r>
            <w:r>
              <w:rPr>
                <w:rStyle w:val="17"/>
                <w:rFonts w:hint="default" w:ascii="宋体" w:hAnsi="宋体" w:eastAsia="宋体"/>
                <w:sz w:val="20"/>
                <w:szCs w:val="20"/>
                <w:lang w:bidi="ar"/>
              </w:rPr>
              <w:t xml:space="preserve">               1份*1500元=1500元；</w:t>
            </w:r>
          </w:p>
        </w:tc>
        <w:tc>
          <w:tcPr>
            <w:tcW w:w="1626"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11500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761" w:hRule="atLeast"/>
        </w:trPr>
        <w:tc>
          <w:tcPr>
            <w:tcW w:w="2718" w:type="dxa"/>
            <w:noWrap w:val="0"/>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业务培训：定期培训；外请督导</w:t>
            </w:r>
          </w:p>
        </w:tc>
        <w:tc>
          <w:tcPr>
            <w:tcW w:w="3167" w:type="dxa"/>
            <w:noWrap w:val="0"/>
            <w:vAlign w:val="center"/>
          </w:tcPr>
          <w:p>
            <w:pPr>
              <w:widowControl/>
              <w:jc w:val="left"/>
              <w:textAlignment w:val="center"/>
              <w:rPr>
                <w:rFonts w:ascii="宋体" w:hAnsi="宋体" w:cs="仿宋"/>
                <w:color w:val="000000"/>
                <w:sz w:val="20"/>
                <w:szCs w:val="20"/>
              </w:rPr>
            </w:pPr>
            <w:r>
              <w:rPr>
                <w:rFonts w:hint="eastAsia" w:ascii="宋体" w:hAnsi="宋体" w:cs="仿宋"/>
                <w:color w:val="000000"/>
                <w:kern w:val="0"/>
                <w:sz w:val="20"/>
                <w:szCs w:val="20"/>
                <w:lang w:bidi="ar"/>
              </w:rPr>
              <w:t xml:space="preserve">12次*750元=9000元； </w:t>
            </w:r>
            <w:r>
              <w:rPr>
                <w:rStyle w:val="17"/>
                <w:rFonts w:hint="default" w:ascii="宋体" w:hAnsi="宋体" w:eastAsia="宋体"/>
                <w:sz w:val="20"/>
                <w:szCs w:val="20"/>
                <w:lang w:bidi="ar"/>
              </w:rPr>
              <w:t xml:space="preserve">                 12次*1500元=18000元；</w:t>
            </w:r>
          </w:p>
        </w:tc>
        <w:tc>
          <w:tcPr>
            <w:tcW w:w="1238"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27000</w:t>
            </w:r>
          </w:p>
        </w:tc>
        <w:tc>
          <w:tcPr>
            <w:tcW w:w="2540" w:type="dxa"/>
            <w:noWrap/>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社区或小组活动</w:t>
            </w:r>
          </w:p>
        </w:tc>
        <w:tc>
          <w:tcPr>
            <w:tcW w:w="2785" w:type="dxa"/>
            <w:noWrap w:val="0"/>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 xml:space="preserve">8人次*800元=6400元； </w:t>
            </w:r>
            <w:r>
              <w:rPr>
                <w:rStyle w:val="17"/>
                <w:rFonts w:hint="default" w:ascii="宋体" w:hAnsi="宋体" w:eastAsia="宋体"/>
                <w:sz w:val="20"/>
                <w:szCs w:val="20"/>
                <w:lang w:bidi="ar"/>
              </w:rPr>
              <w:t xml:space="preserve">                8人次*800元=6400元；                      </w:t>
            </w:r>
          </w:p>
        </w:tc>
        <w:tc>
          <w:tcPr>
            <w:tcW w:w="1626"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12800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915" w:hRule="atLeast"/>
        </w:trPr>
        <w:tc>
          <w:tcPr>
            <w:tcW w:w="2718" w:type="dxa"/>
            <w:vMerge w:val="restart"/>
            <w:noWrap w:val="0"/>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媒体宣传：新闻稿；媒体报道</w:t>
            </w:r>
          </w:p>
        </w:tc>
        <w:tc>
          <w:tcPr>
            <w:tcW w:w="3167" w:type="dxa"/>
            <w:vMerge w:val="restart"/>
            <w:noWrap w:val="0"/>
            <w:vAlign w:val="center"/>
          </w:tcPr>
          <w:p>
            <w:pPr>
              <w:widowControl/>
              <w:jc w:val="left"/>
              <w:textAlignment w:val="center"/>
              <w:rPr>
                <w:rFonts w:ascii="宋体" w:hAnsi="宋体" w:cs="仿宋"/>
                <w:color w:val="000000"/>
                <w:sz w:val="20"/>
                <w:szCs w:val="20"/>
              </w:rPr>
            </w:pPr>
            <w:r>
              <w:rPr>
                <w:rFonts w:hint="eastAsia" w:ascii="宋体" w:hAnsi="宋体" w:cs="仿宋"/>
                <w:color w:val="000000"/>
                <w:kern w:val="0"/>
                <w:sz w:val="20"/>
                <w:szCs w:val="20"/>
                <w:lang w:bidi="ar"/>
              </w:rPr>
              <w:t xml:space="preserve">12份*750元=9000元； </w:t>
            </w:r>
            <w:r>
              <w:rPr>
                <w:rStyle w:val="17"/>
                <w:rFonts w:hint="default" w:ascii="宋体" w:hAnsi="宋体" w:eastAsia="宋体"/>
                <w:sz w:val="20"/>
                <w:szCs w:val="20"/>
                <w:lang w:bidi="ar"/>
              </w:rPr>
              <w:t xml:space="preserve">                  5次*1500元=7500元；</w:t>
            </w:r>
          </w:p>
        </w:tc>
        <w:tc>
          <w:tcPr>
            <w:tcW w:w="1238" w:type="dxa"/>
            <w:vMerge w:val="restart"/>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16500</w:t>
            </w:r>
          </w:p>
        </w:tc>
        <w:tc>
          <w:tcPr>
            <w:tcW w:w="2540" w:type="dxa"/>
            <w:vMerge w:val="restart"/>
            <w:noWrap w:val="0"/>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新增低保、低收入家庭入户审核</w:t>
            </w:r>
          </w:p>
        </w:tc>
        <w:tc>
          <w:tcPr>
            <w:tcW w:w="2785" w:type="dxa"/>
            <w:vMerge w:val="restart"/>
            <w:noWrap/>
            <w:vAlign w:val="center"/>
          </w:tcPr>
          <w:p>
            <w:pPr>
              <w:widowControl/>
              <w:jc w:val="left"/>
              <w:textAlignment w:val="center"/>
              <w:rPr>
                <w:rFonts w:ascii="宋体" w:hAnsi="宋体" w:cs="仿宋"/>
                <w:color w:val="000000"/>
                <w:sz w:val="20"/>
                <w:szCs w:val="20"/>
              </w:rPr>
            </w:pPr>
            <w:r>
              <w:rPr>
                <w:rFonts w:hint="eastAsia" w:ascii="宋体" w:hAnsi="宋体" w:cs="仿宋"/>
                <w:color w:val="000000"/>
                <w:kern w:val="0"/>
                <w:sz w:val="20"/>
                <w:szCs w:val="20"/>
                <w:lang w:bidi="ar"/>
              </w:rPr>
              <w:t>30次*550元=16500元</w:t>
            </w:r>
          </w:p>
        </w:tc>
        <w:tc>
          <w:tcPr>
            <w:tcW w:w="1626" w:type="dxa"/>
            <w:vMerge w:val="restart"/>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16500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312" w:hRule="atLeast"/>
        </w:trPr>
        <w:tc>
          <w:tcPr>
            <w:tcW w:w="2718" w:type="dxa"/>
            <w:vMerge w:val="continue"/>
            <w:noWrap w:val="0"/>
            <w:vAlign w:val="center"/>
          </w:tcPr>
          <w:p>
            <w:pPr>
              <w:jc w:val="left"/>
              <w:rPr>
                <w:rFonts w:hint="eastAsia" w:ascii="宋体" w:hAnsi="宋体" w:cs="仿宋"/>
                <w:color w:val="000000"/>
                <w:sz w:val="20"/>
                <w:szCs w:val="20"/>
              </w:rPr>
            </w:pPr>
          </w:p>
        </w:tc>
        <w:tc>
          <w:tcPr>
            <w:tcW w:w="3167" w:type="dxa"/>
            <w:vMerge w:val="continue"/>
            <w:noWrap w:val="0"/>
            <w:vAlign w:val="center"/>
          </w:tcPr>
          <w:p>
            <w:pPr>
              <w:jc w:val="left"/>
              <w:rPr>
                <w:rFonts w:hint="eastAsia" w:ascii="宋体" w:hAnsi="宋体" w:cs="仿宋"/>
                <w:color w:val="000000"/>
                <w:sz w:val="20"/>
                <w:szCs w:val="20"/>
              </w:rPr>
            </w:pPr>
          </w:p>
        </w:tc>
        <w:tc>
          <w:tcPr>
            <w:tcW w:w="1238" w:type="dxa"/>
            <w:vMerge w:val="continue"/>
            <w:noWrap/>
            <w:vAlign w:val="center"/>
          </w:tcPr>
          <w:p>
            <w:pPr>
              <w:jc w:val="center"/>
              <w:rPr>
                <w:rFonts w:hint="eastAsia" w:ascii="宋体" w:hAnsi="宋体" w:cs="仿宋"/>
                <w:color w:val="000000"/>
                <w:sz w:val="20"/>
                <w:szCs w:val="20"/>
              </w:rPr>
            </w:pPr>
          </w:p>
        </w:tc>
        <w:tc>
          <w:tcPr>
            <w:tcW w:w="2540" w:type="dxa"/>
            <w:vMerge w:val="continue"/>
            <w:noWrap w:val="0"/>
            <w:vAlign w:val="center"/>
          </w:tcPr>
          <w:p>
            <w:pPr>
              <w:jc w:val="left"/>
              <w:rPr>
                <w:rFonts w:hint="eastAsia" w:ascii="宋体" w:hAnsi="宋体" w:cs="仿宋"/>
                <w:color w:val="000000"/>
                <w:sz w:val="20"/>
                <w:szCs w:val="20"/>
              </w:rPr>
            </w:pPr>
          </w:p>
        </w:tc>
        <w:tc>
          <w:tcPr>
            <w:tcW w:w="2785" w:type="dxa"/>
            <w:vMerge w:val="continue"/>
            <w:noWrap/>
            <w:vAlign w:val="center"/>
          </w:tcPr>
          <w:p>
            <w:pPr>
              <w:jc w:val="left"/>
              <w:rPr>
                <w:rFonts w:hint="eastAsia" w:ascii="宋体" w:hAnsi="宋体" w:cs="仿宋"/>
                <w:color w:val="000000"/>
                <w:sz w:val="20"/>
                <w:szCs w:val="20"/>
              </w:rPr>
            </w:pPr>
          </w:p>
        </w:tc>
        <w:tc>
          <w:tcPr>
            <w:tcW w:w="1626" w:type="dxa"/>
            <w:vMerge w:val="continue"/>
            <w:noWrap/>
            <w:vAlign w:val="center"/>
          </w:tcPr>
          <w:p>
            <w:pPr>
              <w:jc w:val="center"/>
              <w:rPr>
                <w:rFonts w:hint="eastAsia" w:ascii="宋体" w:hAnsi="宋体" w:cs="仿宋"/>
                <w:color w:val="000000"/>
                <w:sz w:val="20"/>
                <w:szCs w:val="20"/>
              </w:rPr>
            </w:pP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465" w:hRule="atLeast"/>
        </w:trPr>
        <w:tc>
          <w:tcPr>
            <w:tcW w:w="2718" w:type="dxa"/>
            <w:noWrap w:val="0"/>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项目管理费</w:t>
            </w:r>
          </w:p>
        </w:tc>
        <w:tc>
          <w:tcPr>
            <w:tcW w:w="3167" w:type="dxa"/>
            <w:noWrap w:val="0"/>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8%</w:t>
            </w:r>
          </w:p>
        </w:tc>
        <w:tc>
          <w:tcPr>
            <w:tcW w:w="1238"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29232</w:t>
            </w:r>
          </w:p>
        </w:tc>
        <w:tc>
          <w:tcPr>
            <w:tcW w:w="2540" w:type="dxa"/>
            <w:noWrap/>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项目管理费</w:t>
            </w:r>
          </w:p>
        </w:tc>
        <w:tc>
          <w:tcPr>
            <w:tcW w:w="2785" w:type="dxa"/>
            <w:noWrap/>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6%</w:t>
            </w:r>
          </w:p>
        </w:tc>
        <w:tc>
          <w:tcPr>
            <w:tcW w:w="1626"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22348.26</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330" w:hRule="atLeast"/>
        </w:trPr>
        <w:tc>
          <w:tcPr>
            <w:tcW w:w="2718" w:type="dxa"/>
            <w:noWrap w:val="0"/>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税费</w:t>
            </w:r>
          </w:p>
        </w:tc>
        <w:tc>
          <w:tcPr>
            <w:tcW w:w="3167" w:type="dxa"/>
            <w:noWrap w:val="0"/>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6%</w:t>
            </w:r>
          </w:p>
        </w:tc>
        <w:tc>
          <w:tcPr>
            <w:tcW w:w="1238"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23677.92</w:t>
            </w:r>
          </w:p>
        </w:tc>
        <w:tc>
          <w:tcPr>
            <w:tcW w:w="2540" w:type="dxa"/>
            <w:noWrap/>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税费</w:t>
            </w:r>
          </w:p>
        </w:tc>
        <w:tc>
          <w:tcPr>
            <w:tcW w:w="2785" w:type="dxa"/>
            <w:noWrap/>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5.98%</w:t>
            </w:r>
          </w:p>
        </w:tc>
        <w:tc>
          <w:tcPr>
            <w:tcW w:w="1626" w:type="dxa"/>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23689.16</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330" w:hRule="atLeast"/>
        </w:trPr>
        <w:tc>
          <w:tcPr>
            <w:tcW w:w="5885" w:type="dxa"/>
            <w:gridSpan w:val="2"/>
            <w:noWrap w:val="0"/>
            <w:vAlign w:val="center"/>
          </w:tcPr>
          <w:p>
            <w:pPr>
              <w:jc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合计</w:t>
            </w:r>
          </w:p>
        </w:tc>
        <w:tc>
          <w:tcPr>
            <w:tcW w:w="1238" w:type="dxa"/>
            <w:noWrap/>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418309.92</w:t>
            </w:r>
          </w:p>
        </w:tc>
        <w:tc>
          <w:tcPr>
            <w:tcW w:w="5325" w:type="dxa"/>
            <w:gridSpan w:val="2"/>
            <w:noWrap/>
            <w:vAlign w:val="center"/>
          </w:tcPr>
          <w:p>
            <w:pPr>
              <w:jc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合计</w:t>
            </w:r>
          </w:p>
        </w:tc>
        <w:tc>
          <w:tcPr>
            <w:tcW w:w="1626" w:type="dxa"/>
            <w:noWrap/>
            <w:vAlign w:val="center"/>
          </w:tcPr>
          <w:p>
            <w:pPr>
              <w:widowControl/>
              <w:jc w:val="center"/>
              <w:textAlignment w:val="center"/>
              <w:rPr>
                <w:rFonts w:hint="eastAsia" w:ascii="宋体" w:hAnsi="宋体" w:cs="仿宋"/>
                <w:b/>
                <w:bCs/>
                <w:color w:val="000000"/>
                <w:sz w:val="20"/>
                <w:szCs w:val="20"/>
              </w:rPr>
            </w:pPr>
            <w:r>
              <w:rPr>
                <w:rFonts w:hint="eastAsia" w:ascii="宋体" w:hAnsi="宋体" w:cs="仿宋"/>
                <w:b/>
                <w:bCs/>
                <w:color w:val="000000"/>
                <w:kern w:val="0"/>
                <w:sz w:val="20"/>
                <w:szCs w:val="20"/>
                <w:lang w:bidi="ar"/>
              </w:rPr>
              <w:t>418508.42</w:t>
            </w:r>
          </w:p>
        </w:tc>
      </w:tr>
    </w:tbl>
    <w:p>
      <w:pPr>
        <w:rPr>
          <w:rFonts w:hint="eastAsia"/>
        </w:rPr>
        <w:sectPr>
          <w:footerReference r:id="rId7" w:type="default"/>
          <w:pgSz w:w="16838" w:h="11906" w:orient="landscape"/>
          <w:pgMar w:top="1800" w:right="1440" w:bottom="1800" w:left="1440" w:header="851" w:footer="992" w:gutter="0"/>
          <w:cols w:space="720" w:num="1"/>
          <w:docGrid w:type="lines" w:linePitch="312" w:charSpace="0"/>
        </w:sect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从表4分析看出，2022年</w:t>
      </w:r>
      <w:r>
        <w:rPr>
          <w:rFonts w:hint="eastAsia" w:ascii="仿宋" w:hAnsi="仿宋" w:eastAsia="仿宋" w:cs="仿宋"/>
          <w:spacing w:val="-4"/>
          <w:sz w:val="32"/>
          <w:szCs w:val="32"/>
        </w:rPr>
        <w:t>-2023年度申报的预算金额分别为41.83万元、41.85万元；从申报各子项明细来看，子项内容略有不同，</w:t>
      </w:r>
      <w:r>
        <w:rPr>
          <w:rFonts w:hint="eastAsia" w:ascii="仿宋" w:hAnsi="仿宋" w:eastAsia="仿宋" w:cs="仿宋"/>
          <w:bCs/>
          <w:spacing w:val="-4"/>
          <w:sz w:val="32"/>
          <w:szCs w:val="32"/>
        </w:rPr>
        <w:t>一是</w:t>
      </w:r>
      <w:r>
        <w:rPr>
          <w:rFonts w:hint="eastAsia" w:ascii="仿宋" w:hAnsi="仿宋" w:eastAsia="仿宋" w:cs="仿宋"/>
          <w:spacing w:val="-4"/>
          <w:sz w:val="32"/>
          <w:szCs w:val="32"/>
        </w:rPr>
        <w:t>2022年度申报了业务咨询培训，但2023年度减少了业务咨询，新增了个案帮扶、社区或小组活动以及新增低保低收入家庭入户审核等子项；</w:t>
      </w:r>
      <w:r>
        <w:rPr>
          <w:rFonts w:hint="eastAsia" w:ascii="仿宋" w:hAnsi="仿宋" w:eastAsia="仿宋" w:cs="仿宋"/>
          <w:bCs/>
          <w:spacing w:val="-4"/>
          <w:sz w:val="32"/>
          <w:szCs w:val="32"/>
        </w:rPr>
        <w:t>二是</w:t>
      </w:r>
      <w:r>
        <w:rPr>
          <w:rFonts w:hint="eastAsia" w:ascii="仿宋" w:hAnsi="仿宋" w:eastAsia="仿宋" w:cs="仿宋"/>
          <w:spacing w:val="-4"/>
          <w:sz w:val="32"/>
          <w:szCs w:val="32"/>
        </w:rPr>
        <w:t>申报的每个子项标准不同，如</w:t>
      </w:r>
      <w:r>
        <w:rPr>
          <w:rFonts w:hint="eastAsia" w:ascii="仿宋" w:hAnsi="仿宋" w:eastAsia="仿宋" w:cs="仿宋"/>
          <w:bCs/>
          <w:spacing w:val="-4"/>
          <w:sz w:val="32"/>
          <w:szCs w:val="32"/>
        </w:rPr>
        <w:t>2022年</w:t>
      </w:r>
      <w:r>
        <w:rPr>
          <w:rFonts w:hint="eastAsia" w:ascii="仿宋" w:hAnsi="仿宋" w:eastAsia="仿宋" w:cs="仿宋"/>
          <w:spacing w:val="-4"/>
          <w:sz w:val="32"/>
          <w:szCs w:val="32"/>
        </w:rPr>
        <w:t>申报的需求评估预算明细计算方式是3人*180次*200元=108000元；</w:t>
      </w:r>
      <w:r>
        <w:rPr>
          <w:rFonts w:hint="eastAsia" w:ascii="仿宋" w:hAnsi="仿宋" w:eastAsia="仿宋" w:cs="仿宋"/>
          <w:bCs/>
          <w:spacing w:val="-4"/>
          <w:sz w:val="32"/>
          <w:szCs w:val="32"/>
        </w:rPr>
        <w:t>2023年</w:t>
      </w:r>
      <w:r>
        <w:rPr>
          <w:rFonts w:hint="eastAsia" w:ascii="仿宋" w:hAnsi="仿宋" w:eastAsia="仿宋" w:cs="仿宋"/>
          <w:spacing w:val="-4"/>
          <w:sz w:val="32"/>
          <w:szCs w:val="32"/>
        </w:rPr>
        <w:t>申报的需求评估预算明细计算方式是966人次*200元=193200元。综上，两个年度工作投入核算略有差异，但2022年和2023年度核算金额基本持平。</w:t>
      </w:r>
    </w:p>
    <w:p>
      <w:pPr>
        <w:spacing w:line="60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月坛街道通过预结算评审控制项目成本，依据街道提供2022年-2023年度的项目结算评审报告，两个年度实际支出对比，2022年实际支出41.83万元，2023年实际支出41.85万元，2022年和2023年的实际支出基本相同。</w:t>
      </w:r>
    </w:p>
    <w:p>
      <w:pPr>
        <w:pStyle w:val="5"/>
        <w:spacing w:line="60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2.成本影响因素分析</w:t>
      </w:r>
    </w:p>
    <w:p>
      <w:pPr>
        <w:pStyle w:val="5"/>
        <w:spacing w:line="60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由于两个年度申报的服务内容不同，结合困难群众救助服务所的实际工作需要，综合两个年度的服务内容，对实际工作所需成本进行了分析和归类，2022年-2023年度街道委托同一家社工所开展服务，以2022年-2023年度申报的明细为主要分析对象来分析其成本构成，具体申报明细可参考上表4-2022年-2023年度困难群众救助服务所项目申报明细表，分析内容如下：</w:t>
      </w:r>
    </w:p>
    <w:p>
      <w:pPr>
        <w:pStyle w:val="5"/>
        <w:spacing w:line="600" w:lineRule="exact"/>
        <w:ind w:firstLine="624" w:firstLineChars="200"/>
        <w:rPr>
          <w:rFonts w:hint="eastAsia" w:ascii="仿宋_GB2312" w:hAnsi="仿宋_GB2312" w:eastAsia="仿宋_GB2312" w:cs="仿宋_GB2312"/>
          <w:spacing w:val="-4"/>
          <w:sz w:val="32"/>
          <w:szCs w:val="32"/>
        </w:rPr>
      </w:pPr>
      <w:r>
        <w:rPr>
          <w:rFonts w:hint="eastAsia" w:ascii="仿宋" w:hAnsi="仿宋" w:eastAsia="仿宋" w:cs="仿宋"/>
          <w:spacing w:val="-4"/>
          <w:sz w:val="32"/>
          <w:szCs w:val="32"/>
        </w:rPr>
        <w:t>（1）需求评估工作：该项工作主要是依托社工对月坛街道困难群众进行需求评估及完善台账工作。2022年度由3名社工对月坛街道180户困难群众入户进行需求评估（完善台账）以及在项目执行过程中发生的打印费、交通费、通讯费；2023年度由2名社工对月坛街道低保低收入483人做需求评估及完善台账工作；进行系统台账信息维护工作以及在项目实施过程中发生的打印费、交通费和餐费。具体申报明如下表5：</w:t>
      </w:r>
      <w:r>
        <w:rPr>
          <w:rFonts w:hint="eastAsia" w:ascii="仿宋_GB2312" w:hAnsi="仿宋_GB2312" w:eastAsia="仿宋_GB2312" w:cs="仿宋_GB2312"/>
          <w:spacing w:val="-4"/>
          <w:sz w:val="32"/>
          <w:szCs w:val="32"/>
        </w:rPr>
        <w:t xml:space="preserve"> </w:t>
      </w:r>
    </w:p>
    <w:p>
      <w:pPr>
        <w:pStyle w:val="2"/>
        <w:spacing w:line="600" w:lineRule="exact"/>
        <w:ind w:firstLine="560"/>
        <w:jc w:val="center"/>
        <w:rPr>
          <w:rFonts w:hint="eastAsia" w:ascii="宋体" w:hAnsi="宋体"/>
          <w:sz w:val="20"/>
          <w:szCs w:val="20"/>
        </w:rPr>
      </w:pPr>
      <w:r>
        <w:rPr>
          <w:rFonts w:hint="eastAsia" w:ascii="黑体" w:hAnsi="黑体" w:eastAsia="黑体"/>
          <w:sz w:val="28"/>
          <w:szCs w:val="28"/>
        </w:rPr>
        <w:t xml:space="preserve">表5  需求评估工作成本情况表       </w:t>
      </w:r>
      <w:r>
        <w:rPr>
          <w:rFonts w:hint="eastAsia" w:ascii="宋体" w:hAnsi="宋体"/>
          <w:sz w:val="20"/>
          <w:szCs w:val="20"/>
        </w:rPr>
        <w:t>单位：元</w:t>
      </w:r>
    </w:p>
    <w:tbl>
      <w:tblPr>
        <w:tblStyle w:val="12"/>
        <w:tblW w:w="8965" w:type="dxa"/>
        <w:tblInd w:w="100" w:type="dxa"/>
        <w:tblLayout w:type="fixed"/>
        <w:tblCellMar>
          <w:top w:w="0" w:type="dxa"/>
          <w:left w:w="108" w:type="dxa"/>
          <w:bottom w:w="0" w:type="dxa"/>
          <w:right w:w="108" w:type="dxa"/>
        </w:tblCellMar>
      </w:tblPr>
      <w:tblGrid>
        <w:gridCol w:w="759"/>
        <w:gridCol w:w="2153"/>
        <w:gridCol w:w="3027"/>
        <w:gridCol w:w="3026"/>
      </w:tblGrid>
      <w:tr>
        <w:tblPrEx>
          <w:tblLayout w:type="fixed"/>
          <w:tblCellMar>
            <w:top w:w="0" w:type="dxa"/>
            <w:left w:w="108" w:type="dxa"/>
            <w:bottom w:w="0" w:type="dxa"/>
            <w:right w:w="108" w:type="dxa"/>
          </w:tblCellMar>
        </w:tblPrEx>
        <w:trPr>
          <w:trHeight w:val="454" w:hRule="atLeast"/>
        </w:trPr>
        <w:tc>
          <w:tcPr>
            <w:tcW w:w="759" w:type="dxa"/>
            <w:tcBorders>
              <w:top w:val="single" w:color="000000" w:sz="12" w:space="0"/>
              <w:left w:val="nil"/>
              <w:bottom w:val="dotted" w:color="000000" w:sz="4" w:space="0"/>
              <w:right w:val="dotted" w:color="000000"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2153" w:type="dxa"/>
            <w:tcBorders>
              <w:top w:val="single" w:color="000000" w:sz="12"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需求评估</w:t>
            </w:r>
          </w:p>
        </w:tc>
        <w:tc>
          <w:tcPr>
            <w:tcW w:w="3027" w:type="dxa"/>
            <w:tcBorders>
              <w:top w:val="single" w:color="000000" w:sz="12"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2022年度</w:t>
            </w:r>
          </w:p>
        </w:tc>
        <w:tc>
          <w:tcPr>
            <w:tcW w:w="3026" w:type="dxa"/>
            <w:tcBorders>
              <w:top w:val="single" w:color="000000" w:sz="12" w:space="0"/>
              <w:left w:val="dotted" w:color="000000" w:sz="4" w:space="0"/>
              <w:bottom w:val="dotted" w:color="000000" w:sz="4" w:space="0"/>
              <w:right w:val="nil"/>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2023年度</w:t>
            </w:r>
          </w:p>
        </w:tc>
      </w:tr>
      <w:tr>
        <w:tblPrEx>
          <w:tblLayout w:type="fixed"/>
          <w:tblCellMar>
            <w:top w:w="0" w:type="dxa"/>
            <w:left w:w="108" w:type="dxa"/>
            <w:bottom w:w="0" w:type="dxa"/>
            <w:right w:w="108" w:type="dxa"/>
          </w:tblCellMar>
        </w:tblPrEx>
        <w:trPr>
          <w:trHeight w:val="836" w:hRule="atLeast"/>
        </w:trPr>
        <w:tc>
          <w:tcPr>
            <w:tcW w:w="759" w:type="dxa"/>
            <w:tcBorders>
              <w:top w:val="dotted" w:color="000000" w:sz="4" w:space="0"/>
              <w:left w:val="nil"/>
              <w:bottom w:val="dotted" w:color="000000" w:sz="4" w:space="0"/>
              <w:right w:val="dotted" w:color="000000" w:sz="4" w:space="0"/>
            </w:tcBorders>
            <w:noWrap/>
            <w:vAlign w:val="center"/>
          </w:tcPr>
          <w:p>
            <w:pPr>
              <w:widowControl/>
              <w:jc w:val="center"/>
              <w:textAlignment w:val="center"/>
              <w:rPr>
                <w:rFonts w:ascii="宋体" w:hAnsi="宋体" w:cs="仿宋"/>
                <w:color w:val="000000"/>
                <w:sz w:val="20"/>
                <w:szCs w:val="20"/>
              </w:rPr>
            </w:pPr>
            <w:r>
              <w:rPr>
                <w:rFonts w:hint="eastAsia" w:ascii="宋体" w:hAnsi="宋体" w:cs="仿宋"/>
                <w:color w:val="000000"/>
                <w:kern w:val="0"/>
                <w:sz w:val="20"/>
                <w:szCs w:val="20"/>
                <w:lang w:bidi="ar"/>
              </w:rPr>
              <w:t>1</w:t>
            </w:r>
          </w:p>
        </w:tc>
        <w:tc>
          <w:tcPr>
            <w:tcW w:w="2153" w:type="dxa"/>
            <w:tcBorders>
              <w:top w:val="dotted" w:color="000000" w:sz="4" w:space="0"/>
              <w:left w:val="dotted" w:color="000000" w:sz="4" w:space="0"/>
              <w:bottom w:val="dotted" w:color="000000" w:sz="4" w:space="0"/>
              <w:right w:val="dotted" w:color="000000" w:sz="4" w:space="0"/>
            </w:tcBorders>
            <w:noWrap w:val="0"/>
            <w:vAlign w:val="center"/>
          </w:tcPr>
          <w:p>
            <w:pPr>
              <w:widowControl/>
              <w:jc w:val="center"/>
              <w:textAlignment w:val="center"/>
              <w:rPr>
                <w:rFonts w:ascii="宋体" w:hAnsi="宋体" w:cs="仿宋"/>
                <w:color w:val="000000"/>
                <w:kern w:val="0"/>
                <w:sz w:val="20"/>
                <w:szCs w:val="20"/>
                <w:lang w:bidi="ar"/>
              </w:rPr>
            </w:pPr>
            <w:r>
              <w:rPr>
                <w:rFonts w:hint="eastAsia" w:ascii="宋体" w:hAnsi="宋体" w:cs="仿宋"/>
                <w:color w:val="000000"/>
                <w:kern w:val="0"/>
                <w:sz w:val="20"/>
                <w:szCs w:val="20"/>
                <w:lang w:bidi="ar"/>
              </w:rPr>
              <w:t>入户评估劳务费</w:t>
            </w:r>
          </w:p>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（人员工时费）</w:t>
            </w:r>
          </w:p>
        </w:tc>
        <w:tc>
          <w:tcPr>
            <w:tcW w:w="3027" w:type="dxa"/>
            <w:tcBorders>
              <w:top w:val="dotted" w:color="000000" w:sz="4" w:space="0"/>
              <w:left w:val="dotted" w:color="000000" w:sz="4" w:space="0"/>
              <w:bottom w:val="dotted" w:color="000000" w:sz="4" w:space="0"/>
              <w:right w:val="dotted" w:color="000000" w:sz="4" w:space="0"/>
            </w:tcBorders>
            <w:noWrap w:val="0"/>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3人*180次*200元=108000元</w:t>
            </w:r>
          </w:p>
        </w:tc>
        <w:tc>
          <w:tcPr>
            <w:tcW w:w="3026" w:type="dxa"/>
            <w:tcBorders>
              <w:top w:val="dotted" w:color="000000" w:sz="4" w:space="0"/>
              <w:left w:val="dotted" w:color="000000" w:sz="4" w:space="0"/>
              <w:bottom w:val="dotted" w:color="000000" w:sz="4" w:space="0"/>
              <w:right w:val="nil"/>
            </w:tcBorders>
            <w:noWrap w:val="0"/>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2人*483人*200元=193200元</w:t>
            </w:r>
          </w:p>
        </w:tc>
      </w:tr>
      <w:tr>
        <w:tblPrEx>
          <w:tblLayout w:type="fixed"/>
          <w:tblCellMar>
            <w:top w:w="0" w:type="dxa"/>
            <w:left w:w="108" w:type="dxa"/>
            <w:bottom w:w="0" w:type="dxa"/>
            <w:right w:w="108" w:type="dxa"/>
          </w:tblCellMar>
        </w:tblPrEx>
        <w:trPr>
          <w:trHeight w:val="565" w:hRule="atLeast"/>
        </w:trPr>
        <w:tc>
          <w:tcPr>
            <w:tcW w:w="759" w:type="dxa"/>
            <w:tcBorders>
              <w:top w:val="dotted" w:color="000000" w:sz="4" w:space="0"/>
              <w:left w:val="nil"/>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w:t>
            </w:r>
          </w:p>
        </w:tc>
        <w:tc>
          <w:tcPr>
            <w:tcW w:w="2153" w:type="dxa"/>
            <w:tcBorders>
              <w:top w:val="dotted" w:color="000000" w:sz="4" w:space="0"/>
              <w:left w:val="dotted" w:color="000000" w:sz="4" w:space="0"/>
              <w:bottom w:val="dotted" w:color="000000" w:sz="4" w:space="0"/>
              <w:right w:val="dotted" w:color="000000" w:sz="4" w:space="0"/>
            </w:tcBorders>
            <w:noWrap w:val="0"/>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系统台账信息维护</w:t>
            </w:r>
          </w:p>
        </w:tc>
        <w:tc>
          <w:tcPr>
            <w:tcW w:w="3027"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w:t>
            </w:r>
          </w:p>
        </w:tc>
        <w:tc>
          <w:tcPr>
            <w:tcW w:w="3026" w:type="dxa"/>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483人*100元=48300元</w:t>
            </w:r>
          </w:p>
        </w:tc>
      </w:tr>
      <w:tr>
        <w:tblPrEx>
          <w:tblLayout w:type="fixed"/>
          <w:tblCellMar>
            <w:top w:w="0" w:type="dxa"/>
            <w:left w:w="108" w:type="dxa"/>
            <w:bottom w:w="0" w:type="dxa"/>
            <w:right w:w="108" w:type="dxa"/>
          </w:tblCellMar>
        </w:tblPrEx>
        <w:trPr>
          <w:trHeight w:val="545" w:hRule="atLeast"/>
        </w:trPr>
        <w:tc>
          <w:tcPr>
            <w:tcW w:w="759" w:type="dxa"/>
            <w:tcBorders>
              <w:top w:val="dotted" w:color="000000" w:sz="4" w:space="0"/>
              <w:left w:val="nil"/>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3</w:t>
            </w:r>
          </w:p>
        </w:tc>
        <w:tc>
          <w:tcPr>
            <w:tcW w:w="2153"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交通费</w:t>
            </w:r>
          </w:p>
        </w:tc>
        <w:tc>
          <w:tcPr>
            <w:tcW w:w="3027" w:type="dxa"/>
            <w:tcBorders>
              <w:top w:val="dotted" w:color="000000" w:sz="4" w:space="0"/>
              <w:left w:val="dotted" w:color="000000" w:sz="4" w:space="0"/>
              <w:bottom w:val="dotted" w:color="000000" w:sz="4" w:space="0"/>
              <w:right w:val="dotted" w:color="000000" w:sz="4" w:space="0"/>
            </w:tcBorders>
            <w:noWrap w:val="0"/>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3人*120次*50元=18000元</w:t>
            </w:r>
          </w:p>
        </w:tc>
        <w:tc>
          <w:tcPr>
            <w:tcW w:w="3026" w:type="dxa"/>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966人次*5元=4830元</w:t>
            </w:r>
          </w:p>
        </w:tc>
      </w:tr>
      <w:tr>
        <w:tblPrEx>
          <w:tblLayout w:type="fixed"/>
          <w:tblCellMar>
            <w:top w:w="0" w:type="dxa"/>
            <w:left w:w="108" w:type="dxa"/>
            <w:bottom w:w="0" w:type="dxa"/>
            <w:right w:w="108" w:type="dxa"/>
          </w:tblCellMar>
        </w:tblPrEx>
        <w:trPr>
          <w:trHeight w:val="553" w:hRule="atLeast"/>
        </w:trPr>
        <w:tc>
          <w:tcPr>
            <w:tcW w:w="759" w:type="dxa"/>
            <w:tcBorders>
              <w:top w:val="dotted" w:color="000000" w:sz="4" w:space="0"/>
              <w:left w:val="nil"/>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4</w:t>
            </w:r>
          </w:p>
        </w:tc>
        <w:tc>
          <w:tcPr>
            <w:tcW w:w="2153"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通讯费</w:t>
            </w:r>
          </w:p>
        </w:tc>
        <w:tc>
          <w:tcPr>
            <w:tcW w:w="3027"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top"/>
              <w:rPr>
                <w:rFonts w:hint="eastAsia" w:ascii="宋体" w:hAnsi="宋体" w:cs="仿宋"/>
                <w:color w:val="000000"/>
                <w:sz w:val="20"/>
                <w:szCs w:val="20"/>
              </w:rPr>
            </w:pPr>
            <w:r>
              <w:rPr>
                <w:rFonts w:hint="eastAsia" w:ascii="宋体" w:hAnsi="宋体" w:cs="仿宋"/>
                <w:color w:val="000000"/>
                <w:kern w:val="0"/>
                <w:sz w:val="20"/>
                <w:szCs w:val="20"/>
                <w:lang w:bidi="ar"/>
              </w:rPr>
              <w:t>120次*15元=1800元</w:t>
            </w:r>
          </w:p>
        </w:tc>
        <w:tc>
          <w:tcPr>
            <w:tcW w:w="3026" w:type="dxa"/>
            <w:tcBorders>
              <w:top w:val="dotted" w:color="000000" w:sz="4" w:space="0"/>
              <w:left w:val="dotted" w:color="000000" w:sz="4" w:space="0"/>
              <w:bottom w:val="dotted" w:color="000000" w:sz="4" w:space="0"/>
              <w:right w:val="nil"/>
            </w:tcBorders>
            <w:noWrap/>
            <w:vAlign w:val="center"/>
          </w:tcPr>
          <w:p>
            <w:pPr>
              <w:widowControl/>
              <w:jc w:val="center"/>
              <w:textAlignment w:val="top"/>
              <w:rPr>
                <w:rFonts w:hint="eastAsia" w:ascii="宋体" w:hAnsi="宋体" w:cs="仿宋"/>
                <w:color w:val="000000"/>
                <w:sz w:val="20"/>
                <w:szCs w:val="20"/>
              </w:rPr>
            </w:pPr>
            <w:r>
              <w:rPr>
                <w:rFonts w:hint="eastAsia" w:ascii="宋体" w:hAnsi="宋体" w:cs="仿宋"/>
                <w:color w:val="000000"/>
                <w:kern w:val="0"/>
                <w:sz w:val="20"/>
                <w:szCs w:val="20"/>
                <w:lang w:bidi="ar"/>
              </w:rPr>
              <w:t>-</w:t>
            </w:r>
          </w:p>
        </w:tc>
      </w:tr>
      <w:tr>
        <w:tblPrEx>
          <w:tblLayout w:type="fixed"/>
          <w:tblCellMar>
            <w:top w:w="0" w:type="dxa"/>
            <w:left w:w="108" w:type="dxa"/>
            <w:bottom w:w="0" w:type="dxa"/>
            <w:right w:w="108" w:type="dxa"/>
          </w:tblCellMar>
        </w:tblPrEx>
        <w:trPr>
          <w:trHeight w:val="561" w:hRule="atLeast"/>
        </w:trPr>
        <w:tc>
          <w:tcPr>
            <w:tcW w:w="759" w:type="dxa"/>
            <w:tcBorders>
              <w:top w:val="dotted" w:color="000000" w:sz="4" w:space="0"/>
              <w:left w:val="nil"/>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5</w:t>
            </w:r>
          </w:p>
        </w:tc>
        <w:tc>
          <w:tcPr>
            <w:tcW w:w="2153"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打印费</w:t>
            </w:r>
          </w:p>
        </w:tc>
        <w:tc>
          <w:tcPr>
            <w:tcW w:w="3027"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top"/>
              <w:rPr>
                <w:rFonts w:hint="eastAsia" w:ascii="宋体" w:hAnsi="宋体" w:cs="仿宋"/>
                <w:color w:val="000000"/>
                <w:sz w:val="20"/>
                <w:szCs w:val="20"/>
              </w:rPr>
            </w:pPr>
            <w:r>
              <w:rPr>
                <w:rFonts w:hint="eastAsia" w:ascii="宋体" w:hAnsi="宋体" w:cs="仿宋"/>
                <w:color w:val="000000"/>
                <w:kern w:val="0"/>
                <w:sz w:val="20"/>
                <w:szCs w:val="20"/>
                <w:lang w:bidi="ar"/>
              </w:rPr>
              <w:t>120份*30元=3600元</w:t>
            </w:r>
          </w:p>
        </w:tc>
        <w:tc>
          <w:tcPr>
            <w:tcW w:w="3026" w:type="dxa"/>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483份*7元=3381元</w:t>
            </w:r>
          </w:p>
        </w:tc>
      </w:tr>
      <w:tr>
        <w:tblPrEx>
          <w:tblLayout w:type="fixed"/>
          <w:tblCellMar>
            <w:top w:w="0" w:type="dxa"/>
            <w:left w:w="108" w:type="dxa"/>
            <w:bottom w:w="0" w:type="dxa"/>
            <w:right w:w="108" w:type="dxa"/>
          </w:tblCellMar>
        </w:tblPrEx>
        <w:trPr>
          <w:trHeight w:val="555" w:hRule="atLeast"/>
        </w:trPr>
        <w:tc>
          <w:tcPr>
            <w:tcW w:w="759" w:type="dxa"/>
            <w:tcBorders>
              <w:top w:val="dotted" w:color="000000" w:sz="4" w:space="0"/>
              <w:left w:val="nil"/>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6</w:t>
            </w:r>
          </w:p>
        </w:tc>
        <w:tc>
          <w:tcPr>
            <w:tcW w:w="2153"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餐费</w:t>
            </w:r>
          </w:p>
        </w:tc>
        <w:tc>
          <w:tcPr>
            <w:tcW w:w="3027"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w:t>
            </w:r>
          </w:p>
        </w:tc>
        <w:tc>
          <w:tcPr>
            <w:tcW w:w="3026" w:type="dxa"/>
            <w:tcBorders>
              <w:top w:val="dotted" w:color="000000" w:sz="4" w:space="0"/>
              <w:left w:val="dotted" w:color="000000" w:sz="4" w:space="0"/>
              <w:bottom w:val="dotted" w:color="000000" w:sz="4" w:space="0"/>
              <w:right w:val="nil"/>
            </w:tcBorders>
            <w:noWrap/>
            <w:vAlign w:val="center"/>
          </w:tcPr>
          <w:p>
            <w:pPr>
              <w:widowControl/>
              <w:jc w:val="center"/>
              <w:textAlignment w:val="top"/>
              <w:rPr>
                <w:rFonts w:hint="eastAsia" w:ascii="宋体" w:hAnsi="宋体" w:cs="仿宋"/>
                <w:color w:val="000000"/>
                <w:sz w:val="20"/>
                <w:szCs w:val="20"/>
              </w:rPr>
            </w:pPr>
            <w:r>
              <w:rPr>
                <w:rFonts w:hint="eastAsia" w:ascii="宋体" w:hAnsi="宋体" w:cs="仿宋"/>
                <w:color w:val="000000"/>
                <w:kern w:val="0"/>
                <w:sz w:val="20"/>
                <w:szCs w:val="20"/>
                <w:lang w:bidi="ar"/>
              </w:rPr>
              <w:t>2人*249天*20元=9960元</w:t>
            </w:r>
          </w:p>
        </w:tc>
      </w:tr>
      <w:tr>
        <w:tblPrEx>
          <w:tblLayout w:type="fixed"/>
          <w:tblCellMar>
            <w:top w:w="0" w:type="dxa"/>
            <w:left w:w="108" w:type="dxa"/>
            <w:bottom w:w="0" w:type="dxa"/>
            <w:right w:w="108" w:type="dxa"/>
          </w:tblCellMar>
        </w:tblPrEx>
        <w:trPr>
          <w:trHeight w:val="418" w:hRule="atLeast"/>
        </w:trPr>
        <w:tc>
          <w:tcPr>
            <w:tcW w:w="2912" w:type="dxa"/>
            <w:gridSpan w:val="2"/>
            <w:tcBorders>
              <w:top w:val="dotted" w:color="000000" w:sz="4" w:space="0"/>
              <w:left w:val="nil"/>
              <w:bottom w:val="single" w:color="000000" w:sz="12" w:space="0"/>
              <w:right w:val="dotted" w:color="000000" w:sz="4" w:space="0"/>
            </w:tcBorders>
            <w:noWrap/>
            <w:vAlign w:val="center"/>
          </w:tcPr>
          <w:p>
            <w:pPr>
              <w:widowControl/>
              <w:jc w:val="center"/>
              <w:textAlignment w:val="center"/>
              <w:rPr>
                <w:rFonts w:hint="eastAsia" w:ascii="宋体" w:hAnsi="宋体" w:cs="仿宋"/>
                <w:b/>
                <w:color w:val="000000"/>
                <w:sz w:val="20"/>
                <w:szCs w:val="20"/>
              </w:rPr>
            </w:pPr>
            <w:r>
              <w:rPr>
                <w:rFonts w:hint="eastAsia" w:ascii="宋体" w:hAnsi="宋体" w:cs="仿宋"/>
                <w:b/>
                <w:color w:val="000000"/>
                <w:kern w:val="0"/>
                <w:sz w:val="20"/>
                <w:szCs w:val="20"/>
                <w:lang w:bidi="ar"/>
              </w:rPr>
              <w:t>合计</w:t>
            </w:r>
          </w:p>
        </w:tc>
        <w:tc>
          <w:tcPr>
            <w:tcW w:w="3027" w:type="dxa"/>
            <w:tcBorders>
              <w:top w:val="dotted" w:color="000000" w:sz="4" w:space="0"/>
              <w:left w:val="dotted" w:color="000000" w:sz="4" w:space="0"/>
              <w:bottom w:val="single" w:color="000000" w:sz="12" w:space="0"/>
              <w:right w:val="dotted" w:color="000000" w:sz="4" w:space="0"/>
            </w:tcBorders>
            <w:noWrap/>
            <w:vAlign w:val="center"/>
          </w:tcPr>
          <w:p>
            <w:pPr>
              <w:widowControl/>
              <w:jc w:val="center"/>
              <w:textAlignment w:val="center"/>
              <w:rPr>
                <w:rFonts w:hint="eastAsia" w:ascii="宋体" w:hAnsi="宋体" w:cs="仿宋"/>
                <w:b/>
                <w:color w:val="000000"/>
                <w:sz w:val="20"/>
                <w:szCs w:val="20"/>
              </w:rPr>
            </w:pPr>
            <w:r>
              <w:rPr>
                <w:rFonts w:hint="eastAsia" w:ascii="宋体" w:hAnsi="宋体" w:cs="仿宋"/>
                <w:b/>
                <w:color w:val="000000"/>
                <w:kern w:val="0"/>
                <w:sz w:val="20"/>
                <w:szCs w:val="20"/>
                <w:lang w:bidi="ar"/>
              </w:rPr>
              <w:t>131400</w:t>
            </w:r>
          </w:p>
        </w:tc>
        <w:tc>
          <w:tcPr>
            <w:tcW w:w="3026" w:type="dxa"/>
            <w:tcBorders>
              <w:top w:val="dotted" w:color="000000" w:sz="4" w:space="0"/>
              <w:left w:val="dotted" w:color="000000" w:sz="4" w:space="0"/>
              <w:bottom w:val="single" w:color="000000" w:sz="12" w:space="0"/>
              <w:right w:val="nil"/>
            </w:tcBorders>
            <w:noWrap w:val="0"/>
            <w:vAlign w:val="center"/>
          </w:tcPr>
          <w:p>
            <w:pPr>
              <w:widowControl/>
              <w:jc w:val="center"/>
              <w:textAlignment w:val="center"/>
              <w:rPr>
                <w:rFonts w:hint="eastAsia" w:ascii="宋体" w:hAnsi="宋体" w:cs="仿宋"/>
                <w:b/>
                <w:color w:val="000000"/>
                <w:sz w:val="20"/>
                <w:szCs w:val="20"/>
              </w:rPr>
            </w:pPr>
            <w:r>
              <w:rPr>
                <w:rFonts w:hint="eastAsia" w:ascii="宋体" w:hAnsi="宋体" w:cs="仿宋"/>
                <w:b/>
                <w:color w:val="000000"/>
                <w:kern w:val="0"/>
                <w:sz w:val="20"/>
                <w:szCs w:val="20"/>
                <w:lang w:bidi="ar"/>
              </w:rPr>
              <w:t>259671</w:t>
            </w:r>
          </w:p>
        </w:tc>
      </w:tr>
    </w:tbl>
    <w:p>
      <w:pPr>
        <w:pStyle w:val="10"/>
        <w:spacing w:before="0" w:beforeAutospacing="0" w:after="0" w:afterAutospacing="0" w:line="600" w:lineRule="exact"/>
        <w:ind w:firstLine="640" w:firstLineChars="200"/>
        <w:jc w:val="both"/>
        <w:rPr>
          <w:rFonts w:hint="eastAsia" w:ascii="仿宋" w:hAnsi="仿宋" w:eastAsia="仿宋" w:cs="仿宋"/>
          <w:bCs/>
          <w:spacing w:val="-4"/>
          <w:kern w:val="2"/>
          <w:sz w:val="32"/>
          <w:szCs w:val="32"/>
        </w:rPr>
      </w:pPr>
      <w:r>
        <w:rPr>
          <w:rFonts w:hint="eastAsia" w:ascii="仿宋" w:hAnsi="仿宋" w:eastAsia="仿宋" w:cs="仿宋"/>
          <w:sz w:val="32"/>
          <w:szCs w:val="32"/>
        </w:rPr>
        <w:t>一是需求评估工作</w:t>
      </w:r>
      <w:r>
        <w:rPr>
          <w:rFonts w:hint="eastAsia" w:ascii="仿宋" w:hAnsi="仿宋" w:eastAsia="仿宋" w:cs="仿宋"/>
          <w:spacing w:val="-4"/>
          <w:kern w:val="2"/>
          <w:sz w:val="32"/>
          <w:szCs w:val="32"/>
        </w:rPr>
        <w:t>主要成本如下：</w:t>
      </w:r>
      <w:r>
        <w:rPr>
          <w:rFonts w:hint="eastAsia" w:ascii="仿宋" w:hAnsi="仿宋" w:eastAsia="仿宋" w:cs="仿宋"/>
          <w:bCs/>
          <w:spacing w:val="-4"/>
          <w:kern w:val="2"/>
          <w:sz w:val="32"/>
          <w:szCs w:val="32"/>
        </w:rPr>
        <w:t>一是入户评估劳务费人员工时费</w:t>
      </w:r>
      <w:r>
        <w:rPr>
          <w:rFonts w:hint="eastAsia" w:ascii="仿宋" w:hAnsi="仿宋" w:eastAsia="仿宋" w:cs="仿宋"/>
          <w:spacing w:val="-4"/>
          <w:kern w:val="2"/>
          <w:sz w:val="32"/>
          <w:szCs w:val="32"/>
        </w:rPr>
        <w:t>：2022年入户评估劳务费人员工时费3人*180次*200元=108000元；2023年度每人次单价200元，总计966人次，入户评估劳务费总价为200元*2人*483人次=193200元。根据第三方公司提交的过程留痕资料，</w:t>
      </w:r>
      <w:r>
        <w:rPr>
          <w:rFonts w:hint="eastAsia" w:ascii="仿宋" w:hAnsi="仿宋" w:eastAsia="仿宋" w:cs="仿宋"/>
          <w:sz w:val="32"/>
          <w:szCs w:val="32"/>
        </w:rPr>
        <w:t>核算人员成本时，参考</w:t>
      </w:r>
      <w:r>
        <w:rPr>
          <w:rFonts w:hint="eastAsia" w:ascii="仿宋" w:hAnsi="仿宋" w:eastAsia="仿宋" w:cs="仿宋"/>
          <w:spacing w:val="-4"/>
          <w:kern w:val="2"/>
          <w:sz w:val="32"/>
          <w:szCs w:val="32"/>
        </w:rPr>
        <w:t>《政府购买社会工作服务预算测算参考标准</w:t>
      </w:r>
      <w:r>
        <w:rPr>
          <w:rFonts w:hint="eastAsia" w:ascii="仿宋" w:hAnsi="仿宋" w:eastAsia="仿宋" w:cs="仿宋"/>
          <w:sz w:val="32"/>
          <w:szCs w:val="32"/>
        </w:rPr>
        <w:t>》（北京市委社会工委市民政局2022年6月30日印发）中关于人力成本费用的相关规定测算，结合2022-2023年度工作内容及实际工作量核查</w:t>
      </w:r>
      <w:r>
        <w:rPr>
          <w:rFonts w:hint="eastAsia" w:ascii="仿宋" w:hAnsi="仿宋" w:eastAsia="仿宋" w:cs="仿宋"/>
          <w:spacing w:val="-4"/>
          <w:kern w:val="2"/>
          <w:sz w:val="32"/>
          <w:szCs w:val="32"/>
        </w:rPr>
        <w:t>，</w:t>
      </w:r>
      <w:r>
        <w:rPr>
          <w:rFonts w:hint="eastAsia" w:ascii="仿宋" w:hAnsi="仿宋" w:eastAsia="仿宋" w:cs="仿宋"/>
          <w:sz w:val="32"/>
          <w:szCs w:val="32"/>
        </w:rPr>
        <w:t>且参考西城区各街道同类项目服务内容及费用，经分析，建议</w:t>
      </w:r>
      <w:r>
        <w:rPr>
          <w:rFonts w:hint="eastAsia" w:ascii="仿宋" w:hAnsi="仿宋" w:eastAsia="仿宋" w:cs="仿宋"/>
          <w:bCs/>
          <w:spacing w:val="-4"/>
          <w:kern w:val="2"/>
          <w:sz w:val="32"/>
          <w:szCs w:val="32"/>
        </w:rPr>
        <w:t>入</w:t>
      </w:r>
      <w:r>
        <w:rPr>
          <w:rFonts w:hint="eastAsia" w:ascii="仿宋" w:hAnsi="仿宋" w:eastAsia="仿宋" w:cs="仿宋"/>
          <w:sz w:val="32"/>
          <w:szCs w:val="32"/>
        </w:rPr>
        <w:t>户评估劳务费人员工时</w:t>
      </w:r>
      <w:r>
        <w:rPr>
          <w:rFonts w:hint="eastAsia" w:ascii="仿宋" w:hAnsi="仿宋" w:eastAsia="仿宋" w:cs="仿宋"/>
          <w:bCs/>
          <w:spacing w:val="-4"/>
          <w:kern w:val="2"/>
          <w:sz w:val="32"/>
          <w:szCs w:val="32"/>
        </w:rPr>
        <w:t>费按200元/人次出具单项定额。</w:t>
      </w:r>
    </w:p>
    <w:p>
      <w:pPr>
        <w:pStyle w:val="2"/>
        <w:spacing w:line="600" w:lineRule="exact"/>
        <w:ind w:firstLine="624"/>
        <w:rPr>
          <w:rFonts w:hint="eastAsia" w:ascii="仿宋" w:hAnsi="仿宋" w:eastAsia="仿宋" w:cs="仿宋"/>
          <w:kern w:val="0"/>
          <w:sz w:val="32"/>
          <w:szCs w:val="32"/>
        </w:rPr>
      </w:pPr>
      <w:r>
        <w:rPr>
          <w:rFonts w:hint="eastAsia" w:ascii="仿宋" w:hAnsi="仿宋" w:eastAsia="仿宋" w:cs="仿宋"/>
          <w:bCs/>
          <w:spacing w:val="-4"/>
          <w:sz w:val="32"/>
          <w:szCs w:val="32"/>
        </w:rPr>
        <w:t>二是系统台账信息维护费</w:t>
      </w:r>
      <w:r>
        <w:rPr>
          <w:rFonts w:hint="eastAsia" w:ascii="仿宋" w:hAnsi="仿宋" w:eastAsia="仿宋" w:cs="仿宋"/>
          <w:spacing w:val="-4"/>
          <w:sz w:val="32"/>
          <w:szCs w:val="32"/>
        </w:rPr>
        <w:t>主要是对月坛街道低保低收入人员进行系统台账信息维护工作，该项内容</w:t>
      </w:r>
      <w:r>
        <w:rPr>
          <w:rFonts w:hint="eastAsia" w:ascii="仿宋" w:hAnsi="仿宋" w:eastAsia="仿宋" w:cs="仿宋"/>
          <w:bCs/>
          <w:spacing w:val="-4"/>
          <w:sz w:val="32"/>
          <w:szCs w:val="32"/>
        </w:rPr>
        <w:t>2022年度为单独</w:t>
      </w:r>
      <w:r>
        <w:rPr>
          <w:rFonts w:hint="eastAsia" w:ascii="仿宋" w:hAnsi="仿宋" w:eastAsia="仿宋" w:cs="仿宋"/>
          <w:spacing w:val="-4"/>
          <w:sz w:val="32"/>
          <w:szCs w:val="32"/>
        </w:rPr>
        <w:t>申请共计180000元，主要包括完善档案（3人*120次*100元=36000元）、信息更新（3人*120次*200元=72000元）以及系统维护（3人*120次*200元=72000元）。此项成本2022年</w:t>
      </w:r>
      <w:r>
        <w:rPr>
          <w:rFonts w:hint="eastAsia" w:ascii="仿宋" w:hAnsi="仿宋" w:eastAsia="仿宋" w:cs="仿宋"/>
          <w:kern w:val="0"/>
          <w:sz w:val="32"/>
          <w:szCs w:val="32"/>
        </w:rPr>
        <w:t xml:space="preserve">费用申报详见表6： </w:t>
      </w:r>
    </w:p>
    <w:p>
      <w:pPr>
        <w:pStyle w:val="2"/>
        <w:spacing w:line="600" w:lineRule="exact"/>
        <w:ind w:firstLine="0" w:firstLineChars="0"/>
        <w:jc w:val="center"/>
        <w:rPr>
          <w:rFonts w:hint="eastAsia" w:ascii="宋体" w:hAnsi="宋体" w:cs="宋体"/>
          <w:bCs/>
          <w:sz w:val="20"/>
          <w:szCs w:val="20"/>
        </w:rPr>
      </w:pPr>
      <w:r>
        <w:rPr>
          <w:rFonts w:hint="eastAsia" w:ascii="黑体" w:hAnsi="黑体" w:eastAsia="黑体"/>
          <w:sz w:val="28"/>
          <w:szCs w:val="28"/>
        </w:rPr>
        <w:t xml:space="preserve">表6  2022年度数据维护工作成本情况表  </w:t>
      </w:r>
      <w:r>
        <w:rPr>
          <w:rFonts w:hint="eastAsia" w:ascii="宋体" w:hAnsi="宋体" w:cs="宋体"/>
          <w:b/>
          <w:bCs/>
          <w:spacing w:val="-4"/>
          <w:sz w:val="24"/>
        </w:rPr>
        <w:t xml:space="preserve"> </w:t>
      </w:r>
      <w:r>
        <w:rPr>
          <w:rFonts w:hint="eastAsia" w:ascii="宋体" w:hAnsi="宋体" w:cs="宋体"/>
          <w:bCs/>
          <w:spacing w:val="-4"/>
          <w:sz w:val="20"/>
          <w:szCs w:val="20"/>
        </w:rPr>
        <w:t xml:space="preserve">   单位：元</w:t>
      </w:r>
    </w:p>
    <w:tbl>
      <w:tblPr>
        <w:tblStyle w:val="12"/>
        <w:tblW w:w="8422" w:type="dxa"/>
        <w:tblInd w:w="100" w:type="dxa"/>
        <w:tblLayout w:type="fixed"/>
        <w:tblCellMar>
          <w:top w:w="0" w:type="dxa"/>
          <w:left w:w="108" w:type="dxa"/>
          <w:bottom w:w="0" w:type="dxa"/>
          <w:right w:w="108" w:type="dxa"/>
        </w:tblCellMar>
      </w:tblPr>
      <w:tblGrid>
        <w:gridCol w:w="658"/>
        <w:gridCol w:w="3603"/>
        <w:gridCol w:w="1276"/>
        <w:gridCol w:w="2885"/>
      </w:tblGrid>
      <w:tr>
        <w:tblPrEx>
          <w:tblLayout w:type="fixed"/>
          <w:tblCellMar>
            <w:top w:w="0" w:type="dxa"/>
            <w:left w:w="108" w:type="dxa"/>
            <w:bottom w:w="0" w:type="dxa"/>
            <w:right w:w="108" w:type="dxa"/>
          </w:tblCellMar>
        </w:tblPrEx>
        <w:trPr>
          <w:trHeight w:val="481" w:hRule="atLeast"/>
        </w:trPr>
        <w:tc>
          <w:tcPr>
            <w:tcW w:w="658" w:type="dxa"/>
            <w:tcBorders>
              <w:top w:val="single" w:color="auto" w:sz="12" w:space="0"/>
              <w:left w:val="nil"/>
              <w:bottom w:val="dotted" w:color="auto" w:sz="4" w:space="0"/>
              <w:right w:val="dotted" w:color="auto"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3603" w:type="dxa"/>
            <w:tcBorders>
              <w:top w:val="single" w:color="auto" w:sz="12" w:space="0"/>
              <w:left w:val="dotted" w:color="auto" w:sz="4" w:space="0"/>
              <w:bottom w:val="dotted" w:color="auto" w:sz="4" w:space="0"/>
              <w:right w:val="dotted" w:color="auto" w:sz="4" w:space="0"/>
            </w:tcBorders>
            <w:noWrap/>
            <w:vAlign w:val="center"/>
          </w:tcPr>
          <w:p>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工作内容</w:t>
            </w:r>
          </w:p>
        </w:tc>
        <w:tc>
          <w:tcPr>
            <w:tcW w:w="1276" w:type="dxa"/>
            <w:tcBorders>
              <w:top w:val="single" w:color="auto" w:sz="12" w:space="0"/>
              <w:left w:val="dotted" w:color="auto" w:sz="4" w:space="0"/>
              <w:bottom w:val="dotted" w:color="auto" w:sz="4" w:space="0"/>
              <w:right w:val="dotted" w:color="auto"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明细</w:t>
            </w:r>
          </w:p>
        </w:tc>
        <w:tc>
          <w:tcPr>
            <w:tcW w:w="2885" w:type="dxa"/>
            <w:tcBorders>
              <w:top w:val="single" w:color="auto" w:sz="12" w:space="0"/>
              <w:left w:val="dotted" w:color="auto" w:sz="4" w:space="0"/>
              <w:bottom w:val="dotted" w:color="auto" w:sz="4" w:space="0"/>
              <w:right w:val="nil"/>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2022年度申报明细</w:t>
            </w:r>
          </w:p>
        </w:tc>
      </w:tr>
      <w:tr>
        <w:tblPrEx>
          <w:tblLayout w:type="fixed"/>
          <w:tblCellMar>
            <w:top w:w="0" w:type="dxa"/>
            <w:left w:w="108" w:type="dxa"/>
            <w:bottom w:w="0" w:type="dxa"/>
            <w:right w:w="108" w:type="dxa"/>
          </w:tblCellMar>
        </w:tblPrEx>
        <w:trPr>
          <w:trHeight w:val="531" w:hRule="atLeast"/>
        </w:trPr>
        <w:tc>
          <w:tcPr>
            <w:tcW w:w="658" w:type="dxa"/>
            <w:tcBorders>
              <w:top w:val="dotted" w:color="auto" w:sz="4" w:space="0"/>
              <w:left w:val="nil"/>
              <w:bottom w:val="dotted" w:color="auto" w:sz="4" w:space="0"/>
              <w:right w:val="dotted" w:color="auto"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1</w:t>
            </w:r>
          </w:p>
        </w:tc>
        <w:tc>
          <w:tcPr>
            <w:tcW w:w="3603" w:type="dxa"/>
            <w:tcBorders>
              <w:top w:val="dotted" w:color="auto" w:sz="4" w:space="0"/>
              <w:left w:val="dotted" w:color="auto" w:sz="4" w:space="0"/>
              <w:bottom w:val="dotted" w:color="auto" w:sz="4" w:space="0"/>
              <w:right w:val="dotted" w:color="auto" w:sz="4" w:space="0"/>
            </w:tcBorders>
            <w:noWrap w:val="0"/>
            <w:vAlign w:val="center"/>
          </w:tcPr>
          <w:p>
            <w:pPr>
              <w:widowControl/>
              <w:jc w:val="left"/>
              <w:textAlignment w:val="center"/>
              <w:rPr>
                <w:rFonts w:hint="eastAsia" w:ascii="宋体" w:hAnsi="宋体" w:cs="仿宋"/>
                <w:color w:val="000000"/>
                <w:kern w:val="0"/>
                <w:sz w:val="20"/>
                <w:szCs w:val="20"/>
                <w:lang w:bidi="ar"/>
              </w:rPr>
            </w:pPr>
            <w:r>
              <w:rPr>
                <w:rFonts w:hint="eastAsia" w:ascii="宋体" w:hAnsi="宋体" w:cs="仿宋"/>
                <w:color w:val="000000"/>
                <w:kern w:val="0"/>
                <w:sz w:val="20"/>
                <w:szCs w:val="20"/>
                <w:lang w:bidi="ar"/>
              </w:rPr>
              <w:t>为困难群众建档，信息填写完整、准确</w:t>
            </w:r>
          </w:p>
        </w:tc>
        <w:tc>
          <w:tcPr>
            <w:tcW w:w="1276" w:type="dxa"/>
            <w:tcBorders>
              <w:top w:val="dotted" w:color="auto" w:sz="4" w:space="0"/>
              <w:left w:val="dotted" w:color="auto" w:sz="4" w:space="0"/>
              <w:bottom w:val="dotted" w:color="auto" w:sz="4" w:space="0"/>
              <w:right w:val="dotted" w:color="auto" w:sz="4" w:space="0"/>
            </w:tcBorders>
            <w:noWrap w:val="0"/>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完善档案</w:t>
            </w:r>
          </w:p>
        </w:tc>
        <w:tc>
          <w:tcPr>
            <w:tcW w:w="2885" w:type="dxa"/>
            <w:tcBorders>
              <w:top w:val="dotted" w:color="auto" w:sz="4" w:space="0"/>
              <w:left w:val="dotted" w:color="auto" w:sz="4" w:space="0"/>
              <w:bottom w:val="dotted" w:color="auto" w:sz="4" w:space="0"/>
              <w:right w:val="nil"/>
            </w:tcBorders>
            <w:noWrap w:val="0"/>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3人*120次*100元=36000元</w:t>
            </w:r>
          </w:p>
        </w:tc>
      </w:tr>
      <w:tr>
        <w:tblPrEx>
          <w:tblLayout w:type="fixed"/>
          <w:tblCellMar>
            <w:top w:w="0" w:type="dxa"/>
            <w:left w:w="108" w:type="dxa"/>
            <w:bottom w:w="0" w:type="dxa"/>
            <w:right w:w="108" w:type="dxa"/>
          </w:tblCellMar>
        </w:tblPrEx>
        <w:trPr>
          <w:trHeight w:val="1123" w:hRule="atLeast"/>
        </w:trPr>
        <w:tc>
          <w:tcPr>
            <w:tcW w:w="658" w:type="dxa"/>
            <w:tcBorders>
              <w:top w:val="dotted" w:color="auto" w:sz="4" w:space="0"/>
              <w:left w:val="nil"/>
              <w:bottom w:val="dotted" w:color="auto" w:sz="4" w:space="0"/>
              <w:right w:val="dotted" w:color="auto"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2</w:t>
            </w:r>
          </w:p>
        </w:tc>
        <w:tc>
          <w:tcPr>
            <w:tcW w:w="3603" w:type="dxa"/>
            <w:tcBorders>
              <w:top w:val="dotted" w:color="auto" w:sz="4" w:space="0"/>
              <w:left w:val="dotted" w:color="auto" w:sz="4" w:space="0"/>
              <w:bottom w:val="dotted" w:color="auto" w:sz="4" w:space="0"/>
              <w:right w:val="dotted" w:color="auto" w:sz="4" w:space="0"/>
            </w:tcBorders>
            <w:noWrap w:val="0"/>
            <w:vAlign w:val="center"/>
          </w:tcPr>
          <w:p>
            <w:pPr>
              <w:widowControl/>
              <w:jc w:val="left"/>
              <w:textAlignment w:val="center"/>
              <w:rPr>
                <w:rFonts w:hint="eastAsia" w:ascii="宋体" w:hAnsi="宋体" w:cs="仿宋"/>
                <w:color w:val="000000"/>
                <w:kern w:val="0"/>
                <w:sz w:val="20"/>
                <w:szCs w:val="20"/>
                <w:lang w:bidi="ar"/>
              </w:rPr>
            </w:pPr>
            <w:r>
              <w:rPr>
                <w:rFonts w:hint="eastAsia" w:ascii="宋体" w:hAnsi="宋体" w:cs="仿宋"/>
                <w:color w:val="000000"/>
                <w:kern w:val="0"/>
                <w:sz w:val="20"/>
                <w:szCs w:val="20"/>
                <w:lang w:bidi="ar"/>
              </w:rPr>
              <w:t>通过电话访谈等形式，对困难群众信息及需求进行动态追踪，实时更新</w:t>
            </w:r>
          </w:p>
        </w:tc>
        <w:tc>
          <w:tcPr>
            <w:tcW w:w="1276" w:type="dxa"/>
            <w:tcBorders>
              <w:top w:val="dotted" w:color="auto" w:sz="4" w:space="0"/>
              <w:left w:val="dotted" w:color="auto" w:sz="4" w:space="0"/>
              <w:bottom w:val="dotted" w:color="auto" w:sz="4" w:space="0"/>
              <w:right w:val="dotted" w:color="auto" w:sz="4" w:space="0"/>
            </w:tcBorders>
            <w:noWrap w:val="0"/>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信息更新</w:t>
            </w:r>
          </w:p>
        </w:tc>
        <w:tc>
          <w:tcPr>
            <w:tcW w:w="2885" w:type="dxa"/>
            <w:tcBorders>
              <w:top w:val="dotted" w:color="auto" w:sz="4" w:space="0"/>
              <w:left w:val="dotted" w:color="auto" w:sz="4" w:space="0"/>
              <w:bottom w:val="dotted" w:color="auto" w:sz="4" w:space="0"/>
              <w:right w:val="nil"/>
            </w:tcBorders>
            <w:noWrap w:val="0"/>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3人*120次*200元=72000元</w:t>
            </w:r>
          </w:p>
        </w:tc>
      </w:tr>
      <w:tr>
        <w:tblPrEx>
          <w:tblLayout w:type="fixed"/>
          <w:tblCellMar>
            <w:top w:w="0" w:type="dxa"/>
            <w:left w:w="108" w:type="dxa"/>
            <w:bottom w:w="0" w:type="dxa"/>
            <w:right w:w="108" w:type="dxa"/>
          </w:tblCellMar>
        </w:tblPrEx>
        <w:trPr>
          <w:trHeight w:val="696" w:hRule="atLeast"/>
        </w:trPr>
        <w:tc>
          <w:tcPr>
            <w:tcW w:w="658" w:type="dxa"/>
            <w:tcBorders>
              <w:top w:val="dotted" w:color="auto" w:sz="4" w:space="0"/>
              <w:left w:val="nil"/>
              <w:bottom w:val="dotted" w:color="auto" w:sz="4" w:space="0"/>
              <w:right w:val="dotted" w:color="auto" w:sz="4" w:space="0"/>
            </w:tcBorders>
            <w:noWrap/>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3</w:t>
            </w:r>
          </w:p>
        </w:tc>
        <w:tc>
          <w:tcPr>
            <w:tcW w:w="3603" w:type="dxa"/>
            <w:tcBorders>
              <w:top w:val="dotted" w:color="auto" w:sz="4" w:space="0"/>
              <w:left w:val="dotted" w:color="auto" w:sz="4" w:space="0"/>
              <w:bottom w:val="dotted" w:color="auto" w:sz="4" w:space="0"/>
              <w:right w:val="dotted" w:color="auto" w:sz="4" w:space="0"/>
            </w:tcBorders>
            <w:noWrap/>
            <w:vAlign w:val="center"/>
          </w:tcPr>
          <w:p>
            <w:pPr>
              <w:widowControl/>
              <w:jc w:val="left"/>
              <w:textAlignment w:val="center"/>
              <w:rPr>
                <w:rFonts w:hint="eastAsia" w:ascii="宋体" w:hAnsi="宋体" w:cs="仿宋"/>
                <w:color w:val="000000"/>
                <w:kern w:val="0"/>
                <w:sz w:val="20"/>
                <w:szCs w:val="20"/>
                <w:lang w:bidi="ar"/>
              </w:rPr>
            </w:pPr>
            <w:r>
              <w:rPr>
                <w:rFonts w:hint="eastAsia" w:ascii="宋体" w:hAnsi="宋体" w:cs="仿宋"/>
                <w:color w:val="000000"/>
                <w:kern w:val="0"/>
                <w:sz w:val="20"/>
                <w:szCs w:val="20"/>
                <w:lang w:bidi="ar"/>
              </w:rPr>
              <w:t>将需求评估数据录入，进行系统维护</w:t>
            </w:r>
          </w:p>
        </w:tc>
        <w:tc>
          <w:tcPr>
            <w:tcW w:w="1276" w:type="dxa"/>
            <w:tcBorders>
              <w:top w:val="dotted" w:color="auto" w:sz="4" w:space="0"/>
              <w:left w:val="dotted" w:color="auto" w:sz="4" w:space="0"/>
              <w:bottom w:val="dotted" w:color="auto" w:sz="4" w:space="0"/>
              <w:right w:val="dotted" w:color="auto" w:sz="4" w:space="0"/>
            </w:tcBorders>
            <w:noWrap w:val="0"/>
            <w:vAlign w:val="center"/>
          </w:tcPr>
          <w:p>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系统维护</w:t>
            </w:r>
          </w:p>
        </w:tc>
        <w:tc>
          <w:tcPr>
            <w:tcW w:w="2885" w:type="dxa"/>
            <w:tcBorders>
              <w:top w:val="dotted" w:color="auto" w:sz="4" w:space="0"/>
              <w:left w:val="dotted" w:color="auto" w:sz="4" w:space="0"/>
              <w:bottom w:val="dotted" w:color="auto" w:sz="4" w:space="0"/>
              <w:right w:val="nil"/>
            </w:tcBorders>
            <w:noWrap w:val="0"/>
            <w:vAlign w:val="center"/>
          </w:tcPr>
          <w:p>
            <w:pPr>
              <w:widowControl/>
              <w:jc w:val="left"/>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3人*120次*200元=72000元</w:t>
            </w:r>
          </w:p>
        </w:tc>
      </w:tr>
      <w:tr>
        <w:tblPrEx>
          <w:tblLayout w:type="fixed"/>
          <w:tblCellMar>
            <w:top w:w="0" w:type="dxa"/>
            <w:left w:w="108" w:type="dxa"/>
            <w:bottom w:w="0" w:type="dxa"/>
            <w:right w:w="108" w:type="dxa"/>
          </w:tblCellMar>
        </w:tblPrEx>
        <w:trPr>
          <w:trHeight w:val="413" w:hRule="atLeast"/>
        </w:trPr>
        <w:tc>
          <w:tcPr>
            <w:tcW w:w="4261" w:type="dxa"/>
            <w:gridSpan w:val="2"/>
            <w:tcBorders>
              <w:top w:val="dotted" w:color="auto" w:sz="4" w:space="0"/>
              <w:left w:val="nil"/>
              <w:bottom w:val="single" w:color="auto" w:sz="12" w:space="0"/>
              <w:right w:val="dotted" w:color="auto" w:sz="4" w:space="0"/>
            </w:tcBorders>
            <w:noWrap/>
            <w:vAlign w:val="center"/>
          </w:tcPr>
          <w:p>
            <w:pPr>
              <w:widowControl/>
              <w:jc w:val="center"/>
              <w:textAlignment w:val="center"/>
              <w:rPr>
                <w:rFonts w:hint="eastAsia" w:ascii="宋体" w:hAnsi="宋体" w:cs="仿宋"/>
                <w:b/>
                <w:color w:val="000000"/>
                <w:sz w:val="20"/>
                <w:szCs w:val="20"/>
              </w:rPr>
            </w:pPr>
            <w:r>
              <w:rPr>
                <w:rFonts w:hint="eastAsia" w:ascii="宋体" w:hAnsi="宋体" w:cs="仿宋"/>
                <w:b/>
                <w:color w:val="000000"/>
                <w:kern w:val="0"/>
                <w:sz w:val="20"/>
                <w:szCs w:val="20"/>
                <w:lang w:bidi="ar"/>
              </w:rPr>
              <w:t>合计</w:t>
            </w:r>
          </w:p>
        </w:tc>
        <w:tc>
          <w:tcPr>
            <w:tcW w:w="1276" w:type="dxa"/>
            <w:tcBorders>
              <w:top w:val="dotted" w:color="auto" w:sz="4" w:space="0"/>
              <w:left w:val="dotted" w:color="auto" w:sz="4" w:space="0"/>
              <w:bottom w:val="single" w:color="auto" w:sz="12" w:space="0"/>
              <w:right w:val="dotted" w:color="auto" w:sz="4" w:space="0"/>
            </w:tcBorders>
            <w:noWrap/>
            <w:vAlign w:val="center"/>
          </w:tcPr>
          <w:p>
            <w:pPr>
              <w:widowControl/>
              <w:jc w:val="center"/>
              <w:textAlignment w:val="center"/>
              <w:rPr>
                <w:rFonts w:hint="eastAsia" w:ascii="宋体" w:hAnsi="宋体" w:cs="仿宋"/>
                <w:b/>
                <w:color w:val="000000"/>
                <w:kern w:val="0"/>
                <w:sz w:val="20"/>
                <w:szCs w:val="20"/>
                <w:lang w:bidi="ar"/>
              </w:rPr>
            </w:pPr>
          </w:p>
        </w:tc>
        <w:tc>
          <w:tcPr>
            <w:tcW w:w="2885" w:type="dxa"/>
            <w:tcBorders>
              <w:top w:val="dotted" w:color="auto" w:sz="4" w:space="0"/>
              <w:left w:val="dotted" w:color="auto" w:sz="4" w:space="0"/>
              <w:bottom w:val="single" w:color="auto" w:sz="12" w:space="0"/>
              <w:right w:val="nil"/>
            </w:tcBorders>
            <w:noWrap/>
            <w:vAlign w:val="center"/>
          </w:tcPr>
          <w:p>
            <w:pPr>
              <w:widowControl/>
              <w:jc w:val="center"/>
              <w:textAlignment w:val="center"/>
              <w:rPr>
                <w:rFonts w:hint="eastAsia" w:ascii="宋体" w:hAnsi="宋体" w:cs="仿宋"/>
                <w:b/>
                <w:color w:val="000000"/>
                <w:sz w:val="20"/>
                <w:szCs w:val="20"/>
              </w:rPr>
            </w:pPr>
            <w:r>
              <w:rPr>
                <w:rFonts w:hint="eastAsia" w:ascii="宋体" w:hAnsi="宋体" w:cs="仿宋"/>
                <w:b/>
                <w:color w:val="000000"/>
                <w:kern w:val="0"/>
                <w:sz w:val="20"/>
                <w:szCs w:val="20"/>
                <w:lang w:bidi="ar"/>
              </w:rPr>
              <w:t>180000</w:t>
            </w:r>
          </w:p>
        </w:tc>
      </w:tr>
    </w:tbl>
    <w:p>
      <w:pPr>
        <w:pStyle w:val="2"/>
        <w:spacing w:line="600" w:lineRule="exact"/>
        <w:ind w:firstLine="624"/>
        <w:rPr>
          <w:rFonts w:hint="eastAsia" w:ascii="仿宋" w:hAnsi="仿宋" w:eastAsia="仿宋" w:cs="仿宋"/>
          <w:kern w:val="0"/>
          <w:sz w:val="32"/>
          <w:szCs w:val="32"/>
        </w:rPr>
      </w:pPr>
      <w:r>
        <w:rPr>
          <w:rFonts w:hint="eastAsia" w:ascii="仿宋" w:hAnsi="仿宋" w:eastAsia="仿宋" w:cs="仿宋"/>
          <w:spacing w:val="-4"/>
          <w:sz w:val="32"/>
          <w:szCs w:val="32"/>
        </w:rPr>
        <w:t>工作组结合第三方提交的佐证资料以及工作量等并结合</w:t>
      </w:r>
      <w:r>
        <w:rPr>
          <w:rFonts w:hint="eastAsia" w:ascii="仿宋" w:hAnsi="仿宋" w:eastAsia="仿宋" w:cs="仿宋"/>
          <w:kern w:val="0"/>
          <w:sz w:val="32"/>
          <w:szCs w:val="32"/>
        </w:rPr>
        <w:t>西城区其他街道同类项目服务内容对比</w:t>
      </w:r>
      <w:r>
        <w:rPr>
          <w:rFonts w:hint="eastAsia" w:ascii="仿宋" w:hAnsi="仿宋" w:eastAsia="仿宋" w:cs="仿宋"/>
          <w:spacing w:val="-4"/>
          <w:sz w:val="32"/>
          <w:szCs w:val="32"/>
        </w:rPr>
        <w:t>判断，2022年度申报的完善档案（3人*120次*100元）、信息更新（3人*120次*200元）以及系统维护（3人*120次*200元）成本高于2023</w:t>
      </w:r>
      <w:r>
        <w:rPr>
          <w:rFonts w:hint="eastAsia" w:ascii="仿宋" w:hAnsi="仿宋" w:eastAsia="仿宋" w:cs="仿宋"/>
          <w:kern w:val="0"/>
          <w:sz w:val="32"/>
          <w:szCs w:val="32"/>
        </w:rPr>
        <w:t>年度（483人*100元=48300元）</w:t>
      </w:r>
      <w:r>
        <w:rPr>
          <w:rFonts w:hint="eastAsia" w:ascii="仿宋" w:hAnsi="仿宋" w:eastAsia="仿宋" w:cs="仿宋"/>
          <w:spacing w:val="-4"/>
          <w:sz w:val="32"/>
          <w:szCs w:val="32"/>
        </w:rPr>
        <w:t>，因此项工作存在变量，实际成本根据工作量确定，不纳入定额成本分析。</w:t>
      </w:r>
    </w:p>
    <w:p>
      <w:pPr>
        <w:pStyle w:val="2"/>
        <w:spacing w:line="600" w:lineRule="exact"/>
        <w:ind w:firstLine="624"/>
        <w:rPr>
          <w:rFonts w:hint="eastAsia" w:ascii="仿宋" w:hAnsi="仿宋" w:eastAsia="仿宋" w:cs="仿宋"/>
          <w:spacing w:val="-4"/>
          <w:sz w:val="32"/>
          <w:szCs w:val="32"/>
        </w:rPr>
      </w:pPr>
      <w:r>
        <w:rPr>
          <w:rFonts w:hint="eastAsia" w:ascii="仿宋" w:hAnsi="仿宋" w:eastAsia="仿宋" w:cs="仿宋"/>
          <w:spacing w:val="-4"/>
          <w:sz w:val="32"/>
          <w:szCs w:val="32"/>
        </w:rPr>
        <w:t>三是在项目执行过程中发生的交通费、打印费、餐费等具体明细见表5  需求评估工作成本情况表明细，分析如下：</w:t>
      </w:r>
    </w:p>
    <w:p>
      <w:pPr>
        <w:pStyle w:val="2"/>
        <w:spacing w:line="600" w:lineRule="exact"/>
        <w:ind w:firstLine="624"/>
        <w:rPr>
          <w:rFonts w:hint="eastAsia" w:ascii="仿宋" w:hAnsi="仿宋" w:eastAsia="仿宋" w:cs="仿宋"/>
          <w:spacing w:val="-4"/>
          <w:sz w:val="32"/>
          <w:szCs w:val="32"/>
        </w:rPr>
      </w:pPr>
      <w:r>
        <w:rPr>
          <w:rFonts w:hint="eastAsia" w:ascii="仿宋" w:hAnsi="仿宋" w:eastAsia="仿宋" w:cs="仿宋"/>
          <w:spacing w:val="-4"/>
          <w:sz w:val="32"/>
          <w:szCs w:val="32"/>
        </w:rPr>
        <w:t>①打印费主要为入户资料打印费用，根据表5，2022年打印费120份*30元=3600元，2023年每份打印费用7元，总计483人次，打印费总计483人次*7元=3381元。②交通费主要为社工入户的交通费用，2022年交通费3人*120次*50元=18000元；2023年每人次交通费用5元，总计483人次，交通费总计483人次*5元*2人=4830元。③通讯费主要是社工人员的电话费，2022年申报120次*15元=1800元，2023年未申报通讯费。④餐费主要为社工的餐费，2022年未申报餐费，2023年2名社工每天餐费标准20元/人，总计249天，餐费总计20元*249天*2人=9960元。</w:t>
      </w:r>
    </w:p>
    <w:p>
      <w:pPr>
        <w:pStyle w:val="2"/>
        <w:spacing w:line="600" w:lineRule="exact"/>
        <w:ind w:firstLine="624"/>
        <w:rPr>
          <w:rFonts w:hint="eastAsia" w:ascii="仿宋" w:hAnsi="仿宋" w:eastAsia="仿宋" w:cs="仿宋"/>
          <w:spacing w:val="-4"/>
          <w:sz w:val="32"/>
          <w:szCs w:val="32"/>
        </w:rPr>
      </w:pPr>
      <w:r>
        <w:rPr>
          <w:rFonts w:hint="eastAsia" w:ascii="仿宋" w:hAnsi="仿宋" w:eastAsia="仿宋" w:cs="仿宋"/>
          <w:spacing w:val="-4"/>
          <w:sz w:val="32"/>
          <w:szCs w:val="32"/>
        </w:rPr>
        <w:t>综上，打印费、交通费、通讯费以及餐费均是社工人员入户调查时发生的费用，2022年度和2023年度根据实际的工作内容、工作需求编报的成本明细，工作组建议此类费用纳入项目管理费。</w:t>
      </w:r>
    </w:p>
    <w:p>
      <w:pPr>
        <w:pStyle w:val="2"/>
        <w:spacing w:line="600" w:lineRule="exact"/>
        <w:ind w:firstLine="624"/>
        <w:rPr>
          <w:rFonts w:hint="eastAsia" w:ascii="仿宋" w:hAnsi="仿宋" w:eastAsia="仿宋" w:cs="仿宋"/>
          <w:spacing w:val="-4"/>
          <w:sz w:val="32"/>
          <w:szCs w:val="32"/>
        </w:rPr>
      </w:pPr>
      <w:r>
        <w:rPr>
          <w:rFonts w:hint="eastAsia" w:ascii="仿宋" w:hAnsi="仿宋" w:eastAsia="仿宋" w:cs="仿宋"/>
          <w:spacing w:val="-4"/>
          <w:sz w:val="32"/>
          <w:szCs w:val="32"/>
        </w:rPr>
        <w:t>（2）个案帮扶工作：主要是结合帮扶对象具体情况制定帮扶计划，明确帮扶策略、帮扶方式和个案服务模式等情况。实施帮扶措施，按照帮扶计划，通过一对一、个别化的方式落实帮扶任务，并做好每次帮扶记录，包括帮扶内容、帮扶方式、改变程度、目标是否达成等。2022年未申报此项费用。2023年主要包括2名社工对月坛街道20名个案帮扶对象提供服务不少于6次，个案帮扶240人次*200元=48000元；为月坛街道个案帮扶对象建档，信息填写完整、准确并录入系统，个案信息录入240人次*100元=24000元。个案帮扶总成本为48000+24000=72000元，该项目成本每人单次帮扶200元测算，但未明确每次帮扶的时长，200元/人次的合理性有所不足。</w:t>
      </w:r>
    </w:p>
    <w:p>
      <w:pPr>
        <w:pStyle w:val="2"/>
        <w:spacing w:line="600" w:lineRule="exact"/>
        <w:ind w:firstLine="624"/>
        <w:rPr>
          <w:rFonts w:hint="eastAsia" w:ascii="仿宋" w:hAnsi="仿宋" w:eastAsia="仿宋" w:cs="仿宋"/>
          <w:spacing w:val="-4"/>
          <w:sz w:val="32"/>
          <w:szCs w:val="32"/>
        </w:rPr>
      </w:pPr>
      <w:r>
        <w:rPr>
          <w:rFonts w:hint="eastAsia" w:ascii="仿宋" w:hAnsi="仿宋" w:eastAsia="仿宋" w:cs="仿宋"/>
          <w:spacing w:val="-4"/>
          <w:sz w:val="32"/>
          <w:szCs w:val="32"/>
        </w:rPr>
        <w:t>根据实际工作量的核定，个案小组具体工作内容主要是落实精准帮扶方案（包括接案、预估、计划、介入、评估、结案等环节）安排2人一组，该服务为长期推进服务，成本费用长期稳定且符合《社会建设与民政领域政府购买社会服务工作服务项目资金使用管理指引》（京社委发〔2019〕97号）、《政府购买社会工作服务预算测算参考标准</w:t>
      </w:r>
      <w:r>
        <w:rPr>
          <w:rFonts w:hint="eastAsia" w:ascii="仿宋" w:hAnsi="仿宋" w:eastAsia="仿宋" w:cs="仿宋"/>
          <w:kern w:val="0"/>
          <w:sz w:val="32"/>
          <w:szCs w:val="32"/>
        </w:rPr>
        <w:t>》</w:t>
      </w:r>
      <w:r>
        <w:rPr>
          <w:rFonts w:hint="eastAsia" w:ascii="仿宋" w:hAnsi="仿宋" w:eastAsia="仿宋" w:cs="仿宋"/>
          <w:spacing w:val="-4"/>
          <w:sz w:val="32"/>
          <w:szCs w:val="32"/>
        </w:rPr>
        <w:t>文件中社会工作服务工作量及费用测算标准，以上文件中已明确个案工作中个案咨询（2小时/案）、个案辅导（包括接案、预估、计划、介入、评估、结案等环节）28小时/案等最低工作量的标准，结合项目所需消耗的工时以及社会工作量，并参考西城区其他街道同类项目的费用情况，工作组认为个案帮扶工作包括帮扶服务、个案建档以及信息录入，建议合并为一项内容，按2人一组，300元/人次户（包含：每次帮扶服务2小时、信息建档录入1小时），成本300元/人次户合理。建议开展个案帮扶按成本300元/人次户纳入单项定额。</w:t>
      </w:r>
    </w:p>
    <w:p>
      <w:pPr>
        <w:pStyle w:val="2"/>
        <w:spacing w:line="600" w:lineRule="exact"/>
        <w:ind w:firstLine="624"/>
        <w:rPr>
          <w:rFonts w:hint="eastAsia" w:ascii="仿宋" w:hAnsi="仿宋" w:eastAsia="仿宋" w:cs="仿宋"/>
          <w:spacing w:val="-4"/>
          <w:sz w:val="32"/>
          <w:szCs w:val="32"/>
        </w:rPr>
      </w:pPr>
      <w:r>
        <w:rPr>
          <w:rFonts w:hint="eastAsia" w:ascii="仿宋" w:hAnsi="仿宋" w:eastAsia="仿宋" w:cs="仿宋"/>
          <w:spacing w:val="-4"/>
          <w:sz w:val="32"/>
          <w:szCs w:val="32"/>
        </w:rPr>
        <w:t xml:space="preserve">（3）案例总结：该项工作主要是形成经典需求评估案例；将走访调研所遇到的困难群众问题形成总结报告；对困难群众需求评估结果进行数据分析形成需求评估报告等工作。2022年申请经典案例撰写10份（750元*10份=7500元）、调研问题总结1份（1500元*1份=1500元）、需求评估报告1份（1500元*1份=1500元）；2023年主要包括形成经典需求评估案例10篇（1000元*10份=10000元）；对困难群众需求评估结果进行数据分析形成需求评估报告（1500元*1份=1500元）。此项成本各年度费用成本构成详见表7： </w:t>
      </w:r>
    </w:p>
    <w:p>
      <w:pPr>
        <w:pStyle w:val="2"/>
        <w:ind w:left="420" w:leftChars="200" w:firstLine="0" w:firstLineChars="0"/>
        <w:rPr>
          <w:rFonts w:hint="eastAsia" w:ascii="仿宋_GB2312" w:hAnsi="仿宋_GB2312" w:eastAsia="仿宋_GB2312" w:cs="仿宋_GB2312"/>
          <w:spacing w:val="-4"/>
          <w:sz w:val="20"/>
          <w:szCs w:val="20"/>
        </w:rPr>
      </w:pPr>
      <w:r>
        <w:rPr>
          <w:rFonts w:hint="eastAsia" w:ascii="黑体" w:hAnsi="黑体" w:eastAsia="黑体"/>
          <w:sz w:val="28"/>
          <w:szCs w:val="28"/>
        </w:rPr>
        <w:t>表7  2022年度-2023年度案例总结工作成本情况表</w:t>
      </w:r>
      <w:r>
        <w:rPr>
          <w:rFonts w:hint="eastAsia" w:ascii="宋体" w:hAnsi="宋体" w:cs="宋体"/>
          <w:b/>
          <w:bCs/>
          <w:spacing w:val="-4"/>
          <w:sz w:val="24"/>
        </w:rPr>
        <w:t xml:space="preserve"> </w:t>
      </w:r>
      <w:r>
        <w:rPr>
          <w:rFonts w:hint="eastAsia" w:ascii="宋体" w:hAnsi="宋体" w:cs="宋体"/>
          <w:bCs/>
          <w:spacing w:val="-4"/>
          <w:sz w:val="20"/>
          <w:szCs w:val="20"/>
        </w:rPr>
        <w:t>单位：元</w:t>
      </w:r>
    </w:p>
    <w:tbl>
      <w:tblPr>
        <w:tblStyle w:val="12"/>
        <w:tblW w:w="8348" w:type="dxa"/>
        <w:tblInd w:w="100" w:type="dxa"/>
        <w:tblLayout w:type="fixed"/>
        <w:tblCellMar>
          <w:top w:w="0" w:type="dxa"/>
          <w:left w:w="108" w:type="dxa"/>
          <w:bottom w:w="0" w:type="dxa"/>
          <w:right w:w="108" w:type="dxa"/>
        </w:tblCellMar>
      </w:tblPr>
      <w:tblGrid>
        <w:gridCol w:w="742"/>
        <w:gridCol w:w="1553"/>
        <w:gridCol w:w="803"/>
        <w:gridCol w:w="794"/>
        <w:gridCol w:w="1173"/>
        <w:gridCol w:w="944"/>
        <w:gridCol w:w="821"/>
        <w:gridCol w:w="1518"/>
      </w:tblGrid>
      <w:tr>
        <w:tblPrEx>
          <w:tblLayout w:type="fixed"/>
          <w:tblCellMar>
            <w:top w:w="0" w:type="dxa"/>
            <w:left w:w="108" w:type="dxa"/>
            <w:bottom w:w="0" w:type="dxa"/>
            <w:right w:w="108" w:type="dxa"/>
          </w:tblCellMar>
        </w:tblPrEx>
        <w:trPr>
          <w:trHeight w:val="426" w:hRule="atLeast"/>
        </w:trPr>
        <w:tc>
          <w:tcPr>
            <w:tcW w:w="742" w:type="dxa"/>
            <w:vMerge w:val="restart"/>
            <w:tcBorders>
              <w:top w:val="single" w:color="000000" w:sz="12" w:space="0"/>
              <w:left w:val="nil"/>
              <w:bottom w:val="dotted" w:color="000000" w:sz="4" w:space="0"/>
              <w:right w:val="dotted"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1553" w:type="dxa"/>
            <w:vMerge w:val="restart"/>
            <w:tcBorders>
              <w:top w:val="single" w:color="000000" w:sz="12"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案例总结</w:t>
            </w:r>
          </w:p>
        </w:tc>
        <w:tc>
          <w:tcPr>
            <w:tcW w:w="2770" w:type="dxa"/>
            <w:gridSpan w:val="3"/>
            <w:tcBorders>
              <w:top w:val="single" w:color="000000" w:sz="12"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2022年度申报</w:t>
            </w:r>
          </w:p>
        </w:tc>
        <w:tc>
          <w:tcPr>
            <w:tcW w:w="3283" w:type="dxa"/>
            <w:gridSpan w:val="3"/>
            <w:tcBorders>
              <w:top w:val="single" w:color="000000" w:sz="12" w:space="0"/>
              <w:left w:val="dotted" w:color="000000" w:sz="4" w:space="0"/>
              <w:bottom w:val="dotted" w:color="000000" w:sz="4" w:space="0"/>
              <w:right w:val="nil"/>
            </w:tcBorders>
            <w:noWrap/>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2023年度申报</w:t>
            </w:r>
          </w:p>
        </w:tc>
      </w:tr>
      <w:tr>
        <w:tblPrEx>
          <w:tblLayout w:type="fixed"/>
          <w:tblCellMar>
            <w:top w:w="0" w:type="dxa"/>
            <w:left w:w="108" w:type="dxa"/>
            <w:bottom w:w="0" w:type="dxa"/>
            <w:right w:w="108" w:type="dxa"/>
          </w:tblCellMar>
        </w:tblPrEx>
        <w:trPr>
          <w:trHeight w:val="410" w:hRule="atLeast"/>
        </w:trPr>
        <w:tc>
          <w:tcPr>
            <w:tcW w:w="742" w:type="dxa"/>
            <w:vMerge w:val="continue"/>
            <w:tcBorders>
              <w:top w:val="dotted" w:color="000000" w:sz="4" w:space="0"/>
              <w:left w:val="nil"/>
              <w:bottom w:val="dotted" w:color="000000" w:sz="4" w:space="0"/>
              <w:right w:val="dotted" w:color="000000" w:sz="4" w:space="0"/>
            </w:tcBorders>
            <w:noWrap/>
            <w:vAlign w:val="center"/>
          </w:tcPr>
          <w:p>
            <w:pPr>
              <w:jc w:val="center"/>
              <w:rPr>
                <w:rFonts w:hint="eastAsia" w:ascii="仿宋" w:hAnsi="仿宋" w:eastAsia="仿宋" w:cs="仿宋"/>
                <w:b/>
                <w:bCs/>
                <w:color w:val="000000"/>
                <w:sz w:val="20"/>
                <w:szCs w:val="20"/>
              </w:rPr>
            </w:pPr>
          </w:p>
        </w:tc>
        <w:tc>
          <w:tcPr>
            <w:tcW w:w="1553" w:type="dxa"/>
            <w:vMerge w:val="continue"/>
            <w:tcBorders>
              <w:top w:val="dotted" w:color="000000" w:sz="4" w:space="0"/>
              <w:left w:val="dotted" w:color="000000" w:sz="4" w:space="0"/>
              <w:bottom w:val="dotted" w:color="000000" w:sz="4" w:space="0"/>
              <w:right w:val="dotted" w:color="000000" w:sz="4" w:space="0"/>
            </w:tcBorders>
            <w:noWrap/>
            <w:vAlign w:val="center"/>
          </w:tcPr>
          <w:p>
            <w:pPr>
              <w:jc w:val="center"/>
              <w:rPr>
                <w:rFonts w:hint="eastAsia" w:ascii="仿宋" w:hAnsi="仿宋" w:eastAsia="仿宋" w:cs="仿宋"/>
                <w:b/>
                <w:bCs/>
                <w:color w:val="000000"/>
                <w:sz w:val="20"/>
                <w:szCs w:val="20"/>
              </w:rPr>
            </w:pPr>
          </w:p>
        </w:tc>
        <w:tc>
          <w:tcPr>
            <w:tcW w:w="803"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数量</w:t>
            </w:r>
          </w:p>
        </w:tc>
        <w:tc>
          <w:tcPr>
            <w:tcW w:w="794"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单价</w:t>
            </w:r>
          </w:p>
        </w:tc>
        <w:tc>
          <w:tcPr>
            <w:tcW w:w="1173"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金额</w:t>
            </w:r>
          </w:p>
        </w:tc>
        <w:tc>
          <w:tcPr>
            <w:tcW w:w="944"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数量</w:t>
            </w:r>
          </w:p>
        </w:tc>
        <w:tc>
          <w:tcPr>
            <w:tcW w:w="821"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单价</w:t>
            </w:r>
          </w:p>
        </w:tc>
        <w:tc>
          <w:tcPr>
            <w:tcW w:w="1518" w:type="dxa"/>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金额</w:t>
            </w:r>
          </w:p>
        </w:tc>
      </w:tr>
      <w:tr>
        <w:tblPrEx>
          <w:tblLayout w:type="fixed"/>
          <w:tblCellMar>
            <w:top w:w="0" w:type="dxa"/>
            <w:left w:w="108" w:type="dxa"/>
            <w:bottom w:w="0" w:type="dxa"/>
            <w:right w:w="108" w:type="dxa"/>
          </w:tblCellMar>
        </w:tblPrEx>
        <w:trPr>
          <w:trHeight w:val="417" w:hRule="atLeast"/>
        </w:trPr>
        <w:tc>
          <w:tcPr>
            <w:tcW w:w="742" w:type="dxa"/>
            <w:tcBorders>
              <w:top w:val="dotted" w:color="000000" w:sz="4" w:space="0"/>
              <w:left w:val="nil"/>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553"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经典案例撰写</w:t>
            </w:r>
          </w:p>
        </w:tc>
        <w:tc>
          <w:tcPr>
            <w:tcW w:w="803"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10份</w:t>
            </w:r>
          </w:p>
        </w:tc>
        <w:tc>
          <w:tcPr>
            <w:tcW w:w="794"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750</w:t>
            </w:r>
          </w:p>
        </w:tc>
        <w:tc>
          <w:tcPr>
            <w:tcW w:w="1173"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7500</w:t>
            </w:r>
          </w:p>
        </w:tc>
        <w:tc>
          <w:tcPr>
            <w:tcW w:w="944"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10份</w:t>
            </w:r>
          </w:p>
        </w:tc>
        <w:tc>
          <w:tcPr>
            <w:tcW w:w="821" w:type="dxa"/>
            <w:tcBorders>
              <w:top w:val="dotted" w:color="000000" w:sz="4" w:space="0"/>
              <w:left w:val="dotted" w:color="000000" w:sz="4" w:space="0"/>
              <w:bottom w:val="dotted" w:color="000000" w:sz="4" w:space="0"/>
              <w:right w:val="dotted"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1000</w:t>
            </w:r>
          </w:p>
        </w:tc>
        <w:tc>
          <w:tcPr>
            <w:tcW w:w="1518" w:type="dxa"/>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10000</w:t>
            </w:r>
          </w:p>
        </w:tc>
      </w:tr>
      <w:tr>
        <w:tblPrEx>
          <w:tblLayout w:type="fixed"/>
          <w:tblCellMar>
            <w:top w:w="0" w:type="dxa"/>
            <w:left w:w="108" w:type="dxa"/>
            <w:bottom w:w="0" w:type="dxa"/>
            <w:right w:w="108" w:type="dxa"/>
          </w:tblCellMar>
        </w:tblPrEx>
        <w:trPr>
          <w:trHeight w:val="423" w:hRule="atLeast"/>
        </w:trPr>
        <w:tc>
          <w:tcPr>
            <w:tcW w:w="742" w:type="dxa"/>
            <w:tcBorders>
              <w:top w:val="dotted" w:color="000000" w:sz="4" w:space="0"/>
              <w:left w:val="nil"/>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553"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调研问题总结</w:t>
            </w:r>
          </w:p>
        </w:tc>
        <w:tc>
          <w:tcPr>
            <w:tcW w:w="803"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1份</w:t>
            </w:r>
          </w:p>
        </w:tc>
        <w:tc>
          <w:tcPr>
            <w:tcW w:w="794"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1500</w:t>
            </w:r>
          </w:p>
        </w:tc>
        <w:tc>
          <w:tcPr>
            <w:tcW w:w="1173"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1500</w:t>
            </w:r>
          </w:p>
        </w:tc>
        <w:tc>
          <w:tcPr>
            <w:tcW w:w="944"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21"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518" w:type="dxa"/>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tblPrEx>
          <w:tblLayout w:type="fixed"/>
          <w:tblCellMar>
            <w:top w:w="0" w:type="dxa"/>
            <w:left w:w="108" w:type="dxa"/>
            <w:bottom w:w="0" w:type="dxa"/>
            <w:right w:w="108" w:type="dxa"/>
          </w:tblCellMar>
        </w:tblPrEx>
        <w:trPr>
          <w:trHeight w:val="414" w:hRule="atLeast"/>
        </w:trPr>
        <w:tc>
          <w:tcPr>
            <w:tcW w:w="742" w:type="dxa"/>
            <w:tcBorders>
              <w:top w:val="dotted" w:color="000000" w:sz="4" w:space="0"/>
              <w:left w:val="nil"/>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553"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需求评估报告</w:t>
            </w:r>
          </w:p>
        </w:tc>
        <w:tc>
          <w:tcPr>
            <w:tcW w:w="803"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1份</w:t>
            </w:r>
          </w:p>
        </w:tc>
        <w:tc>
          <w:tcPr>
            <w:tcW w:w="794"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1500</w:t>
            </w:r>
          </w:p>
        </w:tc>
        <w:tc>
          <w:tcPr>
            <w:tcW w:w="1173"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1500</w:t>
            </w:r>
          </w:p>
        </w:tc>
        <w:tc>
          <w:tcPr>
            <w:tcW w:w="944" w:type="dxa"/>
            <w:tcBorders>
              <w:top w:val="dotted" w:color="000000" w:sz="4" w:space="0"/>
              <w:left w:val="dotted" w:color="000000" w:sz="4" w:space="0"/>
              <w:bottom w:val="dotted" w:color="000000" w:sz="4" w:space="0"/>
              <w:right w:val="dotted"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1份</w:t>
            </w:r>
          </w:p>
        </w:tc>
        <w:tc>
          <w:tcPr>
            <w:tcW w:w="821" w:type="dxa"/>
            <w:tcBorders>
              <w:top w:val="dotted" w:color="000000" w:sz="4" w:space="0"/>
              <w:left w:val="dotted" w:color="000000" w:sz="4" w:space="0"/>
              <w:bottom w:val="dotted" w:color="000000" w:sz="4" w:space="0"/>
              <w:right w:val="dotted"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1500</w:t>
            </w:r>
          </w:p>
        </w:tc>
        <w:tc>
          <w:tcPr>
            <w:tcW w:w="1518" w:type="dxa"/>
            <w:tcBorders>
              <w:top w:val="dotted" w:color="000000" w:sz="4" w:space="0"/>
              <w:left w:val="dotted" w:color="000000" w:sz="4" w:space="0"/>
              <w:bottom w:val="dotted" w:color="000000" w:sz="4" w:space="0"/>
              <w:right w:val="nil"/>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1500</w:t>
            </w:r>
          </w:p>
        </w:tc>
      </w:tr>
      <w:tr>
        <w:tblPrEx>
          <w:tblLayout w:type="fixed"/>
          <w:tblCellMar>
            <w:top w:w="0" w:type="dxa"/>
            <w:left w:w="108" w:type="dxa"/>
            <w:bottom w:w="0" w:type="dxa"/>
            <w:right w:w="108" w:type="dxa"/>
          </w:tblCellMar>
        </w:tblPrEx>
        <w:trPr>
          <w:trHeight w:val="406" w:hRule="atLeast"/>
        </w:trPr>
        <w:tc>
          <w:tcPr>
            <w:tcW w:w="2295" w:type="dxa"/>
            <w:gridSpan w:val="2"/>
            <w:tcBorders>
              <w:top w:val="dotted" w:color="000000" w:sz="4" w:space="0"/>
              <w:left w:val="nil"/>
              <w:bottom w:val="single" w:color="000000" w:sz="12" w:space="0"/>
              <w:right w:val="dotted" w:color="000000" w:sz="4" w:space="0"/>
            </w:tcBorders>
            <w:noWrap/>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合计</w:t>
            </w:r>
          </w:p>
        </w:tc>
        <w:tc>
          <w:tcPr>
            <w:tcW w:w="2770" w:type="dxa"/>
            <w:gridSpan w:val="3"/>
            <w:tcBorders>
              <w:top w:val="dotted" w:color="000000" w:sz="4" w:space="0"/>
              <w:left w:val="dotted" w:color="000000" w:sz="4" w:space="0"/>
              <w:bottom w:val="single" w:color="000000" w:sz="12" w:space="0"/>
              <w:right w:val="dotted" w:color="000000" w:sz="4" w:space="0"/>
            </w:tcBorders>
            <w:noWrap/>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10500</w:t>
            </w:r>
          </w:p>
        </w:tc>
        <w:tc>
          <w:tcPr>
            <w:tcW w:w="3283" w:type="dxa"/>
            <w:gridSpan w:val="3"/>
            <w:tcBorders>
              <w:top w:val="dotted" w:color="000000" w:sz="4" w:space="0"/>
              <w:left w:val="dotted" w:color="000000" w:sz="4" w:space="0"/>
              <w:bottom w:val="single" w:color="000000" w:sz="12" w:space="0"/>
              <w:right w:val="nil"/>
            </w:tcBorders>
            <w:noWrap/>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11500</w:t>
            </w:r>
          </w:p>
        </w:tc>
      </w:tr>
    </w:tbl>
    <w:p>
      <w:pPr>
        <w:spacing w:line="60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由表7- 2022年-2023年度案例总结工作成本情况表来看，2022年、2023年度申报的内容略有不同，工作组根据项目的实际工作量核定，</w:t>
      </w:r>
      <w:r>
        <w:rPr>
          <w:rFonts w:hint="eastAsia" w:ascii="仿宋" w:hAnsi="仿宋" w:eastAsia="仿宋" w:cs="仿宋"/>
          <w:kern w:val="0"/>
          <w:sz w:val="32"/>
          <w:szCs w:val="32"/>
        </w:rPr>
        <w:t>该服务为长期推进服务，成本费用长期稳定且符合</w:t>
      </w:r>
      <w:r>
        <w:rPr>
          <w:rFonts w:hint="eastAsia" w:ascii="仿宋" w:hAnsi="仿宋" w:eastAsia="仿宋" w:cs="仿宋"/>
          <w:spacing w:val="-4"/>
          <w:sz w:val="32"/>
          <w:szCs w:val="32"/>
        </w:rPr>
        <w:t>《政府购买社会工作服务预算测算参考标准</w:t>
      </w:r>
      <w:r>
        <w:rPr>
          <w:rFonts w:hint="eastAsia" w:ascii="仿宋" w:hAnsi="仿宋" w:eastAsia="仿宋" w:cs="仿宋"/>
          <w:kern w:val="0"/>
          <w:sz w:val="32"/>
          <w:szCs w:val="32"/>
        </w:rPr>
        <w:t>》文件中社会工作服务工作量及费用测算标准，结合项目所需消耗的工时以及社会工作量，并参考西城区其他街道同类项目的费用情况，工作组认为案例总结主要是撰写经典案例、撰写调研问题总结、撰写需求评估报告</w:t>
      </w:r>
      <w:r>
        <w:rPr>
          <w:rFonts w:hint="eastAsia" w:ascii="仿宋" w:hAnsi="仿宋" w:eastAsia="仿宋" w:cs="仿宋"/>
          <w:spacing w:val="-4"/>
          <w:sz w:val="32"/>
          <w:szCs w:val="32"/>
        </w:rPr>
        <w:t>案例总结，根据工作量估算按照2人天完成，</w:t>
      </w:r>
      <w:r>
        <w:rPr>
          <w:rFonts w:hint="eastAsia" w:ascii="仿宋" w:hAnsi="仿宋" w:eastAsia="仿宋" w:cs="仿宋"/>
          <w:kern w:val="0"/>
          <w:sz w:val="32"/>
          <w:szCs w:val="32"/>
        </w:rPr>
        <w:t>建议案例总结按成本800元/份纳入单项定额。</w:t>
      </w:r>
    </w:p>
    <w:p>
      <w:pPr>
        <w:spacing w:line="60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4）业务培训：该项工作主要包括工作者进行定期培训，提升工作业务水平、外请督导专家，每月工作督导评价，提出问题与改进内容。2022年申报定期培训12次，成本总额为12次*750元=9000元。2023年未申报此项。业务培训费应列明培训对象的种类或培训名称、次（期）数、每次（期）的天数和人数，并按次（期）列明培训所需费用的金额。需单独列明师资费的标准、次（人、人次、天）数等。但根据2022和2023年项目申报的情况、项目执行情况、实际工作量的核定，培训的内容及工作时长考虑，申报的成本比较宽泛，并参考《政府购买社会工作服务预算测算参考标准</w:t>
      </w:r>
      <w:r>
        <w:rPr>
          <w:rFonts w:hint="eastAsia" w:ascii="仿宋" w:hAnsi="仿宋" w:eastAsia="仿宋" w:cs="仿宋"/>
          <w:kern w:val="0"/>
          <w:sz w:val="32"/>
          <w:szCs w:val="32"/>
        </w:rPr>
        <w:t>》</w:t>
      </w:r>
      <w:r>
        <w:rPr>
          <w:rFonts w:hint="eastAsia" w:ascii="仿宋" w:hAnsi="仿宋" w:eastAsia="仿宋" w:cs="仿宋"/>
          <w:spacing w:val="-4"/>
          <w:sz w:val="32"/>
          <w:szCs w:val="32"/>
        </w:rPr>
        <w:t>、《北京市财政局 中共北京市委组织部 北京市人力资源和社会保障局关于印发〈北京市市级党政机关事业单位培训费管理办法〉的通知》（京财预〔2017〕1389号）等政策文件中“副高级技术职称专业人员每学时最高不超过500元（税后），每半天最多按4学时计算”的相关标准，分析认为培训工时不确定，且存在变动性，此项费用不作单项定额分析。</w:t>
      </w:r>
    </w:p>
    <w:p>
      <w:pPr>
        <w:spacing w:line="60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5）媒体宣传：该项工作主要是针对困难群众特色服务案例进行宣传报道，扩大服务覆盖面及影响力。发挥机构资源整合优势，链接相关媒体资源，针对困难群众入户过程中产生的特色调研案例进行媒体宣传。2022年申报新闻稿12份，每份750元，成本总额为12份*750元=9000元；媒体报道5次，每次1500元，成本总额为 5次*1500元=7500元 。2023年未列示预算内容。根据项目执行情况、工作量的核定，媒体宣传的内容及工作时长考虑，并参考相关政策文件，分析认为媒体宣传费单价较为偏高，建议此项工作借助于街道公众号运营项目，从此项目中剔除。</w:t>
      </w:r>
    </w:p>
    <w:p>
      <w:pPr>
        <w:spacing w:line="60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6）社区或小组活动：该项工作主要是社工开展小组活动和社区活动。2022年未列示预算内容，2023年由2名社工开展小组活动4次（8人次*800元=6400元），开展社区活动4次（8人次*800元=6400元），总成本为小组活动6400元+社区活动6400元=12800元。根据实际工作量核定，社区、小区活动内容及工作时长考虑，并结合《社会建设与民政领域政府购买社会服务工作服务项目资金使用管理指引》（京社委发〔2019〕97号）、《政府购买社会工作服务预算测算参考标准》文件中社会工作服务工作量及费用测算标准，社区活动社工主导实施为16小时/个，结合项目所需消耗的工时以及社会工作量，并参考西城区其他街道同类项目的费用情况，工作组认为800元/人次（16小时/次）合理，建议开展社区活动或小组活动费用成本按照800元/次纳入单项定额。</w:t>
      </w:r>
    </w:p>
    <w:p>
      <w:pPr>
        <w:spacing w:line="60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（7）新增低保低收入家庭入户审核：该项工作主要是2023年度申报2 名社工进行新增（预计30人）低保、低收入家庭入户核查、填表。入户核查30次*550元=16500元。2022年未列示预算内容。2023年该项服务为新增内容，成本费用没有相应的定额标准，工作组根据项目的实际工作量核定，结合项目所需消耗的工时及社会工作量，工作组认为新增低保低收入家庭入户审核工作成本400元/户合理。建议开展新增低保、低收入家庭入户审核工作成本按400元/户纳入单项定额。</w:t>
      </w:r>
    </w:p>
    <w:p>
      <w:pPr>
        <w:spacing w:line="600" w:lineRule="exact"/>
        <w:ind w:firstLine="624" w:firstLineChars="200"/>
        <w:rPr>
          <w:rFonts w:hint="eastAsia" w:ascii="仿宋" w:hAnsi="仿宋" w:eastAsia="仿宋" w:cs="仿宋"/>
          <w:kern w:val="0"/>
          <w:sz w:val="32"/>
          <w:szCs w:val="32"/>
        </w:rPr>
      </w:pPr>
      <w:r>
        <w:rPr>
          <w:rFonts w:hint="eastAsia" w:ascii="仿宋" w:hAnsi="仿宋" w:eastAsia="仿宋" w:cs="仿宋"/>
          <w:spacing w:val="-4"/>
          <w:sz w:val="32"/>
          <w:szCs w:val="32"/>
        </w:rPr>
        <w:t>（8）其他费用:该项费用构成主要包括项目管理费及税费。参考《政府购买社会工作服务预算测算参考标准</w:t>
      </w:r>
      <w:r>
        <w:rPr>
          <w:rFonts w:hint="eastAsia" w:ascii="仿宋" w:hAnsi="仿宋" w:eastAsia="仿宋" w:cs="仿宋"/>
          <w:kern w:val="0"/>
          <w:sz w:val="32"/>
          <w:szCs w:val="32"/>
        </w:rPr>
        <w:t>》，项目管理费按不得超过项目总经费的10%测算即可。项目税费按照小规模纳税人税费标准3.72%测算，其他费用为变动成本，不纳入额分析。</w:t>
      </w:r>
    </w:p>
    <w:p>
      <w:pPr>
        <w:spacing w:line="600" w:lineRule="exact"/>
        <w:ind w:firstLine="640" w:firstLineChars="200"/>
        <w:outlineLvl w:val="1"/>
        <w:rPr>
          <w:rFonts w:hint="eastAsia" w:ascii="仿宋" w:hAnsi="仿宋" w:eastAsia="仿宋" w:cs="仿宋"/>
          <w:kern w:val="0"/>
          <w:sz w:val="32"/>
          <w:szCs w:val="32"/>
        </w:rPr>
      </w:pPr>
      <w:bookmarkStart w:id="7" w:name="_Toc29949"/>
      <w:r>
        <w:rPr>
          <w:rFonts w:hint="eastAsia" w:ascii="仿宋" w:hAnsi="仿宋" w:eastAsia="仿宋" w:cs="仿宋"/>
          <w:bCs/>
          <w:kern w:val="0"/>
          <w:sz w:val="32"/>
          <w:szCs w:val="32"/>
        </w:rPr>
        <w:t>（四）找准成本、产出和效益效果等指标</w:t>
      </w:r>
      <w:bookmarkEnd w:id="7"/>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1.产出指标分析</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月坛街道按照绩效管理要求填报了项目的绩效目标申报表，设置了项目总体目标和具体产出指标及效果指标。以2023年度为例，具体指标设定的完整性、规范性还有待加强。如数量指标设定三项，其中一项为“实地走访（人户一致、人户分离），特困供养、困境儿童等，指标值设定100”，该指标值100指向不明确，未量化走访的户数或人数；质量指标包括：业务咨询与培训；完善救助工作管理机制；资源整合精准服务，项目质量标准、要求并不够明确、合理，对第三方的服务质量要求、标准也不够清晰。时效指标设置为“期限内结项，并提供结项报告”，该指标设置不够明确、不够规范，未能对实地走访、需求评估、个案帮扶、社区活动等项内容做出明确的时间节点预测。</w:t>
      </w:r>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2.效益指标分析</w:t>
      </w:r>
    </w:p>
    <w:p>
      <w:pPr>
        <w:pStyle w:val="16"/>
        <w:spacing w:line="600" w:lineRule="exact"/>
        <w:ind w:firstLine="640"/>
        <w:rPr>
          <w:rFonts w:hint="eastAsia" w:ascii="仿宋" w:hAnsi="仿宋" w:eastAsia="仿宋" w:cs="仿宋"/>
          <w:sz w:val="32"/>
          <w:szCs w:val="32"/>
        </w:rPr>
      </w:pPr>
      <w:r>
        <w:rPr>
          <w:rFonts w:hint="eastAsia" w:ascii="仿宋" w:hAnsi="仿宋" w:eastAsia="仿宋" w:cs="仿宋"/>
          <w:sz w:val="32"/>
          <w:szCs w:val="32"/>
        </w:rPr>
        <w:t>项目的效益指标为：一是社会面正向影响力；二是精准救助社会工作服务水平。两项指标设置不够清晰，对于项目实施效果未做详细描述，对于指标值的设定缺少可比可量化的数值。从资料来看，项目质量验收的措施和过程资料呈现不足，缺少绩效成果及服务质量提升、百姓获得感、体验感提升方面的分析总结。</w:t>
      </w:r>
    </w:p>
    <w:p>
      <w:pPr>
        <w:pStyle w:val="2"/>
        <w:spacing w:line="600" w:lineRule="exact"/>
        <w:ind w:firstLine="640"/>
        <w:outlineLvl w:val="1"/>
        <w:rPr>
          <w:rFonts w:hint="eastAsia" w:ascii="仿宋" w:hAnsi="仿宋" w:eastAsia="仿宋" w:cs="仿宋"/>
          <w:bCs/>
          <w:kern w:val="0"/>
          <w:sz w:val="32"/>
          <w:szCs w:val="32"/>
        </w:rPr>
      </w:pPr>
      <w:bookmarkStart w:id="8" w:name="_Toc17187"/>
      <w:r>
        <w:rPr>
          <w:rFonts w:hint="eastAsia" w:ascii="仿宋" w:hAnsi="仿宋" w:eastAsia="仿宋" w:cs="仿宋"/>
          <w:bCs/>
          <w:kern w:val="0"/>
          <w:sz w:val="32"/>
          <w:szCs w:val="32"/>
        </w:rPr>
        <w:t>（五）确定成本、产出、绩效的基准值</w:t>
      </w:r>
      <w:bookmarkEnd w:id="8"/>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按照“困难群众救助服务所”的实际情况与工作要求，项目涉及的成本投入全部以第三方服务机构承接该项工作所涉及的全部成本所构成。各项成本的投入水平与第三方机构在该项工作中所投入的工作量及工作方式密切相关，其人员配置的合理性、投入数量、工作效率、项目管理水平等决定了成本的增减变化水平，其相应基准值的确定方式应采取以下方式：</w:t>
      </w:r>
    </w:p>
    <w:p>
      <w:pPr>
        <w:spacing w:line="360" w:lineRule="auto"/>
        <w:ind w:left="630"/>
        <w:rPr>
          <w:rFonts w:hint="eastAsia" w:ascii="仿宋" w:hAnsi="仿宋" w:eastAsia="仿宋" w:cs="仿宋"/>
          <w:kern w:val="0"/>
          <w:sz w:val="32"/>
          <w:szCs w:val="32"/>
        </w:rPr>
      </w:pPr>
      <w:r>
        <w:rPr>
          <w:rFonts w:hint="eastAsia" w:ascii="仿宋" w:hAnsi="仿宋" w:eastAsia="仿宋" w:cs="仿宋"/>
          <w:kern w:val="0"/>
          <w:sz w:val="32"/>
          <w:szCs w:val="32"/>
        </w:rPr>
        <w:t>1.成本方面</w:t>
      </w:r>
    </w:p>
    <w:p>
      <w:pPr>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项目涉及的服务工作成本投入基准值，需结合个案服务、入户核查、精准帮扶对象等总数量规模、点位分布所需的往来交通时长、完成单个服务所需时长等因素综合考量，确定每名专业服务人员每天可完成工作量的合理范围，再依据所需专业服务人员工资水平，测算出该项成本投入的基准值。</w:t>
      </w:r>
    </w:p>
    <w:p>
      <w:pPr>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2.产出方面</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确定该项目成本基准值的情况下，其产出的设定应与成本投入相对应，指标内容需更加明确与具体。产出的基准值应涵盖服务覆盖率和救助率、救助标准和效果、调查频次、调研报告份数、台账数据更新工作量等量化的指标考量值。在此基础上，设置对应的产出质量要求，明确实现各项数量产出时的质量考核与验收标准；对各项工作推进的时间节点进行清晰设定；结合成本投入的基准值按照工作内容分别设置对应的分项成本控制金额。</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3.绩效方面</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该项目绩效基准值的确定应围绕项目实施的主要目的进行考量，项目的实施是为了改善困难群众的生活状况、促进社会公平与正义、提升政府形象与公信力、推动社会发展与进步。项目的效益性产出包含了社会效益、可持续影响及服务对象满意度，其效益基准值包含：阶段性工作成果展现，成果的应用情况、困难群众的满意度反馈等。</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为客观分析月坛街道办事处困难群众救助服务所项目成本状况，工作组对西城区其他街道困服所运营情况进行了横向调查分析，西城区各街道困难群众救助服务所服务成本对比情况详见表9：</w:t>
      </w:r>
    </w:p>
    <w:p>
      <w:pPr>
        <w:spacing w:line="360" w:lineRule="auto"/>
        <w:ind w:firstLine="1124" w:firstLineChars="400"/>
        <w:rPr>
          <w:rFonts w:ascii="黑体" w:hAnsi="黑体" w:eastAsia="黑体"/>
          <w:sz w:val="28"/>
          <w:szCs w:val="28"/>
        </w:rPr>
      </w:pPr>
      <w:r>
        <w:rPr>
          <w:rFonts w:hint="eastAsia" w:ascii="黑体" w:hAnsi="黑体" w:eastAsia="黑体" w:cs="宋体"/>
          <w:b/>
          <w:bCs/>
          <w:sz w:val="28"/>
          <w:szCs w:val="28"/>
        </w:rPr>
        <w:t xml:space="preserve">表9     其他街道合同对比情况表  </w:t>
      </w:r>
      <w:r>
        <w:rPr>
          <w:rFonts w:hint="eastAsia" w:ascii="黑体" w:hAnsi="黑体" w:eastAsia="黑体"/>
          <w:b/>
          <w:bCs/>
          <w:sz w:val="28"/>
          <w:szCs w:val="28"/>
        </w:rPr>
        <w:t xml:space="preserve"> </w:t>
      </w:r>
      <w:r>
        <w:rPr>
          <w:rFonts w:ascii="黑体" w:hAnsi="黑体" w:eastAsia="黑体"/>
          <w:b/>
          <w:bCs/>
          <w:sz w:val="28"/>
          <w:szCs w:val="28"/>
        </w:rPr>
        <w:t xml:space="preserve"> </w:t>
      </w:r>
      <w:r>
        <w:rPr>
          <w:rFonts w:hint="eastAsia" w:ascii="黑体" w:hAnsi="黑体" w:eastAsia="黑体"/>
          <w:b/>
          <w:bCs/>
          <w:sz w:val="28"/>
          <w:szCs w:val="28"/>
        </w:rPr>
        <w:t xml:space="preserve">     </w:t>
      </w:r>
      <w:r>
        <w:rPr>
          <w:rFonts w:hint="eastAsia" w:ascii="宋体" w:hAnsi="宋体" w:cs="宋体"/>
          <w:b/>
          <w:bCs/>
          <w:sz w:val="20"/>
          <w:szCs w:val="20"/>
        </w:rPr>
        <w:t>单位：万元</w:t>
      </w:r>
    </w:p>
    <w:tbl>
      <w:tblPr>
        <w:tblStyle w:val="12"/>
        <w:tblpPr w:leftFromText="180" w:rightFromText="180" w:vertAnchor="text" w:horzAnchor="page" w:tblpX="1609" w:tblpY="55"/>
        <w:tblOverlap w:val="never"/>
        <w:tblW w:w="879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511"/>
        <w:gridCol w:w="1425"/>
        <w:gridCol w:w="1631"/>
        <w:gridCol w:w="1378"/>
        <w:gridCol w:w="1350"/>
        <w:gridCol w:w="1153"/>
        <w:gridCol w:w="135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42" w:hRule="atLeast"/>
        </w:trPr>
        <w:tc>
          <w:tcPr>
            <w:tcW w:w="511" w:type="dxa"/>
            <w:noWrap/>
            <w:vAlign w:val="center"/>
          </w:tcPr>
          <w:p>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序号</w:t>
            </w:r>
          </w:p>
        </w:tc>
        <w:tc>
          <w:tcPr>
            <w:tcW w:w="1425" w:type="dxa"/>
            <w:noWrap/>
            <w:vAlign w:val="center"/>
          </w:tcPr>
          <w:p>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具体内容</w:t>
            </w:r>
          </w:p>
        </w:tc>
        <w:tc>
          <w:tcPr>
            <w:tcW w:w="1631" w:type="dxa"/>
            <w:noWrap w:val="0"/>
            <w:vAlign w:val="center"/>
          </w:tcPr>
          <w:p>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西长安街街道</w:t>
            </w:r>
          </w:p>
        </w:tc>
        <w:tc>
          <w:tcPr>
            <w:tcW w:w="1378" w:type="dxa"/>
            <w:noWrap/>
            <w:vAlign w:val="center"/>
          </w:tcPr>
          <w:p>
            <w:pPr>
              <w:widowControl/>
              <w:jc w:val="center"/>
              <w:textAlignment w:val="bottom"/>
              <w:rPr>
                <w:rFonts w:hint="eastAsia" w:ascii="宋体" w:hAnsi="宋体" w:cs="宋体"/>
                <w:b/>
                <w:bCs/>
                <w:sz w:val="20"/>
                <w:szCs w:val="20"/>
              </w:rPr>
            </w:pPr>
            <w:r>
              <w:rPr>
                <w:rFonts w:hint="eastAsia" w:ascii="宋体" w:hAnsi="宋体" w:cs="宋体"/>
                <w:b/>
                <w:bCs/>
                <w:kern w:val="0"/>
                <w:sz w:val="20"/>
                <w:szCs w:val="20"/>
                <w:lang w:bidi="ar"/>
              </w:rPr>
              <w:t>白纸坊街道</w:t>
            </w:r>
          </w:p>
        </w:tc>
        <w:tc>
          <w:tcPr>
            <w:tcW w:w="1350" w:type="dxa"/>
            <w:noWrap/>
            <w:vAlign w:val="center"/>
          </w:tcPr>
          <w:p>
            <w:pPr>
              <w:widowControl/>
              <w:jc w:val="center"/>
              <w:textAlignment w:val="bottom"/>
              <w:rPr>
                <w:rFonts w:ascii="宋体" w:hAnsi="宋体" w:cs="宋体"/>
                <w:b/>
                <w:bCs/>
                <w:kern w:val="0"/>
                <w:sz w:val="20"/>
                <w:szCs w:val="20"/>
                <w:lang w:bidi="ar"/>
              </w:rPr>
            </w:pPr>
            <w:r>
              <w:rPr>
                <w:rFonts w:hint="eastAsia" w:ascii="宋体" w:hAnsi="宋体" w:cs="宋体"/>
                <w:b/>
                <w:bCs/>
                <w:kern w:val="0"/>
                <w:sz w:val="20"/>
                <w:szCs w:val="20"/>
                <w:lang w:bidi="ar"/>
              </w:rPr>
              <w:t>陶然亭街道</w:t>
            </w:r>
          </w:p>
        </w:tc>
        <w:tc>
          <w:tcPr>
            <w:tcW w:w="1153" w:type="dxa"/>
            <w:noWrap/>
            <w:vAlign w:val="center"/>
          </w:tcPr>
          <w:p>
            <w:pPr>
              <w:widowControl/>
              <w:jc w:val="center"/>
              <w:textAlignment w:val="bottom"/>
              <w:rPr>
                <w:rFonts w:ascii="宋体" w:hAnsi="宋体" w:cs="宋体"/>
                <w:b/>
                <w:bCs/>
                <w:kern w:val="0"/>
                <w:sz w:val="20"/>
                <w:szCs w:val="20"/>
                <w:lang w:bidi="ar"/>
              </w:rPr>
            </w:pPr>
            <w:r>
              <w:rPr>
                <w:rFonts w:hint="eastAsia" w:ascii="宋体" w:hAnsi="宋体" w:cs="宋体"/>
                <w:b/>
                <w:bCs/>
                <w:kern w:val="0"/>
                <w:sz w:val="20"/>
                <w:szCs w:val="20"/>
                <w:lang w:bidi="ar"/>
              </w:rPr>
              <w:t>德胜街道</w:t>
            </w:r>
          </w:p>
        </w:tc>
        <w:tc>
          <w:tcPr>
            <w:tcW w:w="1350" w:type="dxa"/>
            <w:noWrap/>
            <w:vAlign w:val="center"/>
          </w:tcPr>
          <w:p>
            <w:pPr>
              <w:widowControl/>
              <w:jc w:val="center"/>
              <w:textAlignment w:val="bottom"/>
              <w:rPr>
                <w:rFonts w:hint="eastAsia" w:ascii="宋体" w:hAnsi="宋体" w:cs="宋体"/>
                <w:b/>
                <w:bCs/>
                <w:kern w:val="0"/>
                <w:sz w:val="20"/>
                <w:szCs w:val="20"/>
                <w:lang w:bidi="ar"/>
              </w:rPr>
            </w:pPr>
            <w:r>
              <w:rPr>
                <w:rFonts w:hint="eastAsia" w:ascii="宋体" w:hAnsi="宋体" w:cs="宋体"/>
                <w:b/>
                <w:bCs/>
                <w:kern w:val="0"/>
                <w:sz w:val="20"/>
                <w:szCs w:val="20"/>
                <w:lang w:bidi="ar"/>
              </w:rPr>
              <w:t>月坛街道</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97" w:hRule="atLeast"/>
        </w:trPr>
        <w:tc>
          <w:tcPr>
            <w:tcW w:w="511" w:type="dxa"/>
            <w:noWrap/>
            <w:vAlign w:val="center"/>
          </w:tcPr>
          <w:p>
            <w:pPr>
              <w:widowControl/>
              <w:jc w:val="center"/>
              <w:textAlignment w:val="bottom"/>
              <w:rPr>
                <w:rFonts w:hint="eastAsia" w:ascii="宋体" w:hAnsi="宋体" w:cs="宋体"/>
                <w:sz w:val="20"/>
                <w:szCs w:val="20"/>
              </w:rPr>
            </w:pPr>
            <w:r>
              <w:rPr>
                <w:rFonts w:hint="eastAsia" w:ascii="宋体" w:hAnsi="宋体" w:cs="宋体"/>
                <w:kern w:val="0"/>
                <w:sz w:val="20"/>
                <w:szCs w:val="20"/>
                <w:lang w:bidi="ar"/>
              </w:rPr>
              <w:t>1</w:t>
            </w:r>
          </w:p>
        </w:tc>
        <w:tc>
          <w:tcPr>
            <w:tcW w:w="1425" w:type="dxa"/>
            <w:noWrap/>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合同金额</w:t>
            </w:r>
          </w:p>
        </w:tc>
        <w:tc>
          <w:tcPr>
            <w:tcW w:w="1631" w:type="dxa"/>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41.72</w:t>
            </w:r>
          </w:p>
        </w:tc>
        <w:tc>
          <w:tcPr>
            <w:tcW w:w="1378" w:type="dxa"/>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95.13</w:t>
            </w:r>
          </w:p>
        </w:tc>
        <w:tc>
          <w:tcPr>
            <w:tcW w:w="1350" w:type="dxa"/>
            <w:noWrap w:val="0"/>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49</w:t>
            </w:r>
            <w:r>
              <w:rPr>
                <w:rFonts w:ascii="宋体" w:hAnsi="宋体" w:cs="宋体"/>
                <w:kern w:val="0"/>
                <w:sz w:val="20"/>
                <w:szCs w:val="20"/>
                <w:lang w:bidi="ar"/>
              </w:rPr>
              <w:t>.</w:t>
            </w:r>
            <w:r>
              <w:rPr>
                <w:rFonts w:hint="eastAsia" w:ascii="宋体" w:hAnsi="宋体" w:cs="宋体"/>
                <w:kern w:val="0"/>
                <w:sz w:val="20"/>
                <w:szCs w:val="20"/>
                <w:lang w:bidi="ar"/>
              </w:rPr>
              <w:t>66</w:t>
            </w:r>
          </w:p>
        </w:tc>
        <w:tc>
          <w:tcPr>
            <w:tcW w:w="1153" w:type="dxa"/>
            <w:noWrap w:val="0"/>
            <w:vAlign w:val="center"/>
          </w:tcPr>
          <w:p>
            <w:pPr>
              <w:widowControl/>
              <w:jc w:val="center"/>
              <w:textAlignment w:val="center"/>
              <w:rPr>
                <w:rFonts w:ascii="宋体" w:hAnsi="宋体" w:eastAsia="仿宋_GB2312" w:cs="宋体"/>
                <w:kern w:val="0"/>
                <w:sz w:val="20"/>
                <w:szCs w:val="20"/>
                <w:lang w:bidi="ar"/>
              </w:rPr>
            </w:pPr>
            <w:r>
              <w:rPr>
                <w:rFonts w:hint="eastAsia" w:ascii="宋体" w:hAnsi="宋体" w:eastAsia="仿宋_GB2312" w:cs="宋体"/>
                <w:kern w:val="0"/>
                <w:sz w:val="20"/>
                <w:szCs w:val="20"/>
                <w:lang w:bidi="ar"/>
              </w:rPr>
              <w:t>38.25</w:t>
            </w:r>
          </w:p>
        </w:tc>
        <w:tc>
          <w:tcPr>
            <w:tcW w:w="1350" w:type="dxa"/>
            <w:noWrap w:val="0"/>
            <w:vAlign w:val="center"/>
          </w:tcPr>
          <w:p>
            <w:pPr>
              <w:widowControl/>
              <w:jc w:val="center"/>
              <w:textAlignment w:val="center"/>
              <w:rPr>
                <w:rFonts w:hint="eastAsia" w:ascii="宋体" w:hAnsi="宋体" w:eastAsia="仿宋_GB2312" w:cs="宋体"/>
                <w:kern w:val="0"/>
                <w:sz w:val="20"/>
                <w:szCs w:val="20"/>
                <w:lang w:bidi="ar"/>
              </w:rPr>
            </w:pPr>
            <w:r>
              <w:rPr>
                <w:rFonts w:hint="eastAsia" w:ascii="宋体" w:hAnsi="宋体" w:cs="宋体"/>
                <w:kern w:val="0"/>
                <w:sz w:val="20"/>
                <w:szCs w:val="20"/>
                <w:lang w:bidi="ar"/>
              </w:rPr>
              <w:t>41.85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91" w:hRule="atLeast"/>
        </w:trPr>
        <w:tc>
          <w:tcPr>
            <w:tcW w:w="511" w:type="dxa"/>
            <w:noWrap/>
            <w:vAlign w:val="center"/>
          </w:tcPr>
          <w:p>
            <w:pPr>
              <w:widowControl/>
              <w:jc w:val="center"/>
              <w:textAlignment w:val="bottom"/>
              <w:rPr>
                <w:rFonts w:hint="eastAsia" w:ascii="宋体" w:hAnsi="宋体" w:cs="宋体"/>
                <w:sz w:val="20"/>
                <w:szCs w:val="20"/>
              </w:rPr>
            </w:pPr>
            <w:r>
              <w:rPr>
                <w:rFonts w:hint="eastAsia" w:ascii="宋体" w:hAnsi="宋体" w:cs="宋体"/>
                <w:kern w:val="0"/>
                <w:sz w:val="20"/>
                <w:szCs w:val="20"/>
                <w:lang w:bidi="ar"/>
              </w:rPr>
              <w:t>2</w:t>
            </w:r>
          </w:p>
        </w:tc>
        <w:tc>
          <w:tcPr>
            <w:tcW w:w="1425" w:type="dxa"/>
            <w:noWrap/>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平均每月金额</w:t>
            </w:r>
          </w:p>
        </w:tc>
        <w:tc>
          <w:tcPr>
            <w:tcW w:w="1631" w:type="dxa"/>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3.48万元/月</w:t>
            </w:r>
          </w:p>
        </w:tc>
        <w:tc>
          <w:tcPr>
            <w:tcW w:w="1378" w:type="dxa"/>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7.93万元/月</w:t>
            </w:r>
          </w:p>
        </w:tc>
        <w:tc>
          <w:tcPr>
            <w:tcW w:w="1350" w:type="dxa"/>
            <w:noWrap w:val="0"/>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4.14万元/月</w:t>
            </w:r>
          </w:p>
        </w:tc>
        <w:tc>
          <w:tcPr>
            <w:tcW w:w="1153" w:type="dxa"/>
            <w:noWrap w:val="0"/>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rPr>
              <w:t>3.19万元</w:t>
            </w:r>
          </w:p>
        </w:tc>
        <w:tc>
          <w:tcPr>
            <w:tcW w:w="1350" w:type="dxa"/>
            <w:noWrap w:val="0"/>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rPr>
              <w:t>3.49万元</w:t>
            </w:r>
          </w:p>
        </w:tc>
      </w:tr>
    </w:tbl>
    <w:p>
      <w:pPr>
        <w:autoSpaceDE w:val="0"/>
        <w:autoSpaceDN w:val="0"/>
        <w:adjustRightInd w:val="0"/>
        <w:snapToGrid w:val="0"/>
        <w:spacing w:line="600" w:lineRule="exact"/>
        <w:ind w:firstLine="672" w:firstLineChars="200"/>
        <w:rPr>
          <w:rFonts w:hint="eastAsia" w:ascii="仿宋" w:hAnsi="仿宋" w:eastAsia="仿宋" w:cs="仿宋"/>
          <w:kern w:val="0"/>
          <w:sz w:val="32"/>
          <w:szCs w:val="32"/>
        </w:rPr>
      </w:pPr>
      <w:r>
        <w:rPr>
          <w:rFonts w:hint="eastAsia" w:ascii="仿宋" w:hAnsi="仿宋" w:eastAsia="仿宋" w:cs="仿宋"/>
          <w:color w:val="000000"/>
          <w:spacing w:val="8"/>
          <w:sz w:val="32"/>
          <w:szCs w:val="32"/>
          <w:shd w:val="clear" w:color="auto" w:fill="FFFFFF"/>
        </w:rPr>
        <w:t>根据2023年各街道的项目申报的预算内容、全成本支出情况、派驻街道社工人员、困难群众群体等情况，并</w:t>
      </w:r>
      <w:r>
        <w:rPr>
          <w:rFonts w:hint="eastAsia" w:ascii="仿宋" w:hAnsi="仿宋" w:eastAsia="仿宋" w:cs="仿宋"/>
          <w:kern w:val="0"/>
          <w:sz w:val="32"/>
          <w:szCs w:val="32"/>
        </w:rPr>
        <w:t>且参考《社会建设与民政领域政府购买社会工作服务项目资金使用管理指引的通知》（京社委发〔2018〕97号）、</w:t>
      </w:r>
      <w:r>
        <w:rPr>
          <w:rFonts w:hint="eastAsia" w:ascii="仿宋" w:hAnsi="仿宋" w:eastAsia="仿宋" w:cs="仿宋"/>
          <w:spacing w:val="-4"/>
          <w:sz w:val="32"/>
          <w:szCs w:val="32"/>
        </w:rPr>
        <w:t>《政府购买社会工作服务预算测算参考标准</w:t>
      </w:r>
      <w:r>
        <w:rPr>
          <w:rFonts w:hint="eastAsia" w:ascii="仿宋" w:hAnsi="仿宋" w:eastAsia="仿宋" w:cs="仿宋"/>
          <w:kern w:val="0"/>
          <w:sz w:val="32"/>
          <w:szCs w:val="32"/>
        </w:rPr>
        <w:t>》文件中关于人力成本费用的相关规定测算，工作组</w:t>
      </w:r>
      <w:r>
        <w:rPr>
          <w:rFonts w:hint="eastAsia" w:ascii="仿宋" w:hAnsi="仿宋" w:eastAsia="仿宋" w:cs="仿宋"/>
          <w:color w:val="000000"/>
          <w:spacing w:val="8"/>
          <w:sz w:val="32"/>
          <w:szCs w:val="32"/>
          <w:shd w:val="clear" w:color="auto" w:fill="FFFFFF"/>
        </w:rPr>
        <w:t>通过分析认为，</w:t>
      </w:r>
      <w:r>
        <w:rPr>
          <w:rFonts w:hint="eastAsia" w:ascii="仿宋" w:hAnsi="仿宋" w:eastAsia="仿宋" w:cs="仿宋"/>
          <w:kern w:val="0"/>
          <w:sz w:val="32"/>
          <w:szCs w:val="32"/>
        </w:rPr>
        <w:t>北京泰和社会工作服务中心</w:t>
      </w:r>
      <w:r>
        <w:rPr>
          <w:rFonts w:hint="eastAsia" w:ascii="仿宋" w:hAnsi="仿宋" w:eastAsia="仿宋" w:cs="仿宋"/>
          <w:color w:val="000000"/>
          <w:spacing w:val="8"/>
          <w:sz w:val="32"/>
          <w:szCs w:val="32"/>
          <w:shd w:val="clear" w:color="auto" w:fill="FFFFFF"/>
        </w:rPr>
        <w:t>与月坛街道办事处签署的委托合同费用金额与其他街道横向比较，</w:t>
      </w:r>
      <w:r>
        <w:rPr>
          <w:rFonts w:hint="eastAsia" w:ascii="仿宋" w:hAnsi="仿宋" w:eastAsia="仿宋" w:cs="仿宋"/>
          <w:kern w:val="0"/>
          <w:sz w:val="32"/>
          <w:szCs w:val="32"/>
        </w:rPr>
        <w:t>通过本次成本分析，根据现有的项目资料，结合项目成本与绩效情况的匹配度分析以及其他单位同类项目横向对比，项目经费总额处于中等水平。为控制预算成本，月坛街道针对项目均做结项审计，作为成本控制的手段。从这几年签订的服务合同来看，月坛</w:t>
      </w:r>
      <w:r>
        <w:rPr>
          <w:rFonts w:hint="eastAsia" w:ascii="仿宋" w:hAnsi="仿宋" w:eastAsia="仿宋" w:cs="仿宋"/>
          <w:color w:val="000000"/>
          <w:spacing w:val="8"/>
          <w:sz w:val="32"/>
          <w:szCs w:val="32"/>
          <w:shd w:val="clear" w:color="auto" w:fill="FFFFFF"/>
        </w:rPr>
        <w:t>街道从</w:t>
      </w:r>
      <w:r>
        <w:rPr>
          <w:rFonts w:hint="eastAsia" w:ascii="仿宋" w:hAnsi="仿宋" w:eastAsia="仿宋" w:cs="仿宋"/>
          <w:kern w:val="0"/>
          <w:sz w:val="32"/>
          <w:szCs w:val="32"/>
        </w:rPr>
        <w:t>2021-2023年度合同中委托服务内容根据工作的实际需求略有不同，具体每项成本核算方式均不同，派驻困难群众救助服务所人员也不同。月坛街道连续的委托合同金额为：2021年服务费28.88万元，2022年41.83万元，2023年41.85万元，年均在37.52万元。</w:t>
      </w:r>
    </w:p>
    <w:p>
      <w:pPr>
        <w:ind w:firstLine="640" w:firstLineChars="200"/>
        <w:outlineLvl w:val="0"/>
        <w:rPr>
          <w:rFonts w:hint="eastAsia" w:ascii="仿宋" w:hAnsi="仿宋" w:eastAsia="仿宋" w:cs="仿宋"/>
          <w:kern w:val="0"/>
          <w:sz w:val="32"/>
          <w:szCs w:val="32"/>
        </w:rPr>
      </w:pPr>
      <w:bookmarkStart w:id="9" w:name="_Toc2206"/>
      <w:r>
        <w:rPr>
          <w:rFonts w:hint="eastAsia" w:ascii="仿宋" w:hAnsi="仿宋" w:eastAsia="仿宋" w:cs="仿宋"/>
          <w:sz w:val="32"/>
          <w:szCs w:val="32"/>
        </w:rPr>
        <w:t>三</w:t>
      </w:r>
      <w:r>
        <w:rPr>
          <w:rFonts w:hint="eastAsia" w:ascii="仿宋" w:hAnsi="仿宋" w:eastAsia="仿宋" w:cs="仿宋"/>
          <w:kern w:val="0"/>
          <w:sz w:val="32"/>
          <w:szCs w:val="32"/>
        </w:rPr>
        <w:t>、存在问题与改进措施</w:t>
      </w:r>
      <w:bookmarkEnd w:id="9"/>
    </w:p>
    <w:p>
      <w:pPr>
        <w:ind w:left="-4" w:leftChars="-2" w:firstLine="566" w:firstLineChars="177"/>
        <w:rPr>
          <w:rFonts w:hint="eastAsia" w:ascii="仿宋" w:hAnsi="仿宋" w:eastAsia="仿宋" w:cs="仿宋"/>
          <w:sz w:val="32"/>
          <w:szCs w:val="32"/>
        </w:rPr>
      </w:pPr>
      <w:r>
        <w:rPr>
          <w:rFonts w:hint="eastAsia" w:ascii="仿宋" w:hAnsi="仿宋" w:eastAsia="仿宋" w:cs="仿宋"/>
          <w:sz w:val="32"/>
          <w:szCs w:val="32"/>
        </w:rPr>
        <w:t>对照项目成本、产出、效益效果的历史值与基准值的差距，分析项目运行管理中存在的问题，并从成本管控和优化业务管理的角度，提出升级和改进管理、提高绩效水平的具体措施和路径。</w:t>
      </w:r>
    </w:p>
    <w:p>
      <w:pPr>
        <w:ind w:left="-4" w:leftChars="-2" w:firstLine="566" w:firstLineChars="177"/>
        <w:outlineLvl w:val="1"/>
        <w:rPr>
          <w:rFonts w:hint="eastAsia" w:ascii="仿宋" w:hAnsi="仿宋" w:eastAsia="仿宋" w:cs="仿宋"/>
          <w:bCs/>
          <w:kern w:val="0"/>
          <w:sz w:val="32"/>
          <w:szCs w:val="32"/>
        </w:rPr>
      </w:pPr>
      <w:bookmarkStart w:id="10" w:name="_Toc27991"/>
      <w:r>
        <w:rPr>
          <w:rFonts w:hint="eastAsia" w:ascii="仿宋" w:hAnsi="仿宋" w:eastAsia="仿宋" w:cs="仿宋"/>
          <w:bCs/>
          <w:kern w:val="0"/>
          <w:sz w:val="32"/>
          <w:szCs w:val="32"/>
        </w:rPr>
        <w:t>（一）主要问题</w:t>
      </w:r>
      <w:bookmarkEnd w:id="10"/>
    </w:p>
    <w:p>
      <w:pPr>
        <w:ind w:firstLine="640" w:firstLineChars="200"/>
        <w:rPr>
          <w:rFonts w:hint="eastAsia" w:ascii="仿宋" w:hAnsi="仿宋" w:eastAsia="仿宋" w:cs="仿宋"/>
          <w:sz w:val="32"/>
          <w:szCs w:val="32"/>
        </w:rPr>
      </w:pPr>
      <w:r>
        <w:rPr>
          <w:rFonts w:hint="eastAsia" w:ascii="仿宋" w:hAnsi="仿宋" w:eastAsia="仿宋" w:cs="仿宋"/>
          <w:sz w:val="32"/>
          <w:szCs w:val="32"/>
        </w:rPr>
        <w:t>1.成本管控方面的问题。</w:t>
      </w:r>
    </w:p>
    <w:p>
      <w:pPr>
        <w:pStyle w:val="5"/>
        <w:ind w:firstLine="640" w:firstLineChars="200"/>
        <w:rPr>
          <w:rFonts w:hint="eastAsia" w:ascii="仿宋" w:hAnsi="仿宋" w:eastAsia="仿宋" w:cs="仿宋"/>
          <w:sz w:val="32"/>
          <w:szCs w:val="32"/>
        </w:rPr>
      </w:pPr>
      <w:r>
        <w:rPr>
          <w:rFonts w:hint="eastAsia" w:ascii="仿宋" w:hAnsi="仿宋" w:eastAsia="仿宋" w:cs="仿宋"/>
          <w:sz w:val="32"/>
          <w:szCs w:val="32"/>
        </w:rPr>
        <w:t>（1）本项目通过政府购买服务由第三方“开展定期巡访探视、个案服务管理，并配备项目专职工作人员,实现对困难群众救助服务,统筹推进精准救助工作。但项目预算测算的依据性、明确性、合理性呈现的不够清晰，与《社会建设与民政领域政府购买社会工作服务项目资金使用管理指引》（京社委发〔2019〕97 号）要求是否相符，不够清晰。</w:t>
      </w:r>
    </w:p>
    <w:p>
      <w:pPr>
        <w:pStyle w:val="5"/>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（2）对于项目预算编制进行深化和分析，明确编制依据。从与其他街道横向比较而言，月坛街道的项目月成本水平高于其他街道。</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2.产出和效益效果方面的问题。</w:t>
      </w:r>
    </w:p>
    <w:p>
      <w:pPr>
        <w:pStyle w:val="5"/>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街道对项目绩效管理的意识还需要进一步提升。例如项目绩效目标表设置的明确性、可量化性还需加强；项目绩效成果的呈现还有待加强，对于归集整理的支撑信息要充分留痕；缺少满意度调查结果的分析，项目绩效管理水平需要加强和提高。</w:t>
      </w:r>
    </w:p>
    <w:p>
      <w:pPr>
        <w:pStyle w:val="5"/>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（2）月坛街道对于困难所的工作虽进行了考核检查，但缺乏对服务质量的评价留痕，无法确保困难救助按照预期提供高质量的工作，不利于核实项目产出、效益情况。</w:t>
      </w:r>
    </w:p>
    <w:p>
      <w:pPr>
        <w:numPr>
          <w:ilvl w:val="0"/>
          <w:numId w:val="3"/>
        </w:numPr>
        <w:spacing w:line="600" w:lineRule="exact"/>
        <w:ind w:left="-4" w:leftChars="-2" w:firstLine="566" w:firstLineChars="177"/>
        <w:outlineLvl w:val="1"/>
        <w:rPr>
          <w:rFonts w:hint="eastAsia" w:ascii="仿宋" w:hAnsi="仿宋" w:eastAsia="仿宋" w:cs="仿宋"/>
          <w:sz w:val="32"/>
          <w:szCs w:val="32"/>
        </w:rPr>
      </w:pPr>
      <w:bookmarkStart w:id="11" w:name="_Toc4317"/>
      <w:r>
        <w:rPr>
          <w:rFonts w:hint="eastAsia" w:ascii="仿宋" w:hAnsi="仿宋" w:eastAsia="仿宋" w:cs="仿宋"/>
          <w:bCs/>
          <w:kern w:val="0"/>
          <w:sz w:val="32"/>
          <w:szCs w:val="32"/>
        </w:rPr>
        <w:t>改进措施方案</w:t>
      </w:r>
      <w:bookmarkEnd w:id="11"/>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1.建议街道对项目预算构成的合理性、拟开展内容的必要性、必须性进行研判，严格依照《社会建设与民政领域政府购买社会工作服务项目资金使用管理指引》（京社委发〔2019〕97 号）的要求编制项目预算。对项目具体内容进行优化，提高项目资金的效能。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2.建议月坛街道完善困难救助服务体系的长效机制建设，建立全程绩效考核机制，确保工作有序、高效开展。</w:t>
      </w:r>
    </w:p>
    <w:p>
      <w:pPr>
        <w:pStyle w:val="2"/>
        <w:spacing w:line="600" w:lineRule="exact"/>
        <w:ind w:firstLine="640"/>
        <w:rPr>
          <w:rFonts w:hint="eastAsia" w:ascii="仿宋" w:hAnsi="仿宋" w:eastAsia="仿宋" w:cs="仿宋"/>
          <w:sz w:val="32"/>
          <w:szCs w:val="32"/>
        </w:rPr>
      </w:pPr>
      <w:r>
        <w:rPr>
          <w:rFonts w:hint="eastAsia" w:ascii="仿宋" w:hAnsi="仿宋" w:eastAsia="仿宋" w:cs="仿宋"/>
          <w:sz w:val="32"/>
          <w:szCs w:val="32"/>
        </w:rPr>
        <w:t>3.建议月坛街道加强绩效管理相关政策解读和实操培训，提升项目相关负责人的绩效目标管理意识，加强其对绩效目标和指标的理解，提高指标设定的科学性、规范性和细化量化程度。同时，重视项目绩效的分析总结和资料的收集整理，及时发现问题并采取解决措施，为街道持续稳定运行、提高服务效能奠定基础。</w:t>
      </w:r>
    </w:p>
    <w:p>
      <w:pPr>
        <w:ind w:firstLine="640" w:firstLineChars="200"/>
        <w:outlineLvl w:val="0"/>
        <w:rPr>
          <w:rFonts w:hint="eastAsia" w:ascii="仿宋" w:hAnsi="仿宋" w:eastAsia="仿宋" w:cs="仿宋"/>
          <w:sz w:val="32"/>
          <w:szCs w:val="32"/>
        </w:rPr>
      </w:pPr>
      <w:bookmarkStart w:id="12" w:name="_Toc7593"/>
      <w:r>
        <w:rPr>
          <w:rFonts w:hint="eastAsia" w:ascii="仿宋" w:hAnsi="仿宋" w:eastAsia="仿宋" w:cs="仿宋"/>
          <w:sz w:val="32"/>
          <w:szCs w:val="32"/>
        </w:rPr>
        <w:t>四、确定支出定额标准</w:t>
      </w:r>
      <w:bookmarkEnd w:id="12"/>
    </w:p>
    <w:p>
      <w:pPr>
        <w:pStyle w:val="2"/>
        <w:ind w:firstLine="640"/>
        <w:rPr>
          <w:rFonts w:hint="eastAsia" w:ascii="仿宋" w:hAnsi="仿宋" w:eastAsia="仿宋" w:cs="仿宋"/>
          <w:kern w:val="0"/>
          <w:sz w:val="32"/>
          <w:szCs w:val="32"/>
        </w:rPr>
      </w:pPr>
      <w:r>
        <w:rPr>
          <w:rFonts w:hint="eastAsia" w:ascii="仿宋" w:hAnsi="仿宋" w:eastAsia="仿宋" w:cs="仿宋"/>
          <w:kern w:val="0"/>
          <w:sz w:val="32"/>
          <w:szCs w:val="32"/>
        </w:rPr>
        <w:t>根据上述分析，按照“月坛街道困难群众救助服务所项目”成本构成，结合管理实际，明确定额标准。</w:t>
      </w:r>
    </w:p>
    <w:p>
      <w:pPr>
        <w:pStyle w:val="2"/>
        <w:ind w:firstLine="640"/>
        <w:rPr>
          <w:rFonts w:hint="eastAsia" w:ascii="仿宋" w:hAnsi="仿宋" w:eastAsia="仿宋" w:cs="仿宋"/>
          <w:kern w:val="0"/>
          <w:sz w:val="32"/>
          <w:szCs w:val="32"/>
        </w:rPr>
      </w:pPr>
      <w:r>
        <w:rPr>
          <w:rFonts w:hint="eastAsia" w:ascii="仿宋" w:hAnsi="仿宋" w:eastAsia="仿宋" w:cs="仿宋"/>
          <w:kern w:val="0"/>
          <w:sz w:val="32"/>
          <w:szCs w:val="32"/>
        </w:rPr>
        <w:t>该项目的定额标准分析基于历史支出情况，明确项目的支出范围，并对各项目内容进行合理归类。工作组通过以下原则确定各项目成本投入标准：一是维持较为合理的历史成本费用；二是对于项目工作量投入缺少合理性说明的内容，采取预估核减的方式；三是属于变动成本的费用支出，按照年度平均值或增长趋势测算。在此基础上，确定月坛街道以后年度涉及该类项目成本投入规模。</w:t>
      </w:r>
    </w:p>
    <w:p>
      <w:pPr>
        <w:pStyle w:val="2"/>
        <w:spacing w:line="6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本项目成本分析以收集的项目资料和相关数据为参考，并结合横向对比，月坛街道总成本处于中等水平，项目成本费用随着人力成本增长以及目标值的变动可能存在项目经费变动情况。本次分析不出具总定额，但结合近年度项目情况以及后续年度工作计划，出具单项金额，便于以后年确定工作量后测算项目总成本参考，通过分析，出具以下结论：</w:t>
      </w:r>
      <w:r>
        <w:rPr>
          <w:rFonts w:hint="eastAsia" w:ascii="仿宋" w:hAnsi="仿宋" w:eastAsia="仿宋" w:cs="仿宋"/>
          <w:kern w:val="0"/>
          <w:sz w:val="32"/>
          <w:szCs w:val="32"/>
        </w:rPr>
        <w:tab/>
      </w:r>
      <w:r>
        <w:rPr>
          <w:rFonts w:hint="eastAsia" w:ascii="仿宋" w:hAnsi="仿宋" w:eastAsia="仿宋" w:cs="仿宋"/>
          <w:kern w:val="0"/>
          <w:sz w:val="32"/>
          <w:szCs w:val="32"/>
        </w:rPr>
        <w:tab/>
      </w:r>
      <w:r>
        <w:rPr>
          <w:rFonts w:hint="eastAsia" w:ascii="仿宋" w:hAnsi="仿宋" w:eastAsia="仿宋" w:cs="仿宋"/>
          <w:b/>
          <w:bCs/>
          <w:kern w:val="0"/>
          <w:sz w:val="32"/>
          <w:szCs w:val="32"/>
        </w:rPr>
        <w:t>一</w:t>
      </w:r>
      <w:r>
        <w:rPr>
          <w:rFonts w:hint="eastAsia" w:ascii="仿宋" w:hAnsi="仿宋" w:eastAsia="仿宋" w:cs="仿宋"/>
          <w:b w:val="0"/>
          <w:bCs w:val="0"/>
          <w:kern w:val="0"/>
          <w:sz w:val="32"/>
          <w:szCs w:val="32"/>
        </w:rPr>
        <w:t>是</w:t>
      </w:r>
      <w:r>
        <w:rPr>
          <w:rFonts w:hint="eastAsia" w:ascii="仿宋" w:hAnsi="仿宋" w:eastAsia="仿宋" w:cs="仿宋"/>
          <w:kern w:val="0"/>
          <w:sz w:val="32"/>
          <w:szCs w:val="32"/>
        </w:rPr>
        <w:t>开展需求评估，出具单项定额200元/人次，2人一组，每户时长不低于2小时；</w:t>
      </w:r>
    </w:p>
    <w:p>
      <w:pPr>
        <w:autoSpaceDE w:val="0"/>
        <w:autoSpaceDN w:val="0"/>
        <w:adjustRightInd w:val="0"/>
        <w:snapToGrid w:val="0"/>
        <w:spacing w:line="600" w:lineRule="exact"/>
        <w:ind w:firstLine="643" w:firstLineChars="200"/>
        <w:rPr>
          <w:rFonts w:hint="eastAsia" w:ascii="仿宋" w:hAnsi="仿宋" w:eastAsia="仿宋" w:cs="仿宋"/>
          <w:kern w:val="0"/>
          <w:sz w:val="32"/>
          <w:szCs w:val="32"/>
        </w:rPr>
      </w:pPr>
      <w:r>
        <w:rPr>
          <w:rFonts w:hint="eastAsia" w:ascii="仿宋" w:hAnsi="仿宋" w:eastAsia="仿宋" w:cs="仿宋"/>
          <w:b/>
          <w:kern w:val="0"/>
          <w:sz w:val="32"/>
          <w:szCs w:val="32"/>
        </w:rPr>
        <w:t>二</w:t>
      </w:r>
      <w:r>
        <w:rPr>
          <w:rFonts w:hint="eastAsia" w:ascii="仿宋" w:hAnsi="仿宋" w:eastAsia="仿宋" w:cs="仿宋"/>
          <w:b w:val="0"/>
          <w:bCs/>
          <w:kern w:val="0"/>
          <w:sz w:val="32"/>
          <w:szCs w:val="32"/>
        </w:rPr>
        <w:t>是</w:t>
      </w:r>
      <w:r>
        <w:rPr>
          <w:rFonts w:hint="eastAsia" w:ascii="仿宋" w:hAnsi="仿宋" w:eastAsia="仿宋" w:cs="仿宋"/>
          <w:kern w:val="0"/>
          <w:sz w:val="32"/>
          <w:szCs w:val="32"/>
        </w:rPr>
        <w:t>个案帮扶工作，</w:t>
      </w:r>
      <w:r>
        <w:rPr>
          <w:rFonts w:hint="eastAsia" w:ascii="仿宋" w:hAnsi="仿宋" w:eastAsia="仿宋" w:cs="仿宋"/>
          <w:bCs/>
          <w:kern w:val="0"/>
          <w:sz w:val="32"/>
          <w:szCs w:val="32"/>
        </w:rPr>
        <w:t>出具单项定额300元/人次户</w:t>
      </w:r>
      <w:r>
        <w:rPr>
          <w:rFonts w:hint="eastAsia" w:ascii="仿宋" w:hAnsi="仿宋" w:eastAsia="仿宋" w:cs="仿宋"/>
          <w:kern w:val="0"/>
          <w:sz w:val="32"/>
          <w:szCs w:val="32"/>
        </w:rPr>
        <w:t>，2人一组，每次</w:t>
      </w:r>
      <w:r>
        <w:rPr>
          <w:rFonts w:hint="eastAsia" w:ascii="仿宋" w:hAnsi="仿宋" w:eastAsia="仿宋" w:cs="仿宋"/>
          <w:bCs/>
          <w:kern w:val="0"/>
          <w:sz w:val="32"/>
          <w:szCs w:val="32"/>
        </w:rPr>
        <w:t>帮扶服务2小时，信息建档并录入1小时；</w:t>
      </w:r>
    </w:p>
    <w:p>
      <w:pPr>
        <w:autoSpaceDE w:val="0"/>
        <w:autoSpaceDN w:val="0"/>
        <w:adjustRightInd w:val="0"/>
        <w:snapToGri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w:t>
      </w:r>
      <w:r>
        <w:rPr>
          <w:rFonts w:hint="eastAsia" w:ascii="仿宋" w:hAnsi="仿宋" w:eastAsia="仿宋" w:cs="仿宋"/>
          <w:b w:val="0"/>
          <w:bCs w:val="0"/>
          <w:kern w:val="0"/>
          <w:sz w:val="32"/>
          <w:szCs w:val="32"/>
        </w:rPr>
        <w:t>是</w:t>
      </w:r>
      <w:r>
        <w:rPr>
          <w:rFonts w:hint="eastAsia" w:ascii="仿宋" w:hAnsi="仿宋" w:eastAsia="仿宋" w:cs="仿宋"/>
          <w:kern w:val="0"/>
          <w:sz w:val="32"/>
          <w:szCs w:val="32"/>
        </w:rPr>
        <w:t xml:space="preserve">案例总结，出具单项定额800元/份； </w:t>
      </w:r>
    </w:p>
    <w:p>
      <w:pPr>
        <w:autoSpaceDE w:val="0"/>
        <w:autoSpaceDN w:val="0"/>
        <w:adjustRightInd w:val="0"/>
        <w:snapToGri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w:t>
      </w:r>
      <w:r>
        <w:rPr>
          <w:rFonts w:hint="eastAsia" w:ascii="仿宋" w:hAnsi="仿宋" w:eastAsia="仿宋" w:cs="仿宋"/>
          <w:b w:val="0"/>
          <w:bCs w:val="0"/>
          <w:kern w:val="0"/>
          <w:sz w:val="32"/>
          <w:szCs w:val="32"/>
        </w:rPr>
        <w:t>是</w:t>
      </w:r>
      <w:r>
        <w:rPr>
          <w:rFonts w:hint="eastAsia" w:ascii="仿宋" w:hAnsi="仿宋" w:eastAsia="仿宋" w:cs="仿宋"/>
          <w:spacing w:val="-4"/>
          <w:sz w:val="32"/>
          <w:szCs w:val="32"/>
        </w:rPr>
        <w:t>社工开展小组活动、社区活动，</w:t>
      </w:r>
      <w:r>
        <w:rPr>
          <w:rFonts w:hint="eastAsia" w:ascii="仿宋" w:hAnsi="仿宋" w:eastAsia="仿宋" w:cs="仿宋"/>
          <w:kern w:val="0"/>
          <w:sz w:val="32"/>
          <w:szCs w:val="32"/>
        </w:rPr>
        <w:t xml:space="preserve">出具定额单项800元/次，每次16小时； </w:t>
      </w:r>
    </w:p>
    <w:p>
      <w:pPr>
        <w:pStyle w:val="2"/>
        <w:ind w:firstLine="643"/>
        <w:rPr>
          <w:rFonts w:hint="eastAsia" w:ascii="仿宋" w:hAnsi="仿宋" w:eastAsia="仿宋" w:cs="仿宋"/>
          <w:sz w:val="32"/>
          <w:szCs w:val="32"/>
        </w:rPr>
      </w:pPr>
      <w:r>
        <w:rPr>
          <w:rFonts w:hint="eastAsia" w:ascii="仿宋" w:hAnsi="仿宋" w:eastAsia="仿宋" w:cs="仿宋"/>
          <w:b w:val="0"/>
          <w:bCs w:val="0"/>
          <w:kern w:val="0"/>
          <w:sz w:val="32"/>
          <w:szCs w:val="32"/>
        </w:rPr>
        <w:t>五是</w:t>
      </w:r>
      <w:r>
        <w:rPr>
          <w:rFonts w:hint="eastAsia" w:ascii="仿宋" w:hAnsi="仿宋" w:eastAsia="仿宋" w:cs="仿宋"/>
          <w:spacing w:val="-4"/>
          <w:sz w:val="32"/>
          <w:szCs w:val="32"/>
        </w:rPr>
        <w:t>新增低保低收入家庭入户审核：出具单项定额为400元/户，2人，每户时长不低于4小时；</w:t>
      </w:r>
    </w:p>
    <w:p>
      <w:pPr>
        <w:autoSpaceDE w:val="0"/>
        <w:autoSpaceDN w:val="0"/>
        <w:adjustRightInd w:val="0"/>
        <w:snapToGri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另外，业务培训、媒体宣传、其他费用（管理费用和税费）为变动成本，不作定额分析。</w:t>
      </w:r>
    </w:p>
    <w:p>
      <w:pPr>
        <w:pStyle w:val="2"/>
        <w:spacing w:line="600" w:lineRule="exact"/>
        <w:ind w:firstLine="640"/>
        <w:rPr>
          <w:rFonts w:hint="eastAsia" w:ascii="仿宋" w:hAnsi="仿宋" w:eastAsia="仿宋" w:cs="仿宋"/>
          <w:bCs/>
          <w:sz w:val="32"/>
          <w:szCs w:val="32"/>
        </w:rPr>
      </w:pPr>
      <w:r>
        <w:rPr>
          <w:rFonts w:hint="eastAsia" w:ascii="仿宋" w:hAnsi="仿宋" w:eastAsia="仿宋" w:cs="仿宋"/>
          <w:bCs/>
          <w:sz w:val="32"/>
          <w:szCs w:val="32"/>
        </w:rPr>
        <w:t>综上，月坛街道困难群众救助服务所经费项目单项定额成本详见下表：</w:t>
      </w:r>
    </w:p>
    <w:tbl>
      <w:tblPr>
        <w:tblStyle w:val="12"/>
        <w:tblW w:w="7850" w:type="dxa"/>
        <w:tblInd w:w="100" w:type="dxa"/>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
      <w:tblGrid>
        <w:gridCol w:w="721"/>
        <w:gridCol w:w="3032"/>
        <w:gridCol w:w="1615"/>
        <w:gridCol w:w="2482"/>
      </w:tblGrid>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461" w:hRule="atLeast"/>
        </w:trPr>
        <w:tc>
          <w:tcPr>
            <w:tcW w:w="721" w:type="dxa"/>
            <w:noWrap/>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序号</w:t>
            </w:r>
          </w:p>
        </w:tc>
        <w:tc>
          <w:tcPr>
            <w:tcW w:w="3032" w:type="dxa"/>
            <w:noWrap/>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内容</w:t>
            </w:r>
          </w:p>
        </w:tc>
        <w:tc>
          <w:tcPr>
            <w:tcW w:w="1615" w:type="dxa"/>
            <w:noWrap/>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单项定额</w:t>
            </w:r>
          </w:p>
        </w:tc>
        <w:tc>
          <w:tcPr>
            <w:tcW w:w="2482" w:type="dxa"/>
            <w:noWrap w:val="0"/>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备注</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637" w:hRule="atLeast"/>
        </w:trPr>
        <w:tc>
          <w:tcPr>
            <w:tcW w:w="721" w:type="dxa"/>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3032" w:type="dxa"/>
            <w:noWrap w:val="0"/>
            <w:vAlign w:val="center"/>
          </w:tcPr>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需求评估</w:t>
            </w:r>
          </w:p>
        </w:tc>
        <w:tc>
          <w:tcPr>
            <w:tcW w:w="1615" w:type="dxa"/>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200元/人次</w:t>
            </w:r>
          </w:p>
        </w:tc>
        <w:tc>
          <w:tcPr>
            <w:tcW w:w="2482" w:type="dxa"/>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2人一组，每户时长不低于2小时</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625" w:hRule="atLeast"/>
        </w:trPr>
        <w:tc>
          <w:tcPr>
            <w:tcW w:w="721" w:type="dxa"/>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w:t>
            </w:r>
          </w:p>
        </w:tc>
        <w:tc>
          <w:tcPr>
            <w:tcW w:w="3032"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个案帮扶</w:t>
            </w:r>
          </w:p>
        </w:tc>
        <w:tc>
          <w:tcPr>
            <w:tcW w:w="1615" w:type="dxa"/>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300元/人次户</w:t>
            </w:r>
          </w:p>
        </w:tc>
        <w:tc>
          <w:tcPr>
            <w:tcW w:w="2482" w:type="dxa"/>
            <w:noWrap w:val="0"/>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2人/组，每次帮扶服务2小时，信息建档并录入1小时</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499" w:hRule="atLeast"/>
        </w:trPr>
        <w:tc>
          <w:tcPr>
            <w:tcW w:w="721" w:type="dxa"/>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3</w:t>
            </w:r>
          </w:p>
        </w:tc>
        <w:tc>
          <w:tcPr>
            <w:tcW w:w="3032"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案例总结</w:t>
            </w:r>
          </w:p>
        </w:tc>
        <w:tc>
          <w:tcPr>
            <w:tcW w:w="1615" w:type="dxa"/>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800元/份</w:t>
            </w:r>
          </w:p>
        </w:tc>
        <w:tc>
          <w:tcPr>
            <w:tcW w:w="2482" w:type="dxa"/>
            <w:noWrap w:val="0"/>
            <w:vAlign w:val="center"/>
          </w:tcPr>
          <w:p>
            <w:pPr>
              <w:widowControl/>
              <w:jc w:val="center"/>
              <w:textAlignment w:val="center"/>
            </w:pPr>
            <w:r>
              <w:rPr>
                <w:rFonts w:hint="eastAsia"/>
              </w:rPr>
              <w:t>-</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683" w:hRule="atLeast"/>
        </w:trPr>
        <w:tc>
          <w:tcPr>
            <w:tcW w:w="721" w:type="dxa"/>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4</w:t>
            </w:r>
          </w:p>
        </w:tc>
        <w:tc>
          <w:tcPr>
            <w:tcW w:w="3032" w:type="dxa"/>
            <w:noWrap w:val="0"/>
            <w:vAlign w:val="center"/>
          </w:tcPr>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社工开展小组活动、社区活动</w:t>
            </w:r>
          </w:p>
        </w:tc>
        <w:tc>
          <w:tcPr>
            <w:tcW w:w="1615" w:type="dxa"/>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800元/次</w:t>
            </w:r>
          </w:p>
        </w:tc>
        <w:tc>
          <w:tcPr>
            <w:tcW w:w="2482" w:type="dxa"/>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每次16小时</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683" w:hRule="atLeast"/>
        </w:trPr>
        <w:tc>
          <w:tcPr>
            <w:tcW w:w="721" w:type="dxa"/>
            <w:noWrap/>
            <w:vAlign w:val="center"/>
          </w:tcPr>
          <w:p>
            <w:pPr>
              <w:widowControl/>
              <w:jc w:val="center"/>
              <w:textAlignment w:val="center"/>
              <w:rPr>
                <w:rFonts w:hint="eastAsia" w:ascii="宋体" w:hAnsi="宋体" w:cs="宋体"/>
                <w:kern w:val="0"/>
                <w:sz w:val="22"/>
                <w:szCs w:val="22"/>
                <w:lang w:bidi="ar"/>
              </w:rPr>
            </w:pPr>
            <w:bookmarkStart w:id="13" w:name="_Toc21071"/>
            <w:r>
              <w:rPr>
                <w:rFonts w:hint="eastAsia" w:ascii="宋体" w:hAnsi="宋体" w:cs="宋体"/>
                <w:kern w:val="0"/>
                <w:sz w:val="22"/>
                <w:szCs w:val="22"/>
                <w:lang w:bidi="ar"/>
              </w:rPr>
              <w:t>5</w:t>
            </w:r>
          </w:p>
        </w:tc>
        <w:tc>
          <w:tcPr>
            <w:tcW w:w="3032" w:type="dxa"/>
            <w:noWrap w:val="0"/>
            <w:vAlign w:val="center"/>
          </w:tcPr>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新增低保低收入家庭入户审核</w:t>
            </w:r>
          </w:p>
        </w:tc>
        <w:tc>
          <w:tcPr>
            <w:tcW w:w="1615" w:type="dxa"/>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400元/户</w:t>
            </w:r>
          </w:p>
        </w:tc>
        <w:tc>
          <w:tcPr>
            <w:tcW w:w="2482" w:type="dxa"/>
            <w:noWrap/>
            <w:vAlign w:val="center"/>
          </w:tcPr>
          <w:p>
            <w:pPr>
              <w:jc w:val="center"/>
              <w:rPr>
                <w:rFonts w:hint="eastAsia"/>
              </w:rPr>
            </w:pPr>
            <w:r>
              <w:rPr>
                <w:rFonts w:hint="eastAsia" w:ascii="宋体" w:hAnsi="宋体" w:cs="宋体"/>
                <w:kern w:val="0"/>
                <w:sz w:val="22"/>
                <w:szCs w:val="22"/>
                <w:lang w:bidi="ar"/>
              </w:rPr>
              <w:t>2人，每户时长不低于4小时</w:t>
            </w:r>
          </w:p>
        </w:tc>
      </w:tr>
    </w:tbl>
    <w:p>
      <w:pPr>
        <w:pStyle w:val="3"/>
        <w:spacing w:before="0" w:after="0" w:line="600" w:lineRule="exact"/>
        <w:ind w:firstLine="640" w:firstLineChars="200"/>
        <w:rPr>
          <w:rFonts w:hint="eastAsia" w:ascii="仿宋" w:hAnsi="仿宋" w:eastAsia="仿宋" w:cs="仿宋"/>
          <w:b w:val="0"/>
          <w:bCs w:val="0"/>
          <w:kern w:val="0"/>
          <w:sz w:val="32"/>
          <w:szCs w:val="32"/>
          <w:lang w:eastAsia="zh-CN"/>
        </w:rPr>
      </w:pPr>
      <w:bookmarkStart w:id="14" w:name="_Toc3034"/>
      <w:r>
        <w:rPr>
          <w:rFonts w:hint="eastAsia" w:ascii="仿宋" w:hAnsi="仿宋" w:eastAsia="仿宋" w:cs="仿宋"/>
          <w:b w:val="0"/>
          <w:bCs w:val="0"/>
          <w:kern w:val="0"/>
          <w:sz w:val="32"/>
          <w:szCs w:val="32"/>
          <w:lang w:eastAsia="zh-CN"/>
        </w:rPr>
        <w:t>五、附件</w:t>
      </w:r>
      <w:bookmarkEnd w:id="13"/>
      <w:bookmarkEnd w:id="14"/>
    </w:p>
    <w:p>
      <w:pPr>
        <w:pStyle w:val="2"/>
        <w:spacing w:line="600" w:lineRule="exact"/>
        <w:ind w:firstLine="640"/>
        <w:rPr>
          <w:rFonts w:hint="eastAsia" w:ascii="仿宋" w:hAnsi="仿宋" w:eastAsia="仿宋" w:cs="仿宋"/>
          <w:bCs/>
          <w:sz w:val="32"/>
          <w:szCs w:val="32"/>
        </w:rPr>
      </w:pPr>
      <w:r>
        <w:rPr>
          <w:rFonts w:hint="eastAsia" w:ascii="仿宋" w:hAnsi="仿宋" w:eastAsia="仿宋" w:cs="仿宋"/>
          <w:bCs/>
          <w:sz w:val="32"/>
          <w:szCs w:val="32"/>
        </w:rPr>
        <w:t>附件1.成本绩效分析指标体系表</w:t>
      </w:r>
    </w:p>
    <w:p>
      <w:pPr>
        <w:pStyle w:val="2"/>
        <w:spacing w:line="600" w:lineRule="exact"/>
        <w:ind w:firstLine="640"/>
        <w:rPr>
          <w:rFonts w:hint="eastAsia" w:ascii="仿宋" w:hAnsi="仿宋" w:eastAsia="仿宋" w:cs="仿宋"/>
          <w:bCs/>
          <w:sz w:val="32"/>
          <w:szCs w:val="32"/>
        </w:rPr>
      </w:pPr>
      <w:r>
        <w:rPr>
          <w:rFonts w:hint="eastAsia" w:ascii="仿宋" w:hAnsi="仿宋" w:eastAsia="仿宋" w:cs="仿宋"/>
          <w:bCs/>
          <w:sz w:val="32"/>
          <w:szCs w:val="32"/>
        </w:rPr>
        <w:t>附件2.成本绩效分析成果汇总表</w:t>
      </w:r>
    </w:p>
    <w:p>
      <w:pPr>
        <w:pStyle w:val="2"/>
        <w:spacing w:line="600" w:lineRule="exact"/>
        <w:ind w:firstLine="640"/>
        <w:rPr>
          <w:rFonts w:hint="eastAsia" w:ascii="仿宋" w:hAnsi="仿宋" w:eastAsia="仿宋" w:cs="仿宋"/>
          <w:sz w:val="32"/>
          <w:szCs w:val="32"/>
        </w:rPr>
        <w:sectPr>
          <w:footerReference r:id="rId8"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Cs/>
          <w:sz w:val="32"/>
          <w:szCs w:val="32"/>
        </w:rPr>
        <w:t>附件3.成本绩效分析支出定额标准汇总表</w:t>
      </w:r>
    </w:p>
    <w:p>
      <w:pPr>
        <w:pStyle w:val="2"/>
        <w:ind w:firstLine="0" w:firstLineChars="0"/>
        <w:rPr>
          <w:rFonts w:hint="eastAsia" w:ascii="仿宋" w:hAnsi="仿宋" w:eastAsia="仿宋" w:cs="仿宋"/>
          <w:sz w:val="32"/>
          <w:szCs w:val="32"/>
        </w:rPr>
      </w:pPr>
      <w:r>
        <w:rPr>
          <w:rFonts w:hint="eastAsia" w:ascii="仿宋" w:hAnsi="仿宋" w:eastAsia="仿宋" w:cs="仿宋"/>
          <w:bCs/>
          <w:sz w:val="32"/>
          <w:szCs w:val="32"/>
        </w:rPr>
        <w:t>附件1.成本绩效分析指标体系表</w:t>
      </w:r>
    </w:p>
    <w:p>
      <w:pPr>
        <w:spacing w:before="72" w:after="53"/>
        <w:ind w:left="198" w:right="354"/>
        <w:jc w:val="center"/>
      </w:pPr>
      <w:r>
        <w:rPr>
          <w:rFonts w:hint="eastAsia"/>
          <w:b/>
          <w:sz w:val="24"/>
        </w:rPr>
        <w:t>困难群众救助服务所项目</w:t>
      </w:r>
      <w:r>
        <w:rPr>
          <w:b/>
          <w:sz w:val="24"/>
        </w:rPr>
        <w:t>成本绩效分析指标体系表</w:t>
      </w:r>
    </w:p>
    <w:tbl>
      <w:tblPr>
        <w:tblStyle w:val="12"/>
        <w:tblW w:w="8636" w:type="dxa"/>
        <w:tblInd w:w="102" w:type="dxa"/>
        <w:tblLayout w:type="fixed"/>
        <w:tblCellMar>
          <w:top w:w="0" w:type="dxa"/>
          <w:left w:w="108" w:type="dxa"/>
          <w:bottom w:w="0" w:type="dxa"/>
          <w:right w:w="108" w:type="dxa"/>
        </w:tblCellMar>
      </w:tblPr>
      <w:tblGrid>
        <w:gridCol w:w="626"/>
        <w:gridCol w:w="630"/>
        <w:gridCol w:w="1025"/>
        <w:gridCol w:w="2463"/>
        <w:gridCol w:w="2546"/>
        <w:gridCol w:w="1346"/>
      </w:tblGrid>
      <w:tr>
        <w:tblPrEx>
          <w:tblLayout w:type="fixed"/>
          <w:tblCellMar>
            <w:top w:w="0" w:type="dxa"/>
            <w:left w:w="108" w:type="dxa"/>
            <w:bottom w:w="0" w:type="dxa"/>
            <w:right w:w="108" w:type="dxa"/>
          </w:tblCellMar>
        </w:tblPrEx>
        <w:trPr>
          <w:trHeight w:val="503" w:hRule="atLeast"/>
        </w:trPr>
        <w:tc>
          <w:tcPr>
            <w:tcW w:w="626" w:type="dxa"/>
            <w:vMerge w:val="restart"/>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一级指标</w:t>
            </w:r>
          </w:p>
        </w:tc>
        <w:tc>
          <w:tcPr>
            <w:tcW w:w="630" w:type="dxa"/>
            <w:vMerge w:val="restart"/>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二级指标</w:t>
            </w:r>
          </w:p>
        </w:tc>
        <w:tc>
          <w:tcPr>
            <w:tcW w:w="1025" w:type="dxa"/>
            <w:vMerge w:val="restart"/>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三级指标</w:t>
            </w: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指标</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指标</w:t>
            </w:r>
          </w:p>
        </w:tc>
        <w:tc>
          <w:tcPr>
            <w:tcW w:w="1346" w:type="dxa"/>
            <w:vMerge w:val="restart"/>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指标说明</w:t>
            </w:r>
          </w:p>
        </w:tc>
      </w:tr>
      <w:tr>
        <w:tblPrEx>
          <w:tblLayout w:type="fixed"/>
          <w:tblCellMar>
            <w:top w:w="0" w:type="dxa"/>
            <w:left w:w="108" w:type="dxa"/>
            <w:bottom w:w="0" w:type="dxa"/>
            <w:right w:w="108" w:type="dxa"/>
          </w:tblCellMar>
        </w:tblPrEx>
        <w:trPr>
          <w:trHeight w:val="400" w:hRule="atLeast"/>
        </w:trPr>
        <w:tc>
          <w:tcPr>
            <w:tcW w:w="62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cs="宋体"/>
                <w:b/>
                <w:bCs/>
                <w:color w:val="000000"/>
                <w:sz w:val="20"/>
                <w:szCs w:val="20"/>
              </w:rPr>
            </w:pPr>
          </w:p>
        </w:tc>
        <w:tc>
          <w:tcPr>
            <w:tcW w:w="630"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cs="宋体"/>
                <w:b/>
                <w:bCs/>
                <w:color w:val="000000"/>
                <w:sz w:val="20"/>
                <w:szCs w:val="20"/>
              </w:rPr>
            </w:pPr>
          </w:p>
        </w:tc>
        <w:tc>
          <w:tcPr>
            <w:tcW w:w="1025"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cs="宋体"/>
                <w:b/>
                <w:bCs/>
                <w:color w:val="000000"/>
                <w:sz w:val="20"/>
                <w:szCs w:val="20"/>
              </w:rPr>
            </w:pP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历史值</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目标值</w:t>
            </w:r>
          </w:p>
        </w:tc>
        <w:tc>
          <w:tcPr>
            <w:tcW w:w="134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cs="宋体"/>
                <w:b/>
                <w:bCs/>
                <w:color w:val="000000"/>
                <w:sz w:val="20"/>
                <w:szCs w:val="20"/>
              </w:rPr>
            </w:pPr>
          </w:p>
        </w:tc>
      </w:tr>
      <w:tr>
        <w:tblPrEx>
          <w:tblLayout w:type="fixed"/>
          <w:tblCellMar>
            <w:top w:w="0" w:type="dxa"/>
            <w:left w:w="108" w:type="dxa"/>
            <w:bottom w:w="0" w:type="dxa"/>
            <w:right w:w="108" w:type="dxa"/>
          </w:tblCellMar>
        </w:tblPrEx>
        <w:trPr>
          <w:trHeight w:val="860" w:hRule="atLeast"/>
        </w:trPr>
        <w:tc>
          <w:tcPr>
            <w:tcW w:w="626" w:type="dxa"/>
            <w:vMerge w:val="restart"/>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直接成本</w:t>
            </w:r>
          </w:p>
        </w:tc>
        <w:tc>
          <w:tcPr>
            <w:tcW w:w="630"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人力支出</w:t>
            </w: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ascii="仿宋" w:hAnsi="仿宋" w:eastAsia="仿宋" w:cs="仿宋_GB2312"/>
                <w:color w:val="000000"/>
                <w:sz w:val="20"/>
                <w:szCs w:val="20"/>
              </w:rPr>
            </w:pP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ascii="仿宋" w:hAnsi="仿宋" w:eastAsia="仿宋" w:cs="仿宋_GB2312"/>
                <w:color w:val="000000"/>
                <w:sz w:val="20"/>
                <w:szCs w:val="20"/>
              </w:rPr>
            </w:pPr>
            <w:r>
              <w:rPr>
                <w:rFonts w:hint="eastAsia" w:ascii="仿宋" w:hAnsi="仿宋" w:eastAsia="仿宋" w:cs="仿宋_GB2312"/>
                <w:color w:val="000000"/>
                <w:sz w:val="20"/>
                <w:szCs w:val="20"/>
              </w:rPr>
              <w:t xml:space="preserve">        </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仿宋_GB2312"/>
                <w:color w:val="000000"/>
                <w:sz w:val="20"/>
                <w:szCs w:val="20"/>
              </w:rPr>
            </w:pPr>
          </w:p>
        </w:tc>
        <w:tc>
          <w:tcPr>
            <w:tcW w:w="1346"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宋体"/>
                <w:color w:val="000000"/>
                <w:sz w:val="18"/>
                <w:szCs w:val="18"/>
              </w:rPr>
            </w:pPr>
            <w:r>
              <w:rPr>
                <w:rFonts w:hint="eastAsia" w:ascii="仿宋" w:hAnsi="仿宋" w:eastAsia="仿宋" w:cs="宋体"/>
                <w:color w:val="000000"/>
                <w:kern w:val="0"/>
                <w:sz w:val="18"/>
                <w:szCs w:val="18"/>
                <w:lang w:bidi="ar"/>
              </w:rPr>
              <w:t>反映各类人员劳务报酬，以及各项社会保险费用。</w:t>
            </w:r>
          </w:p>
        </w:tc>
      </w:tr>
      <w:tr>
        <w:tblPrEx>
          <w:tblLayout w:type="fixed"/>
          <w:tblCellMar>
            <w:top w:w="0" w:type="dxa"/>
            <w:left w:w="108" w:type="dxa"/>
            <w:bottom w:w="0" w:type="dxa"/>
            <w:right w:w="108" w:type="dxa"/>
          </w:tblCellMar>
        </w:tblPrEx>
        <w:trPr>
          <w:trHeight w:val="466" w:hRule="atLeast"/>
        </w:trPr>
        <w:tc>
          <w:tcPr>
            <w:tcW w:w="62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cs="宋体"/>
                <w:b/>
                <w:bCs/>
                <w:color w:val="000000"/>
                <w:sz w:val="18"/>
                <w:szCs w:val="18"/>
              </w:rPr>
            </w:pPr>
          </w:p>
        </w:tc>
        <w:tc>
          <w:tcPr>
            <w:tcW w:w="630" w:type="dxa"/>
            <w:vMerge w:val="restart"/>
            <w:tcBorders>
              <w:top w:val="single" w:color="000000" w:sz="6" w:space="0"/>
              <w:left w:val="single" w:color="000000" w:sz="6" w:space="0"/>
              <w:right w:val="single" w:color="000000" w:sz="6"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商品和服务支出</w:t>
            </w: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需求评估</w:t>
            </w: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200元/人次</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200元/人次</w:t>
            </w:r>
          </w:p>
        </w:tc>
        <w:tc>
          <w:tcPr>
            <w:tcW w:w="1346" w:type="dxa"/>
            <w:vMerge w:val="restart"/>
            <w:tcBorders>
              <w:top w:val="single" w:color="000000" w:sz="6" w:space="0"/>
              <w:left w:val="single" w:color="000000" w:sz="6" w:space="0"/>
              <w:right w:val="single" w:color="000000" w:sz="6" w:space="0"/>
            </w:tcBorders>
            <w:noWrap w:val="0"/>
            <w:vAlign w:val="center"/>
          </w:tcPr>
          <w:p>
            <w:pPr>
              <w:widowControl/>
              <w:jc w:val="left"/>
              <w:textAlignment w:val="center"/>
              <w:rPr>
                <w:rFonts w:hint="eastAsia" w:ascii="仿宋" w:hAnsi="仿宋" w:eastAsia="仿宋" w:cs="宋体"/>
                <w:color w:val="000000"/>
                <w:kern w:val="0"/>
                <w:sz w:val="18"/>
                <w:szCs w:val="18"/>
                <w:lang w:bidi="ar"/>
              </w:rPr>
            </w:pPr>
            <w:r>
              <w:rPr>
                <w:rFonts w:hint="eastAsia" w:ascii="仿宋" w:hAnsi="仿宋" w:eastAsia="仿宋" w:cs="宋体"/>
                <w:color w:val="000000"/>
                <w:kern w:val="0"/>
                <w:sz w:val="18"/>
                <w:szCs w:val="18"/>
                <w:lang w:bidi="ar"/>
              </w:rPr>
              <w:t>反映单位购买商品和服务支出（不包括用于购置固定资产的支出等）</w:t>
            </w:r>
          </w:p>
        </w:tc>
      </w:tr>
      <w:tr>
        <w:tblPrEx>
          <w:tblLayout w:type="fixed"/>
          <w:tblCellMar>
            <w:top w:w="0" w:type="dxa"/>
            <w:left w:w="108" w:type="dxa"/>
            <w:bottom w:w="0" w:type="dxa"/>
            <w:right w:w="108" w:type="dxa"/>
          </w:tblCellMar>
        </w:tblPrEx>
        <w:trPr>
          <w:trHeight w:val="555" w:hRule="atLeast"/>
        </w:trPr>
        <w:tc>
          <w:tcPr>
            <w:tcW w:w="62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cs="宋体"/>
                <w:b/>
                <w:bCs/>
                <w:color w:val="000000"/>
                <w:sz w:val="18"/>
                <w:szCs w:val="18"/>
              </w:rPr>
            </w:pPr>
          </w:p>
        </w:tc>
        <w:tc>
          <w:tcPr>
            <w:tcW w:w="630" w:type="dxa"/>
            <w:vMerge w:val="continue"/>
            <w:tcBorders>
              <w:left w:val="single" w:color="000000" w:sz="6" w:space="0"/>
              <w:right w:val="single" w:color="000000" w:sz="6" w:space="0"/>
            </w:tcBorders>
            <w:noWrap w:val="0"/>
            <w:vAlign w:val="center"/>
          </w:tcPr>
          <w:p>
            <w:pPr>
              <w:widowControl/>
              <w:jc w:val="left"/>
              <w:textAlignment w:val="center"/>
              <w:rPr>
                <w:rFonts w:hint="eastAsia" w:ascii="宋体" w:hAnsi="宋体" w:cs="宋体"/>
                <w:color w:val="000000"/>
                <w:kern w:val="0"/>
                <w:sz w:val="18"/>
                <w:szCs w:val="18"/>
                <w:lang w:bidi="ar"/>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个案帮扶</w:t>
            </w: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300元/人次户</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300元/人次户</w:t>
            </w:r>
          </w:p>
        </w:tc>
        <w:tc>
          <w:tcPr>
            <w:tcW w:w="1346" w:type="dxa"/>
            <w:vMerge w:val="continue"/>
            <w:tcBorders>
              <w:left w:val="single" w:color="000000" w:sz="6" w:space="0"/>
              <w:right w:val="single" w:color="000000" w:sz="6" w:space="0"/>
            </w:tcBorders>
            <w:noWrap w:val="0"/>
            <w:vAlign w:val="center"/>
          </w:tcPr>
          <w:p>
            <w:pPr>
              <w:widowControl/>
              <w:jc w:val="left"/>
              <w:textAlignment w:val="center"/>
              <w:rPr>
                <w:rFonts w:hint="eastAsia" w:ascii="仿宋" w:hAnsi="仿宋" w:eastAsia="仿宋" w:cs="宋体"/>
                <w:color w:val="000000"/>
                <w:kern w:val="0"/>
                <w:sz w:val="18"/>
                <w:szCs w:val="18"/>
                <w:lang w:bidi="ar"/>
              </w:rPr>
            </w:pPr>
          </w:p>
        </w:tc>
      </w:tr>
      <w:tr>
        <w:tblPrEx>
          <w:tblLayout w:type="fixed"/>
          <w:tblCellMar>
            <w:top w:w="0" w:type="dxa"/>
            <w:left w:w="108" w:type="dxa"/>
            <w:bottom w:w="0" w:type="dxa"/>
            <w:right w:w="108" w:type="dxa"/>
          </w:tblCellMar>
        </w:tblPrEx>
        <w:trPr>
          <w:trHeight w:val="639" w:hRule="atLeast"/>
        </w:trPr>
        <w:tc>
          <w:tcPr>
            <w:tcW w:w="62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cs="宋体"/>
                <w:b/>
                <w:bCs/>
                <w:color w:val="000000"/>
                <w:sz w:val="18"/>
                <w:szCs w:val="18"/>
              </w:rPr>
            </w:pPr>
          </w:p>
        </w:tc>
        <w:tc>
          <w:tcPr>
            <w:tcW w:w="630" w:type="dxa"/>
            <w:vMerge w:val="continue"/>
            <w:tcBorders>
              <w:left w:val="single" w:color="000000" w:sz="6" w:space="0"/>
              <w:right w:val="single" w:color="000000" w:sz="6" w:space="0"/>
            </w:tcBorders>
            <w:noWrap w:val="0"/>
            <w:vAlign w:val="center"/>
          </w:tcPr>
          <w:p>
            <w:pPr>
              <w:widowControl/>
              <w:jc w:val="left"/>
              <w:textAlignment w:val="center"/>
              <w:rPr>
                <w:rFonts w:hint="eastAsia" w:ascii="宋体" w:hAnsi="宋体" w:cs="宋体"/>
                <w:color w:val="000000"/>
                <w:kern w:val="0"/>
                <w:sz w:val="18"/>
                <w:szCs w:val="18"/>
                <w:lang w:bidi="ar"/>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案例总结</w:t>
            </w: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1250元/份</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800元/份</w:t>
            </w:r>
          </w:p>
        </w:tc>
        <w:tc>
          <w:tcPr>
            <w:tcW w:w="1346" w:type="dxa"/>
            <w:vMerge w:val="continue"/>
            <w:tcBorders>
              <w:left w:val="single" w:color="000000" w:sz="6" w:space="0"/>
              <w:right w:val="single" w:color="000000" w:sz="6" w:space="0"/>
            </w:tcBorders>
            <w:noWrap w:val="0"/>
            <w:vAlign w:val="center"/>
          </w:tcPr>
          <w:p>
            <w:pPr>
              <w:widowControl/>
              <w:jc w:val="left"/>
              <w:textAlignment w:val="center"/>
              <w:rPr>
                <w:rFonts w:hint="eastAsia" w:ascii="仿宋" w:hAnsi="仿宋" w:eastAsia="仿宋" w:cs="宋体"/>
                <w:color w:val="000000"/>
                <w:kern w:val="0"/>
                <w:sz w:val="18"/>
                <w:szCs w:val="18"/>
                <w:lang w:bidi="ar"/>
              </w:rPr>
            </w:pPr>
          </w:p>
        </w:tc>
      </w:tr>
      <w:tr>
        <w:tblPrEx>
          <w:tblLayout w:type="fixed"/>
          <w:tblCellMar>
            <w:top w:w="0" w:type="dxa"/>
            <w:left w:w="108" w:type="dxa"/>
            <w:bottom w:w="0" w:type="dxa"/>
            <w:right w:w="108" w:type="dxa"/>
          </w:tblCellMar>
        </w:tblPrEx>
        <w:trPr>
          <w:trHeight w:val="860" w:hRule="atLeast"/>
        </w:trPr>
        <w:tc>
          <w:tcPr>
            <w:tcW w:w="62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cs="宋体"/>
                <w:b/>
                <w:bCs/>
                <w:color w:val="000000"/>
                <w:sz w:val="18"/>
                <w:szCs w:val="18"/>
              </w:rPr>
            </w:pPr>
          </w:p>
        </w:tc>
        <w:tc>
          <w:tcPr>
            <w:tcW w:w="630" w:type="dxa"/>
            <w:vMerge w:val="continue"/>
            <w:tcBorders>
              <w:left w:val="single" w:color="000000" w:sz="6" w:space="0"/>
              <w:right w:val="single" w:color="000000" w:sz="6" w:space="0"/>
            </w:tcBorders>
            <w:noWrap w:val="0"/>
            <w:vAlign w:val="center"/>
          </w:tcPr>
          <w:p>
            <w:pPr>
              <w:widowControl/>
              <w:jc w:val="left"/>
              <w:textAlignment w:val="center"/>
              <w:rPr>
                <w:rFonts w:hint="eastAsia" w:ascii="宋体" w:hAnsi="宋体" w:cs="宋体"/>
                <w:color w:val="000000"/>
                <w:kern w:val="0"/>
                <w:sz w:val="18"/>
                <w:szCs w:val="18"/>
                <w:lang w:bidi="ar"/>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社工开展小组活动、社区活动</w:t>
            </w: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1600元/次</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800元/次</w:t>
            </w:r>
          </w:p>
        </w:tc>
        <w:tc>
          <w:tcPr>
            <w:tcW w:w="1346" w:type="dxa"/>
            <w:vMerge w:val="continue"/>
            <w:tcBorders>
              <w:left w:val="single" w:color="000000" w:sz="6" w:space="0"/>
              <w:right w:val="single" w:color="000000" w:sz="6" w:space="0"/>
            </w:tcBorders>
            <w:noWrap w:val="0"/>
            <w:vAlign w:val="center"/>
          </w:tcPr>
          <w:p>
            <w:pPr>
              <w:widowControl/>
              <w:jc w:val="left"/>
              <w:textAlignment w:val="center"/>
              <w:rPr>
                <w:rFonts w:hint="eastAsia" w:ascii="仿宋" w:hAnsi="仿宋" w:eastAsia="仿宋" w:cs="宋体"/>
                <w:color w:val="000000"/>
                <w:kern w:val="0"/>
                <w:sz w:val="18"/>
                <w:szCs w:val="18"/>
                <w:lang w:bidi="ar"/>
              </w:rPr>
            </w:pPr>
          </w:p>
        </w:tc>
      </w:tr>
      <w:tr>
        <w:tblPrEx>
          <w:tblLayout w:type="fixed"/>
          <w:tblCellMar>
            <w:top w:w="0" w:type="dxa"/>
            <w:left w:w="108" w:type="dxa"/>
            <w:bottom w:w="0" w:type="dxa"/>
            <w:right w:w="108" w:type="dxa"/>
          </w:tblCellMar>
        </w:tblPrEx>
        <w:trPr>
          <w:trHeight w:val="860" w:hRule="atLeast"/>
        </w:trPr>
        <w:tc>
          <w:tcPr>
            <w:tcW w:w="62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cs="宋体"/>
                <w:b/>
                <w:bCs/>
                <w:color w:val="000000"/>
                <w:sz w:val="18"/>
                <w:szCs w:val="18"/>
              </w:rPr>
            </w:pPr>
          </w:p>
        </w:tc>
        <w:tc>
          <w:tcPr>
            <w:tcW w:w="630" w:type="dxa"/>
            <w:vMerge w:val="continue"/>
            <w:tcBorders>
              <w:left w:val="single" w:color="000000" w:sz="6" w:space="0"/>
              <w:bottom w:val="single" w:color="000000" w:sz="6" w:space="0"/>
              <w:right w:val="single" w:color="000000" w:sz="6" w:space="0"/>
            </w:tcBorders>
            <w:noWrap w:val="0"/>
            <w:vAlign w:val="center"/>
          </w:tcPr>
          <w:p>
            <w:pPr>
              <w:widowControl/>
              <w:jc w:val="left"/>
              <w:textAlignment w:val="center"/>
              <w:rPr>
                <w:rFonts w:hint="eastAsia" w:ascii="宋体" w:hAnsi="宋体" w:cs="宋体"/>
                <w:color w:val="000000"/>
                <w:kern w:val="0"/>
                <w:sz w:val="18"/>
                <w:szCs w:val="18"/>
                <w:lang w:bidi="ar"/>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新增低保低收入家庭入户审核</w:t>
            </w: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550元/人户</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400元/户</w:t>
            </w:r>
          </w:p>
        </w:tc>
        <w:tc>
          <w:tcPr>
            <w:tcW w:w="1346" w:type="dxa"/>
            <w:vMerge w:val="continue"/>
            <w:tcBorders>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宋体"/>
                <w:color w:val="000000"/>
                <w:kern w:val="0"/>
                <w:sz w:val="18"/>
                <w:szCs w:val="18"/>
                <w:lang w:bidi="ar"/>
              </w:rPr>
            </w:pPr>
          </w:p>
        </w:tc>
      </w:tr>
      <w:tr>
        <w:tblPrEx>
          <w:tblLayout w:type="fixed"/>
          <w:tblCellMar>
            <w:top w:w="0" w:type="dxa"/>
            <w:left w:w="108" w:type="dxa"/>
            <w:bottom w:w="0" w:type="dxa"/>
            <w:right w:w="108" w:type="dxa"/>
          </w:tblCellMar>
        </w:tblPrEx>
        <w:trPr>
          <w:trHeight w:val="860" w:hRule="atLeast"/>
        </w:trPr>
        <w:tc>
          <w:tcPr>
            <w:tcW w:w="62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cs="宋体"/>
                <w:b/>
                <w:bCs/>
                <w:color w:val="000000"/>
                <w:sz w:val="18"/>
                <w:szCs w:val="18"/>
              </w:rPr>
            </w:pPr>
          </w:p>
        </w:tc>
        <w:tc>
          <w:tcPr>
            <w:tcW w:w="630"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其他支出</w:t>
            </w: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仿宋_GB2312"/>
                <w:color w:val="000000"/>
                <w:sz w:val="20"/>
                <w:szCs w:val="20"/>
              </w:rPr>
            </w:pPr>
            <w:r>
              <w:rPr>
                <w:rFonts w:hint="eastAsia" w:ascii="仿宋" w:hAnsi="仿宋" w:eastAsia="仿宋" w:cs="仿宋_GB2312"/>
                <w:color w:val="000000"/>
                <w:kern w:val="0"/>
                <w:sz w:val="20"/>
                <w:szCs w:val="20"/>
                <w:lang w:bidi="ar"/>
              </w:rPr>
              <w:t>-</w:t>
            </w: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仿宋_GB2312"/>
                <w:color w:val="000000"/>
                <w:sz w:val="20"/>
                <w:szCs w:val="20"/>
              </w:rPr>
            </w:pPr>
            <w:r>
              <w:rPr>
                <w:rFonts w:hint="eastAsia" w:ascii="仿宋" w:hAnsi="仿宋" w:eastAsia="仿宋" w:cs="仿宋_GB2312"/>
                <w:color w:val="000000"/>
                <w:kern w:val="0"/>
                <w:sz w:val="20"/>
                <w:szCs w:val="20"/>
                <w:lang w:bidi="ar"/>
              </w:rPr>
              <w:t>-</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仿宋_GB2312"/>
                <w:color w:val="000000"/>
                <w:sz w:val="20"/>
                <w:szCs w:val="20"/>
              </w:rPr>
            </w:pPr>
            <w:r>
              <w:rPr>
                <w:rFonts w:hint="eastAsia" w:ascii="仿宋" w:hAnsi="仿宋" w:eastAsia="仿宋" w:cs="仿宋_GB2312"/>
                <w:color w:val="000000"/>
                <w:kern w:val="0"/>
                <w:sz w:val="20"/>
                <w:szCs w:val="20"/>
                <w:lang w:bidi="ar"/>
              </w:rPr>
              <w:t>-</w:t>
            </w:r>
          </w:p>
        </w:tc>
        <w:tc>
          <w:tcPr>
            <w:tcW w:w="1346"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宋体"/>
                <w:color w:val="000000"/>
                <w:sz w:val="18"/>
                <w:szCs w:val="18"/>
              </w:rPr>
            </w:pPr>
            <w:r>
              <w:rPr>
                <w:rFonts w:hint="eastAsia" w:ascii="仿宋" w:hAnsi="仿宋" w:eastAsia="仿宋" w:cs="宋体"/>
                <w:color w:val="000000"/>
                <w:kern w:val="0"/>
                <w:sz w:val="18"/>
                <w:szCs w:val="18"/>
                <w:lang w:bidi="ar"/>
              </w:rPr>
              <w:t>反映不能反映上述经济科目的其他支出。</w:t>
            </w:r>
          </w:p>
        </w:tc>
      </w:tr>
      <w:tr>
        <w:tblPrEx>
          <w:tblLayout w:type="fixed"/>
          <w:tblCellMar>
            <w:top w:w="0" w:type="dxa"/>
            <w:left w:w="108" w:type="dxa"/>
            <w:bottom w:w="0" w:type="dxa"/>
            <w:right w:w="108" w:type="dxa"/>
          </w:tblCellMar>
        </w:tblPrEx>
        <w:trPr>
          <w:trHeight w:val="668" w:hRule="atLeast"/>
        </w:trPr>
        <w:tc>
          <w:tcPr>
            <w:tcW w:w="626" w:type="dxa"/>
            <w:vMerge w:val="restart"/>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产出指标</w:t>
            </w:r>
          </w:p>
        </w:tc>
        <w:tc>
          <w:tcPr>
            <w:tcW w:w="630" w:type="dxa"/>
            <w:vMerge w:val="restart"/>
            <w:tcBorders>
              <w:top w:val="single" w:color="000000" w:sz="6" w:space="0"/>
              <w:left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数量指标</w:t>
            </w:r>
          </w:p>
        </w:tc>
        <w:tc>
          <w:tcPr>
            <w:tcW w:w="1025" w:type="dxa"/>
            <w:vMerge w:val="restart"/>
            <w:tcBorders>
              <w:top w:val="single" w:color="000000" w:sz="6" w:space="0"/>
              <w:left w:val="single" w:color="000000" w:sz="6" w:space="0"/>
              <w:right w:val="single" w:color="000000" w:sz="6" w:space="0"/>
            </w:tcBorders>
            <w:noWrap w:val="0"/>
            <w:vAlign w:val="center"/>
          </w:tcPr>
          <w:p>
            <w:pPr>
              <w:widowControl/>
              <w:jc w:val="left"/>
              <w:textAlignment w:val="center"/>
              <w:rPr>
                <w:rFonts w:hint="eastAsia" w:ascii="仿宋" w:hAnsi="仿宋" w:eastAsia="仿宋" w:cs="仿宋_GB2312"/>
                <w:color w:val="000000"/>
                <w:sz w:val="20"/>
                <w:szCs w:val="20"/>
              </w:rPr>
            </w:pPr>
            <w:r>
              <w:rPr>
                <w:rFonts w:hint="eastAsia" w:ascii="仿宋" w:hAnsi="仿宋" w:eastAsia="仿宋" w:cs="仿宋_GB2312"/>
                <w:color w:val="000000"/>
                <w:kern w:val="0"/>
                <w:sz w:val="20"/>
                <w:szCs w:val="20"/>
                <w:lang w:bidi="ar"/>
              </w:rPr>
              <w:t>开展个案帮扶</w:t>
            </w: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实地走访（人户一致、人户分离），特困供养、困境儿童等</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实地走访（人户一致、人户分离），特困供养、困境儿童等100户</w:t>
            </w:r>
          </w:p>
        </w:tc>
        <w:tc>
          <w:tcPr>
            <w:tcW w:w="1346" w:type="dxa"/>
            <w:vMerge w:val="restart"/>
            <w:tcBorders>
              <w:top w:val="single" w:color="000000" w:sz="6" w:space="0"/>
              <w:left w:val="single" w:color="000000" w:sz="6" w:space="0"/>
              <w:right w:val="single" w:color="000000" w:sz="6" w:space="0"/>
            </w:tcBorders>
            <w:noWrap w:val="0"/>
            <w:vAlign w:val="center"/>
          </w:tcPr>
          <w:p>
            <w:pPr>
              <w:widowControl/>
              <w:jc w:val="left"/>
              <w:textAlignment w:val="center"/>
              <w:rPr>
                <w:rFonts w:hint="eastAsia" w:ascii="仿宋" w:hAnsi="仿宋" w:eastAsia="仿宋" w:cs="宋体"/>
                <w:color w:val="000000"/>
                <w:sz w:val="18"/>
                <w:szCs w:val="18"/>
              </w:rPr>
            </w:pPr>
            <w:r>
              <w:rPr>
                <w:rFonts w:hint="eastAsia" w:ascii="仿宋" w:hAnsi="仿宋" w:eastAsia="仿宋" w:cs="宋体"/>
                <w:color w:val="000000"/>
                <w:kern w:val="0"/>
                <w:sz w:val="18"/>
                <w:szCs w:val="18"/>
                <w:lang w:bidi="ar"/>
              </w:rPr>
              <w:t>反映预期提供的公共产品和服务数量。</w:t>
            </w:r>
          </w:p>
        </w:tc>
      </w:tr>
      <w:tr>
        <w:tblPrEx>
          <w:tblLayout w:type="fixed"/>
          <w:tblCellMar>
            <w:top w:w="0" w:type="dxa"/>
            <w:left w:w="108" w:type="dxa"/>
            <w:bottom w:w="0" w:type="dxa"/>
            <w:right w:w="108" w:type="dxa"/>
          </w:tblCellMar>
        </w:tblPrEx>
        <w:trPr>
          <w:trHeight w:val="357" w:hRule="atLeast"/>
        </w:trPr>
        <w:tc>
          <w:tcPr>
            <w:tcW w:w="626" w:type="dxa"/>
            <w:vMerge w:val="continue"/>
            <w:tcBorders>
              <w:left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kern w:val="0"/>
                <w:sz w:val="18"/>
                <w:szCs w:val="18"/>
                <w:lang w:bidi="ar"/>
              </w:rPr>
            </w:pPr>
          </w:p>
        </w:tc>
        <w:tc>
          <w:tcPr>
            <w:tcW w:w="630" w:type="dxa"/>
            <w:vMerge w:val="continue"/>
            <w:tcBorders>
              <w:left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kern w:val="0"/>
                <w:sz w:val="18"/>
                <w:szCs w:val="18"/>
                <w:lang w:bidi="ar"/>
              </w:rPr>
            </w:pPr>
          </w:p>
        </w:tc>
        <w:tc>
          <w:tcPr>
            <w:tcW w:w="1025" w:type="dxa"/>
            <w:vMerge w:val="continue"/>
            <w:tcBorders>
              <w:left w:val="single" w:color="000000" w:sz="6" w:space="0"/>
              <w:right w:val="single" w:color="000000" w:sz="6" w:space="0"/>
            </w:tcBorders>
            <w:noWrap w:val="0"/>
            <w:vAlign w:val="center"/>
          </w:tcPr>
          <w:p>
            <w:pPr>
              <w:widowControl/>
              <w:jc w:val="left"/>
              <w:textAlignment w:val="center"/>
              <w:rPr>
                <w:rFonts w:hint="eastAsia" w:ascii="仿宋" w:hAnsi="仿宋" w:eastAsia="仿宋" w:cs="仿宋_GB2312"/>
                <w:color w:val="000000"/>
                <w:kern w:val="0"/>
                <w:sz w:val="20"/>
                <w:szCs w:val="20"/>
                <w:lang w:bidi="ar"/>
              </w:rPr>
            </w:pP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媒体宣传</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媒体宣传4次</w:t>
            </w:r>
          </w:p>
        </w:tc>
        <w:tc>
          <w:tcPr>
            <w:tcW w:w="1346" w:type="dxa"/>
            <w:vMerge w:val="continue"/>
            <w:tcBorders>
              <w:left w:val="single" w:color="000000" w:sz="6" w:space="0"/>
              <w:right w:val="single" w:color="000000" w:sz="6" w:space="0"/>
            </w:tcBorders>
            <w:noWrap w:val="0"/>
            <w:vAlign w:val="center"/>
          </w:tcPr>
          <w:p>
            <w:pPr>
              <w:widowControl/>
              <w:jc w:val="left"/>
              <w:textAlignment w:val="center"/>
              <w:rPr>
                <w:rFonts w:hint="eastAsia" w:ascii="仿宋" w:hAnsi="仿宋" w:eastAsia="仿宋" w:cs="宋体"/>
                <w:color w:val="000000"/>
                <w:kern w:val="0"/>
                <w:sz w:val="18"/>
                <w:szCs w:val="18"/>
                <w:lang w:bidi="ar"/>
              </w:rPr>
            </w:pPr>
          </w:p>
        </w:tc>
      </w:tr>
      <w:tr>
        <w:tblPrEx>
          <w:tblLayout w:type="fixed"/>
          <w:tblCellMar>
            <w:top w:w="0" w:type="dxa"/>
            <w:left w:w="108" w:type="dxa"/>
            <w:bottom w:w="0" w:type="dxa"/>
            <w:right w:w="108" w:type="dxa"/>
          </w:tblCellMar>
        </w:tblPrEx>
        <w:trPr>
          <w:trHeight w:val="484" w:hRule="atLeast"/>
        </w:trPr>
        <w:tc>
          <w:tcPr>
            <w:tcW w:w="626" w:type="dxa"/>
            <w:vMerge w:val="continue"/>
            <w:tcBorders>
              <w:left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kern w:val="0"/>
                <w:sz w:val="18"/>
                <w:szCs w:val="18"/>
                <w:lang w:bidi="ar"/>
              </w:rPr>
            </w:pPr>
          </w:p>
        </w:tc>
        <w:tc>
          <w:tcPr>
            <w:tcW w:w="630" w:type="dxa"/>
            <w:vMerge w:val="continue"/>
            <w:tcBorders>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kern w:val="0"/>
                <w:sz w:val="18"/>
                <w:szCs w:val="18"/>
                <w:lang w:bidi="ar"/>
              </w:rPr>
            </w:pPr>
          </w:p>
        </w:tc>
        <w:tc>
          <w:tcPr>
            <w:tcW w:w="1025" w:type="dxa"/>
            <w:vMerge w:val="continue"/>
            <w:tcBorders>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仿宋_GB2312"/>
                <w:color w:val="000000"/>
                <w:kern w:val="0"/>
                <w:sz w:val="20"/>
                <w:szCs w:val="20"/>
                <w:lang w:bidi="ar"/>
              </w:rPr>
            </w:pP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个案精准帮扶服务</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个案精准帮扶服务20户</w:t>
            </w:r>
          </w:p>
        </w:tc>
        <w:tc>
          <w:tcPr>
            <w:tcW w:w="1346" w:type="dxa"/>
            <w:vMerge w:val="continue"/>
            <w:tcBorders>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宋体"/>
                <w:color w:val="000000"/>
                <w:kern w:val="0"/>
                <w:sz w:val="18"/>
                <w:szCs w:val="18"/>
                <w:lang w:bidi="ar"/>
              </w:rPr>
            </w:pPr>
          </w:p>
        </w:tc>
      </w:tr>
      <w:tr>
        <w:tblPrEx>
          <w:tblLayout w:type="fixed"/>
          <w:tblCellMar>
            <w:top w:w="0" w:type="dxa"/>
            <w:left w:w="108" w:type="dxa"/>
            <w:bottom w:w="0" w:type="dxa"/>
            <w:right w:w="108" w:type="dxa"/>
          </w:tblCellMar>
        </w:tblPrEx>
        <w:trPr>
          <w:trHeight w:val="618" w:hRule="atLeast"/>
        </w:trPr>
        <w:tc>
          <w:tcPr>
            <w:tcW w:w="62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cs="宋体"/>
                <w:b/>
                <w:bCs/>
                <w:color w:val="000000"/>
                <w:sz w:val="18"/>
                <w:szCs w:val="18"/>
              </w:rPr>
            </w:pPr>
          </w:p>
        </w:tc>
        <w:tc>
          <w:tcPr>
            <w:tcW w:w="630" w:type="dxa"/>
            <w:vMerge w:val="restart"/>
            <w:tcBorders>
              <w:top w:val="single" w:color="000000" w:sz="6" w:space="0"/>
              <w:left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质量指标</w:t>
            </w:r>
          </w:p>
        </w:tc>
        <w:tc>
          <w:tcPr>
            <w:tcW w:w="1025" w:type="dxa"/>
            <w:vMerge w:val="restart"/>
            <w:tcBorders>
              <w:top w:val="single" w:color="000000" w:sz="6" w:space="0"/>
              <w:left w:val="single" w:color="000000" w:sz="6" w:space="0"/>
              <w:right w:val="single" w:color="000000" w:sz="6" w:space="0"/>
            </w:tcBorders>
            <w:noWrap w:val="0"/>
            <w:vAlign w:val="center"/>
          </w:tcPr>
          <w:p>
            <w:pPr>
              <w:widowControl/>
              <w:jc w:val="left"/>
              <w:textAlignment w:val="center"/>
              <w:rPr>
                <w:rFonts w:hint="eastAsia" w:ascii="仿宋" w:hAnsi="仿宋" w:eastAsia="仿宋" w:cs="仿宋_GB2312"/>
                <w:color w:val="000000"/>
                <w:sz w:val="20"/>
                <w:szCs w:val="20"/>
              </w:rPr>
            </w:pPr>
            <w:r>
              <w:rPr>
                <w:rFonts w:hint="eastAsia" w:ascii="仿宋" w:hAnsi="仿宋" w:eastAsia="仿宋" w:cs="仿宋_GB2312"/>
                <w:color w:val="000000"/>
                <w:kern w:val="0"/>
                <w:sz w:val="20"/>
                <w:szCs w:val="20"/>
                <w:lang w:bidi="ar"/>
              </w:rPr>
              <w:t>服务标准</w:t>
            </w: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eastAsia" w:ascii="仿宋" w:hAnsi="仿宋" w:eastAsia="仿宋" w:cs="仿宋"/>
                <w:color w:val="0000FF"/>
                <w:kern w:val="0"/>
                <w:sz w:val="20"/>
                <w:szCs w:val="20"/>
                <w:lang w:bidi="ar"/>
              </w:rPr>
            </w:pPr>
            <w:r>
              <w:rPr>
                <w:rFonts w:hint="eastAsia" w:ascii="仿宋" w:hAnsi="仿宋" w:eastAsia="仿宋" w:cs="仿宋"/>
                <w:sz w:val="20"/>
                <w:szCs w:val="20"/>
              </w:rPr>
              <w:t>业务咨询与培训及时率</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s="仿宋"/>
                <w:color w:val="0000FF"/>
                <w:kern w:val="0"/>
                <w:sz w:val="20"/>
                <w:szCs w:val="20"/>
                <w:lang w:bidi="ar"/>
              </w:rPr>
            </w:pPr>
            <w:r>
              <w:rPr>
                <w:rFonts w:hint="eastAsia" w:ascii="仿宋" w:hAnsi="仿宋" w:eastAsia="仿宋" w:cs="仿宋"/>
                <w:szCs w:val="21"/>
              </w:rPr>
              <w:t>100%</w:t>
            </w:r>
          </w:p>
        </w:tc>
        <w:tc>
          <w:tcPr>
            <w:tcW w:w="1346" w:type="dxa"/>
            <w:vMerge w:val="restart"/>
            <w:tcBorders>
              <w:top w:val="single" w:color="000000" w:sz="6" w:space="0"/>
              <w:left w:val="single" w:color="000000" w:sz="6" w:space="0"/>
              <w:right w:val="single" w:color="000000" w:sz="6" w:space="0"/>
            </w:tcBorders>
            <w:noWrap w:val="0"/>
            <w:vAlign w:val="center"/>
          </w:tcPr>
          <w:p>
            <w:pPr>
              <w:widowControl/>
              <w:jc w:val="left"/>
              <w:textAlignment w:val="center"/>
              <w:rPr>
                <w:rFonts w:hint="eastAsia" w:ascii="仿宋" w:hAnsi="仿宋" w:eastAsia="仿宋" w:cs="宋体"/>
                <w:color w:val="000000"/>
                <w:sz w:val="18"/>
                <w:szCs w:val="18"/>
              </w:rPr>
            </w:pPr>
            <w:r>
              <w:rPr>
                <w:rFonts w:hint="eastAsia" w:ascii="仿宋" w:hAnsi="仿宋" w:eastAsia="仿宋" w:cs="宋体"/>
                <w:color w:val="000000"/>
                <w:kern w:val="0"/>
                <w:sz w:val="18"/>
                <w:szCs w:val="18"/>
                <w:lang w:bidi="ar"/>
              </w:rPr>
              <w:t>反映预期提供的公共产品和服务达到的标准、水平和质量。</w:t>
            </w:r>
          </w:p>
        </w:tc>
      </w:tr>
      <w:tr>
        <w:tblPrEx>
          <w:tblLayout w:type="fixed"/>
          <w:tblCellMar>
            <w:top w:w="0" w:type="dxa"/>
            <w:left w:w="108" w:type="dxa"/>
            <w:bottom w:w="0" w:type="dxa"/>
            <w:right w:w="108" w:type="dxa"/>
          </w:tblCellMar>
        </w:tblPrEx>
        <w:trPr>
          <w:trHeight w:val="529" w:hRule="atLeast"/>
        </w:trPr>
        <w:tc>
          <w:tcPr>
            <w:tcW w:w="62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cs="宋体"/>
                <w:b/>
                <w:bCs/>
                <w:color w:val="000000"/>
                <w:sz w:val="18"/>
                <w:szCs w:val="18"/>
              </w:rPr>
            </w:pPr>
          </w:p>
        </w:tc>
        <w:tc>
          <w:tcPr>
            <w:tcW w:w="630" w:type="dxa"/>
            <w:vMerge w:val="continue"/>
            <w:tcBorders>
              <w:left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kern w:val="0"/>
                <w:sz w:val="18"/>
                <w:szCs w:val="18"/>
                <w:lang w:bidi="ar"/>
              </w:rPr>
            </w:pPr>
          </w:p>
        </w:tc>
        <w:tc>
          <w:tcPr>
            <w:tcW w:w="1025" w:type="dxa"/>
            <w:vMerge w:val="continue"/>
            <w:tcBorders>
              <w:left w:val="single" w:color="000000" w:sz="6" w:space="0"/>
              <w:right w:val="single" w:color="000000" w:sz="6" w:space="0"/>
            </w:tcBorders>
            <w:noWrap w:val="0"/>
            <w:vAlign w:val="center"/>
          </w:tcPr>
          <w:p>
            <w:pPr>
              <w:widowControl/>
              <w:jc w:val="left"/>
              <w:textAlignment w:val="center"/>
              <w:rPr>
                <w:rFonts w:hint="eastAsia" w:ascii="仿宋" w:hAnsi="仿宋" w:eastAsia="仿宋" w:cs="仿宋_GB2312"/>
                <w:color w:val="000000"/>
                <w:kern w:val="0"/>
                <w:sz w:val="20"/>
                <w:szCs w:val="20"/>
                <w:lang w:bidi="ar"/>
              </w:rPr>
            </w:pP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eastAsia" w:ascii="仿宋" w:hAnsi="仿宋" w:eastAsia="仿宋" w:cs="仿宋"/>
                <w:color w:val="0000FF"/>
                <w:kern w:val="0"/>
                <w:sz w:val="20"/>
                <w:szCs w:val="20"/>
                <w:lang w:bidi="ar"/>
              </w:rPr>
            </w:pPr>
            <w:r>
              <w:rPr>
                <w:rFonts w:hint="eastAsia" w:ascii="仿宋" w:hAnsi="仿宋" w:eastAsia="仿宋" w:cs="仿宋"/>
                <w:sz w:val="20"/>
                <w:szCs w:val="20"/>
              </w:rPr>
              <w:t>资源整合精准服务，辖区人员覆盖率</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s="仿宋"/>
                <w:color w:val="0000FF"/>
                <w:kern w:val="0"/>
                <w:sz w:val="20"/>
                <w:szCs w:val="20"/>
                <w:lang w:bidi="ar"/>
              </w:rPr>
            </w:pPr>
            <w:r>
              <w:rPr>
                <w:rFonts w:hint="eastAsia" w:ascii="仿宋" w:hAnsi="仿宋" w:eastAsia="仿宋" w:cs="仿宋"/>
                <w:szCs w:val="21"/>
              </w:rPr>
              <w:t>100%</w:t>
            </w:r>
          </w:p>
        </w:tc>
        <w:tc>
          <w:tcPr>
            <w:tcW w:w="1346" w:type="dxa"/>
            <w:vMerge w:val="continue"/>
            <w:tcBorders>
              <w:left w:val="single" w:color="000000" w:sz="6" w:space="0"/>
              <w:right w:val="single" w:color="000000" w:sz="6" w:space="0"/>
            </w:tcBorders>
            <w:noWrap w:val="0"/>
            <w:vAlign w:val="center"/>
          </w:tcPr>
          <w:p>
            <w:pPr>
              <w:widowControl/>
              <w:jc w:val="left"/>
              <w:textAlignment w:val="center"/>
              <w:rPr>
                <w:rFonts w:hint="eastAsia" w:ascii="仿宋" w:hAnsi="仿宋" w:eastAsia="仿宋" w:cs="宋体"/>
                <w:color w:val="000000"/>
                <w:kern w:val="0"/>
                <w:sz w:val="18"/>
                <w:szCs w:val="18"/>
                <w:lang w:bidi="ar"/>
              </w:rPr>
            </w:pPr>
          </w:p>
        </w:tc>
      </w:tr>
      <w:tr>
        <w:tblPrEx>
          <w:tblLayout w:type="fixed"/>
          <w:tblCellMar>
            <w:top w:w="0" w:type="dxa"/>
            <w:left w:w="108" w:type="dxa"/>
            <w:bottom w:w="0" w:type="dxa"/>
            <w:right w:w="108" w:type="dxa"/>
          </w:tblCellMar>
        </w:tblPrEx>
        <w:trPr>
          <w:trHeight w:val="389" w:hRule="atLeast"/>
        </w:trPr>
        <w:tc>
          <w:tcPr>
            <w:tcW w:w="62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cs="宋体"/>
                <w:b/>
                <w:bCs/>
                <w:color w:val="000000"/>
                <w:sz w:val="18"/>
                <w:szCs w:val="18"/>
              </w:rPr>
            </w:pPr>
          </w:p>
        </w:tc>
        <w:tc>
          <w:tcPr>
            <w:tcW w:w="630" w:type="dxa"/>
            <w:vMerge w:val="continue"/>
            <w:tcBorders>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kern w:val="0"/>
                <w:sz w:val="18"/>
                <w:szCs w:val="18"/>
                <w:lang w:bidi="ar"/>
              </w:rPr>
            </w:pPr>
          </w:p>
        </w:tc>
        <w:tc>
          <w:tcPr>
            <w:tcW w:w="1025" w:type="dxa"/>
            <w:vMerge w:val="continue"/>
            <w:tcBorders>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仿宋_GB2312"/>
                <w:color w:val="000000"/>
                <w:kern w:val="0"/>
                <w:sz w:val="20"/>
                <w:szCs w:val="20"/>
                <w:lang w:bidi="ar"/>
              </w:rPr>
            </w:pP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eastAsia" w:ascii="仿宋" w:hAnsi="仿宋" w:eastAsia="仿宋" w:cs="仿宋"/>
                <w:color w:val="0000FF"/>
                <w:kern w:val="0"/>
                <w:sz w:val="20"/>
                <w:szCs w:val="20"/>
                <w:lang w:bidi="ar"/>
              </w:rPr>
            </w:pPr>
            <w:r>
              <w:rPr>
                <w:rFonts w:hint="eastAsia" w:ascii="仿宋" w:hAnsi="仿宋" w:eastAsia="仿宋" w:cs="仿宋"/>
                <w:sz w:val="20"/>
                <w:szCs w:val="20"/>
              </w:rPr>
              <w:t>项目成果验收</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s="仿宋"/>
                <w:color w:val="0000FF"/>
                <w:kern w:val="0"/>
                <w:sz w:val="20"/>
                <w:szCs w:val="20"/>
                <w:lang w:bidi="ar"/>
              </w:rPr>
            </w:pPr>
            <w:r>
              <w:rPr>
                <w:rFonts w:hint="eastAsia" w:ascii="仿宋" w:hAnsi="仿宋" w:eastAsia="仿宋" w:cs="仿宋"/>
                <w:szCs w:val="21"/>
              </w:rPr>
              <w:t>100%</w:t>
            </w:r>
          </w:p>
        </w:tc>
        <w:tc>
          <w:tcPr>
            <w:tcW w:w="1346" w:type="dxa"/>
            <w:vMerge w:val="continue"/>
            <w:tcBorders>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宋体"/>
                <w:color w:val="000000"/>
                <w:kern w:val="0"/>
                <w:sz w:val="18"/>
                <w:szCs w:val="18"/>
                <w:lang w:bidi="ar"/>
              </w:rPr>
            </w:pPr>
          </w:p>
        </w:tc>
      </w:tr>
      <w:tr>
        <w:tblPrEx>
          <w:tblLayout w:type="fixed"/>
          <w:tblCellMar>
            <w:top w:w="0" w:type="dxa"/>
            <w:left w:w="108" w:type="dxa"/>
            <w:bottom w:w="0" w:type="dxa"/>
            <w:right w:w="108" w:type="dxa"/>
          </w:tblCellMar>
        </w:tblPrEx>
        <w:trPr>
          <w:trHeight w:val="915" w:hRule="atLeast"/>
        </w:trPr>
        <w:tc>
          <w:tcPr>
            <w:tcW w:w="62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cs="宋体"/>
                <w:b/>
                <w:bCs/>
                <w:color w:val="000000"/>
                <w:sz w:val="18"/>
                <w:szCs w:val="18"/>
              </w:rPr>
            </w:pPr>
          </w:p>
        </w:tc>
        <w:tc>
          <w:tcPr>
            <w:tcW w:w="630"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时效指标</w:t>
            </w: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仿宋_GB2312"/>
                <w:color w:val="000000"/>
                <w:sz w:val="20"/>
                <w:szCs w:val="20"/>
              </w:rPr>
            </w:pPr>
            <w:r>
              <w:rPr>
                <w:rFonts w:hint="eastAsia" w:ascii="仿宋" w:hAnsi="仿宋" w:eastAsia="仿宋" w:cs="仿宋_GB2312"/>
                <w:color w:val="000000"/>
                <w:kern w:val="0"/>
                <w:sz w:val="20"/>
                <w:szCs w:val="20"/>
                <w:lang w:bidi="ar"/>
              </w:rPr>
              <w:t>项目开展时间</w:t>
            </w: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期限内结项，并提供结项报告</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年底完成</w:t>
            </w:r>
          </w:p>
        </w:tc>
        <w:tc>
          <w:tcPr>
            <w:tcW w:w="1346"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宋体"/>
                <w:color w:val="000000"/>
                <w:sz w:val="18"/>
                <w:szCs w:val="18"/>
              </w:rPr>
            </w:pPr>
            <w:r>
              <w:rPr>
                <w:rFonts w:hint="eastAsia" w:ascii="仿宋" w:hAnsi="仿宋" w:eastAsia="仿宋" w:cs="宋体"/>
                <w:color w:val="000000"/>
                <w:kern w:val="0"/>
                <w:sz w:val="18"/>
                <w:szCs w:val="18"/>
                <w:lang w:bidi="ar"/>
              </w:rPr>
              <w:t>反映预期提供公共产品和服务的及时程度和效率情况。</w:t>
            </w:r>
          </w:p>
        </w:tc>
      </w:tr>
      <w:tr>
        <w:tblPrEx>
          <w:tblLayout w:type="fixed"/>
          <w:tblCellMar>
            <w:top w:w="0" w:type="dxa"/>
            <w:left w:w="108" w:type="dxa"/>
            <w:bottom w:w="0" w:type="dxa"/>
            <w:right w:w="108" w:type="dxa"/>
          </w:tblCellMar>
        </w:tblPrEx>
        <w:trPr>
          <w:trHeight w:val="1167" w:hRule="atLeast"/>
        </w:trPr>
        <w:tc>
          <w:tcPr>
            <w:tcW w:w="626"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效益效果指标</w:t>
            </w:r>
          </w:p>
        </w:tc>
        <w:tc>
          <w:tcPr>
            <w:tcW w:w="630"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经济效益</w:t>
            </w: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仿宋_GB2312"/>
                <w:color w:val="000000"/>
                <w:sz w:val="20"/>
                <w:szCs w:val="20"/>
              </w:rPr>
            </w:pPr>
            <w:r>
              <w:rPr>
                <w:rFonts w:hint="eastAsia" w:ascii="仿宋" w:hAnsi="仿宋" w:eastAsia="仿宋" w:cs="仿宋_GB2312"/>
                <w:color w:val="000000"/>
                <w:kern w:val="0"/>
                <w:sz w:val="20"/>
                <w:szCs w:val="20"/>
                <w:lang w:bidi="ar"/>
              </w:rPr>
              <w:t>不涉及</w:t>
            </w:r>
          </w:p>
        </w:tc>
        <w:tc>
          <w:tcPr>
            <w:tcW w:w="2463" w:type="dxa"/>
            <w:tcBorders>
              <w:top w:val="single" w:color="000000" w:sz="6" w:space="0"/>
              <w:left w:val="single" w:color="000000" w:sz="6" w:space="0"/>
              <w:bottom w:val="single" w:color="000000" w:sz="6" w:space="0"/>
              <w:right w:val="single" w:color="000000" w:sz="6" w:space="0"/>
            </w:tcBorders>
            <w:noWrap w:val="0"/>
            <w:vAlign w:val="top"/>
          </w:tcPr>
          <w:p>
            <w:pPr>
              <w:jc w:val="left"/>
              <w:rPr>
                <w:rFonts w:hint="eastAsia" w:ascii="仿宋" w:hAnsi="仿宋" w:eastAsia="仿宋" w:cs="仿宋_GB2312"/>
                <w:color w:val="000000"/>
                <w:sz w:val="20"/>
                <w:szCs w:val="20"/>
              </w:rPr>
            </w:pPr>
          </w:p>
        </w:tc>
        <w:tc>
          <w:tcPr>
            <w:tcW w:w="2546" w:type="dxa"/>
            <w:tcBorders>
              <w:top w:val="single" w:color="000000" w:sz="6" w:space="0"/>
              <w:left w:val="single" w:color="000000" w:sz="6" w:space="0"/>
              <w:bottom w:val="single" w:color="000000" w:sz="6" w:space="0"/>
              <w:right w:val="single" w:color="000000" w:sz="6" w:space="0"/>
            </w:tcBorders>
            <w:noWrap w:val="0"/>
            <w:vAlign w:val="top"/>
          </w:tcPr>
          <w:p>
            <w:pPr>
              <w:jc w:val="left"/>
              <w:rPr>
                <w:rFonts w:hint="eastAsia" w:ascii="仿宋" w:hAnsi="仿宋" w:eastAsia="仿宋" w:cs="仿宋_GB2312"/>
                <w:color w:val="000000"/>
                <w:sz w:val="20"/>
                <w:szCs w:val="20"/>
              </w:rPr>
            </w:pPr>
          </w:p>
        </w:tc>
        <w:tc>
          <w:tcPr>
            <w:tcW w:w="1346"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宋体"/>
                <w:color w:val="000000"/>
                <w:sz w:val="18"/>
                <w:szCs w:val="18"/>
              </w:rPr>
            </w:pPr>
            <w:r>
              <w:rPr>
                <w:rFonts w:hint="eastAsia" w:ascii="仿宋" w:hAnsi="仿宋" w:eastAsia="仿宋" w:cs="宋体"/>
                <w:color w:val="000000"/>
                <w:kern w:val="0"/>
                <w:sz w:val="18"/>
                <w:szCs w:val="18"/>
                <w:lang w:bidi="ar"/>
              </w:rPr>
              <w:t>反映相关产出对经济发展带来的影响和效果。</w:t>
            </w:r>
          </w:p>
        </w:tc>
      </w:tr>
      <w:tr>
        <w:tblPrEx>
          <w:tblLayout w:type="fixed"/>
          <w:tblCellMar>
            <w:top w:w="0" w:type="dxa"/>
            <w:left w:w="108" w:type="dxa"/>
            <w:bottom w:w="0" w:type="dxa"/>
            <w:right w:w="108" w:type="dxa"/>
          </w:tblCellMar>
        </w:tblPrEx>
        <w:trPr>
          <w:trHeight w:val="1167" w:hRule="atLeast"/>
        </w:trPr>
        <w:tc>
          <w:tcPr>
            <w:tcW w:w="626"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kern w:val="0"/>
                <w:sz w:val="18"/>
                <w:szCs w:val="18"/>
                <w:lang w:bidi="ar"/>
              </w:rPr>
            </w:pPr>
          </w:p>
        </w:tc>
        <w:tc>
          <w:tcPr>
            <w:tcW w:w="630"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社会效益</w:t>
            </w: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社会影响力及社会工作服务水平</w:t>
            </w: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社会面正向影响力；精准救助社会工作服务水平</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得到有效提升</w:t>
            </w:r>
          </w:p>
        </w:tc>
        <w:tc>
          <w:tcPr>
            <w:tcW w:w="1346"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反映相关产出对社会发展带来的影响和效果。</w:t>
            </w:r>
          </w:p>
        </w:tc>
      </w:tr>
      <w:tr>
        <w:tblPrEx>
          <w:tblLayout w:type="fixed"/>
          <w:tblCellMar>
            <w:top w:w="0" w:type="dxa"/>
            <w:left w:w="108" w:type="dxa"/>
            <w:bottom w:w="0" w:type="dxa"/>
            <w:right w:w="108" w:type="dxa"/>
          </w:tblCellMar>
        </w:tblPrEx>
        <w:trPr>
          <w:trHeight w:val="868" w:hRule="atLeast"/>
        </w:trPr>
        <w:tc>
          <w:tcPr>
            <w:tcW w:w="626"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kern w:val="0"/>
                <w:sz w:val="18"/>
                <w:szCs w:val="18"/>
                <w:lang w:bidi="ar"/>
              </w:rPr>
            </w:pPr>
          </w:p>
        </w:tc>
        <w:tc>
          <w:tcPr>
            <w:tcW w:w="630"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生态效益</w:t>
            </w: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不涉及</w:t>
            </w: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sz w:val="15"/>
                <w:szCs w:val="15"/>
              </w:rPr>
            </w:pP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sz w:val="15"/>
                <w:szCs w:val="15"/>
              </w:rPr>
            </w:pPr>
          </w:p>
        </w:tc>
        <w:tc>
          <w:tcPr>
            <w:tcW w:w="1346"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反映相关产出对自然环境带来的影响和效果。</w:t>
            </w:r>
          </w:p>
        </w:tc>
      </w:tr>
      <w:tr>
        <w:tblPrEx>
          <w:tblLayout w:type="fixed"/>
          <w:tblCellMar>
            <w:top w:w="0" w:type="dxa"/>
            <w:left w:w="108" w:type="dxa"/>
            <w:bottom w:w="0" w:type="dxa"/>
            <w:right w:w="108" w:type="dxa"/>
          </w:tblCellMar>
        </w:tblPrEx>
        <w:trPr>
          <w:trHeight w:val="1167" w:hRule="atLeast"/>
        </w:trPr>
        <w:tc>
          <w:tcPr>
            <w:tcW w:w="626"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kern w:val="0"/>
                <w:sz w:val="18"/>
                <w:szCs w:val="18"/>
                <w:lang w:bidi="ar"/>
              </w:rPr>
            </w:pPr>
          </w:p>
        </w:tc>
        <w:tc>
          <w:tcPr>
            <w:tcW w:w="630"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可持续影响</w:t>
            </w: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对困难群众开展救助服务可持续影响程度</w:t>
            </w: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sz w:val="15"/>
                <w:szCs w:val="15"/>
              </w:rPr>
            </w:pPr>
            <w:r>
              <w:rPr>
                <w:rFonts w:hint="eastAsia" w:ascii="仿宋_GB2312" w:hAnsi="宋体" w:eastAsia="仿宋_GB2312" w:cs="仿宋_GB2312"/>
                <w:color w:val="000000"/>
                <w:kern w:val="0"/>
                <w:sz w:val="20"/>
                <w:szCs w:val="20"/>
                <w:lang w:bidi="ar"/>
              </w:rPr>
              <w:t>对困难群众开展救助服务可持续影响程度</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jc w:val="center"/>
              <w:rPr>
                <w:sz w:val="15"/>
                <w:szCs w:val="15"/>
              </w:rPr>
            </w:pPr>
            <w:r>
              <w:rPr>
                <w:rFonts w:hint="eastAsia" w:ascii="新宋体" w:hAnsi="新宋体" w:eastAsia="新宋体" w:cs="新宋体"/>
                <w:szCs w:val="21"/>
              </w:rPr>
              <w:t>1年</w:t>
            </w:r>
          </w:p>
        </w:tc>
        <w:tc>
          <w:tcPr>
            <w:tcW w:w="1346"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反映相关产出带来影响的可持续期限。</w:t>
            </w:r>
          </w:p>
        </w:tc>
      </w:tr>
      <w:tr>
        <w:tblPrEx>
          <w:tblLayout w:type="fixed"/>
          <w:tblCellMar>
            <w:top w:w="0" w:type="dxa"/>
            <w:left w:w="108" w:type="dxa"/>
            <w:bottom w:w="0" w:type="dxa"/>
            <w:right w:w="108" w:type="dxa"/>
          </w:tblCellMar>
        </w:tblPrEx>
        <w:trPr>
          <w:trHeight w:val="67" w:hRule="atLeast"/>
        </w:trPr>
        <w:tc>
          <w:tcPr>
            <w:tcW w:w="626"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满意度指标</w:t>
            </w:r>
          </w:p>
        </w:tc>
        <w:tc>
          <w:tcPr>
            <w:tcW w:w="630"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服务对象满意度</w:t>
            </w: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widowControl/>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困难群众满意程度</w:t>
            </w:r>
          </w:p>
        </w:tc>
        <w:tc>
          <w:tcPr>
            <w:tcW w:w="2463"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≥95%</w:t>
            </w:r>
          </w:p>
        </w:tc>
        <w:tc>
          <w:tcPr>
            <w:tcW w:w="2546"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≥95%</w:t>
            </w:r>
          </w:p>
        </w:tc>
        <w:tc>
          <w:tcPr>
            <w:tcW w:w="1346"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反映服务对象或项目受益人对相关产出及影响的认可程度。</w:t>
            </w:r>
          </w:p>
        </w:tc>
      </w:tr>
    </w:tbl>
    <w:p>
      <w:pPr>
        <w:jc w:val="center"/>
        <w:rPr>
          <w:rFonts w:hint="eastAsia" w:ascii="宋体" w:hAnsi="宋体" w:cs="宋体"/>
          <w:b/>
          <w:bCs/>
          <w:color w:val="000000"/>
          <w:sz w:val="18"/>
          <w:szCs w:val="18"/>
        </w:rPr>
        <w:sectPr>
          <w:footerReference r:id="rId9" w:type="default"/>
          <w:pgSz w:w="11906" w:h="16838"/>
          <w:pgMar w:top="1440" w:right="1800" w:bottom="1440" w:left="1800" w:header="720" w:footer="720" w:gutter="0"/>
          <w:cols w:space="720" w:num="1"/>
          <w:docGrid w:type="lines" w:linePitch="312" w:charSpace="0"/>
        </w:sectPr>
      </w:pPr>
    </w:p>
    <w:p>
      <w:pPr>
        <w:pStyle w:val="2"/>
        <w:ind w:firstLine="0" w:firstLineChars="0"/>
        <w:rPr>
          <w:rFonts w:hint="eastAsia" w:ascii="仿宋_GB2312" w:eastAsia="仿宋_GB2312"/>
          <w:bCs/>
          <w:sz w:val="32"/>
          <w:szCs w:val="32"/>
        </w:rPr>
      </w:pPr>
      <w:r>
        <w:rPr>
          <w:rFonts w:hint="eastAsia" w:ascii="仿宋_GB2312" w:eastAsia="仿宋_GB2312"/>
          <w:bCs/>
          <w:sz w:val="32"/>
          <w:szCs w:val="32"/>
        </w:rPr>
        <w:t>附件2</w:t>
      </w:r>
      <w:r>
        <w:rPr>
          <w:rFonts w:ascii="仿宋_GB2312" w:eastAsia="仿宋_GB2312"/>
          <w:bCs/>
          <w:sz w:val="32"/>
          <w:szCs w:val="32"/>
        </w:rPr>
        <w:t>.</w:t>
      </w:r>
      <w:r>
        <w:rPr>
          <w:rFonts w:hint="eastAsia" w:ascii="仿宋_GB2312" w:eastAsia="仿宋_GB2312"/>
          <w:bCs/>
          <w:sz w:val="32"/>
          <w:szCs w:val="32"/>
        </w:rPr>
        <w:t>成本绩效分析成果汇总表</w:t>
      </w:r>
    </w:p>
    <w:p>
      <w:pPr>
        <w:ind w:firstLine="5060" w:firstLineChars="1800"/>
        <w:rPr>
          <w:rFonts w:hint="eastAsia"/>
        </w:rPr>
      </w:pPr>
      <w:r>
        <w:rPr>
          <w:rFonts w:hint="eastAsia" w:ascii="宋体" w:hAnsi="宋体" w:cs="宋体"/>
          <w:b/>
          <w:sz w:val="28"/>
          <w:szCs w:val="28"/>
        </w:rPr>
        <w:t>西城区</w:t>
      </w:r>
      <w:r>
        <w:rPr>
          <w:rFonts w:hint="eastAsia" w:ascii="宋体" w:hAnsi="宋体" w:cs="宋体"/>
          <w:b/>
          <w:color w:val="000000"/>
          <w:kern w:val="0"/>
          <w:sz w:val="28"/>
          <w:szCs w:val="28"/>
          <w:lang w:bidi="ar"/>
        </w:rPr>
        <w:t>成本绩效分析成果汇总表</w:t>
      </w:r>
    </w:p>
    <w:tbl>
      <w:tblPr>
        <w:tblStyle w:val="12"/>
        <w:tblW w:w="13900" w:type="dxa"/>
        <w:tblInd w:w="93" w:type="dxa"/>
        <w:tblLayout w:type="fixed"/>
        <w:tblCellMar>
          <w:top w:w="0" w:type="dxa"/>
          <w:left w:w="108" w:type="dxa"/>
          <w:bottom w:w="0" w:type="dxa"/>
          <w:right w:w="108" w:type="dxa"/>
        </w:tblCellMar>
      </w:tblPr>
      <w:tblGrid>
        <w:gridCol w:w="893"/>
        <w:gridCol w:w="1474"/>
        <w:gridCol w:w="1453"/>
        <w:gridCol w:w="1444"/>
        <w:gridCol w:w="1556"/>
        <w:gridCol w:w="1172"/>
        <w:gridCol w:w="1094"/>
        <w:gridCol w:w="1763"/>
        <w:gridCol w:w="1474"/>
        <w:gridCol w:w="1577"/>
      </w:tblGrid>
      <w:tr>
        <w:tblPrEx>
          <w:tblLayout w:type="fixed"/>
          <w:tblCellMar>
            <w:top w:w="0" w:type="dxa"/>
            <w:left w:w="108" w:type="dxa"/>
            <w:bottom w:w="0" w:type="dxa"/>
            <w:right w:w="108" w:type="dxa"/>
          </w:tblCellMar>
        </w:tblPrEx>
        <w:trPr>
          <w:trHeight w:val="415" w:hRule="atLeast"/>
        </w:trPr>
        <w:tc>
          <w:tcPr>
            <w:tcW w:w="89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序号</w:t>
            </w:r>
          </w:p>
        </w:tc>
        <w:tc>
          <w:tcPr>
            <w:tcW w:w="147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分析主责部门</w:t>
            </w:r>
          </w:p>
        </w:tc>
        <w:tc>
          <w:tcPr>
            <w:tcW w:w="145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分析领域（项目）</w:t>
            </w:r>
          </w:p>
        </w:tc>
        <w:tc>
          <w:tcPr>
            <w:tcW w:w="5266"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资金压减成果（元）</w:t>
            </w:r>
          </w:p>
        </w:tc>
        <w:tc>
          <w:tcPr>
            <w:tcW w:w="481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支出标准体系建设成果</w:t>
            </w:r>
          </w:p>
        </w:tc>
      </w:tr>
      <w:tr>
        <w:tblPrEx>
          <w:tblLayout w:type="fixed"/>
          <w:tblCellMar>
            <w:top w:w="0" w:type="dxa"/>
            <w:left w:w="108" w:type="dxa"/>
            <w:bottom w:w="0" w:type="dxa"/>
            <w:right w:w="108" w:type="dxa"/>
          </w:tblCellMar>
        </w:tblPrEx>
        <w:trPr>
          <w:trHeight w:val="376" w:hRule="atLeast"/>
        </w:trPr>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1444" w:type="dxa"/>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压减前</w:t>
            </w:r>
          </w:p>
        </w:tc>
        <w:tc>
          <w:tcPr>
            <w:tcW w:w="1556" w:type="dxa"/>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压减后</w:t>
            </w:r>
          </w:p>
        </w:tc>
        <w:tc>
          <w:tcPr>
            <w:tcW w:w="1172" w:type="dxa"/>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压减金额</w:t>
            </w:r>
          </w:p>
        </w:tc>
        <w:tc>
          <w:tcPr>
            <w:tcW w:w="1094" w:type="dxa"/>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压减率</w:t>
            </w:r>
          </w:p>
        </w:tc>
        <w:tc>
          <w:tcPr>
            <w:tcW w:w="1763"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新设标准数量</w:t>
            </w:r>
          </w:p>
        </w:tc>
        <w:tc>
          <w:tcPr>
            <w:tcW w:w="3051" w:type="dxa"/>
            <w:gridSpan w:val="2"/>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优化标准数量</w:t>
            </w:r>
          </w:p>
        </w:tc>
      </w:tr>
      <w:tr>
        <w:tblPrEx>
          <w:tblLayout w:type="fixed"/>
          <w:tblCellMar>
            <w:top w:w="0" w:type="dxa"/>
            <w:left w:w="108" w:type="dxa"/>
            <w:bottom w:w="0" w:type="dxa"/>
            <w:right w:w="108" w:type="dxa"/>
          </w:tblCellMar>
        </w:tblPrEx>
        <w:trPr>
          <w:trHeight w:val="450" w:hRule="atLeast"/>
        </w:trPr>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1444"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cs="宋体"/>
                <w:b/>
                <w:color w:val="000000"/>
                <w:sz w:val="20"/>
                <w:szCs w:val="20"/>
              </w:rPr>
            </w:pPr>
          </w:p>
        </w:tc>
        <w:tc>
          <w:tcPr>
            <w:tcW w:w="1556"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cs="宋体"/>
                <w:b/>
                <w:color w:val="000000"/>
                <w:sz w:val="20"/>
                <w:szCs w:val="20"/>
              </w:rPr>
            </w:pPr>
          </w:p>
        </w:tc>
        <w:tc>
          <w:tcPr>
            <w:tcW w:w="1172"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cs="宋体"/>
                <w:b/>
                <w:color w:val="000000"/>
                <w:sz w:val="20"/>
                <w:szCs w:val="20"/>
              </w:rPr>
            </w:pPr>
          </w:p>
        </w:tc>
        <w:tc>
          <w:tcPr>
            <w:tcW w:w="1094"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cs="宋体"/>
                <w:b/>
                <w:color w:val="000000"/>
                <w:sz w:val="20"/>
                <w:szCs w:val="20"/>
              </w:rPr>
            </w:pPr>
          </w:p>
        </w:tc>
        <w:tc>
          <w:tcPr>
            <w:tcW w:w="1763"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 w:val="20"/>
                <w:szCs w:val="20"/>
              </w:rPr>
            </w:pPr>
          </w:p>
        </w:tc>
        <w:tc>
          <w:tcPr>
            <w:tcW w:w="147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标准下降</w:t>
            </w:r>
          </w:p>
        </w:tc>
        <w:tc>
          <w:tcPr>
            <w:tcW w:w="1577"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标准上升</w:t>
            </w:r>
          </w:p>
        </w:tc>
      </w:tr>
      <w:tr>
        <w:tblPrEx>
          <w:tblLayout w:type="fixed"/>
          <w:tblCellMar>
            <w:top w:w="0" w:type="dxa"/>
            <w:left w:w="108" w:type="dxa"/>
            <w:bottom w:w="0" w:type="dxa"/>
            <w:right w:w="108" w:type="dxa"/>
          </w:tblCellMar>
        </w:tblPrEx>
        <w:trPr>
          <w:trHeight w:val="457" w:hRule="atLeast"/>
        </w:trPr>
        <w:tc>
          <w:tcPr>
            <w:tcW w:w="3820" w:type="dxa"/>
            <w:gridSpan w:val="3"/>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合计</w:t>
            </w:r>
          </w:p>
        </w:tc>
        <w:tc>
          <w:tcPr>
            <w:tcW w:w="1444" w:type="dxa"/>
            <w:tcBorders>
              <w:top w:val="nil"/>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0"/>
                <w:szCs w:val="20"/>
              </w:rPr>
            </w:pPr>
          </w:p>
        </w:tc>
        <w:tc>
          <w:tcPr>
            <w:tcW w:w="1556" w:type="dxa"/>
            <w:tcBorders>
              <w:top w:val="nil"/>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0"/>
                <w:szCs w:val="20"/>
              </w:rPr>
            </w:pPr>
          </w:p>
        </w:tc>
        <w:tc>
          <w:tcPr>
            <w:tcW w:w="1172" w:type="dxa"/>
            <w:tcBorders>
              <w:top w:val="nil"/>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0"/>
                <w:szCs w:val="20"/>
              </w:rPr>
            </w:pPr>
          </w:p>
        </w:tc>
        <w:tc>
          <w:tcPr>
            <w:tcW w:w="1094" w:type="dxa"/>
            <w:tcBorders>
              <w:top w:val="nil"/>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0"/>
                <w:szCs w:val="20"/>
              </w:rPr>
            </w:pPr>
          </w:p>
        </w:tc>
        <w:tc>
          <w:tcPr>
            <w:tcW w:w="1763" w:type="dxa"/>
            <w:tcBorders>
              <w:top w:val="nil"/>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0"/>
                <w:szCs w:val="20"/>
              </w:rPr>
            </w:pPr>
            <w:r>
              <w:rPr>
                <w:rFonts w:hint="eastAsia" w:ascii="黑体" w:hAnsi="宋体" w:eastAsia="黑体" w:cs="黑体"/>
                <w:color w:val="000000"/>
                <w:sz w:val="20"/>
                <w:szCs w:val="20"/>
              </w:rPr>
              <w:t>3</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0"/>
                <w:szCs w:val="20"/>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0"/>
                <w:szCs w:val="20"/>
              </w:rPr>
            </w:pPr>
          </w:p>
        </w:tc>
      </w:tr>
      <w:tr>
        <w:tblPrEx>
          <w:tblLayout w:type="fixed"/>
          <w:tblCellMar>
            <w:top w:w="0" w:type="dxa"/>
            <w:left w:w="108" w:type="dxa"/>
            <w:bottom w:w="0" w:type="dxa"/>
            <w:right w:w="108" w:type="dxa"/>
          </w:tblCellMar>
        </w:tblPrEx>
        <w:trPr>
          <w:trHeight w:val="457" w:hRule="atLeast"/>
        </w:trPr>
        <w:tc>
          <w:tcPr>
            <w:tcW w:w="893"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1474" w:type="dxa"/>
            <w:vMerge w:val="restart"/>
            <w:tcBorders>
              <w:top w:val="single" w:color="000000" w:sz="4" w:space="0"/>
              <w:left w:val="single" w:color="000000" w:sz="4" w:space="0"/>
              <w:right w:val="single" w:color="000000" w:sz="4" w:space="0"/>
            </w:tcBorders>
            <w:noWrap/>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月坛街道办事处</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需求评估</w:t>
            </w:r>
          </w:p>
        </w:tc>
        <w:tc>
          <w:tcPr>
            <w:tcW w:w="144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200元/人次</w:t>
            </w:r>
          </w:p>
        </w:tc>
        <w:tc>
          <w:tcPr>
            <w:tcW w:w="1556"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200元/人次</w:t>
            </w:r>
          </w:p>
        </w:tc>
        <w:tc>
          <w:tcPr>
            <w:tcW w:w="1172"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094" w:type="dxa"/>
            <w:tcBorders>
              <w:top w:val="nil"/>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w:t>
            </w:r>
          </w:p>
        </w:tc>
        <w:tc>
          <w:tcPr>
            <w:tcW w:w="1763" w:type="dxa"/>
            <w:tcBorders>
              <w:top w:val="nil"/>
              <w:left w:val="single" w:color="000000" w:sz="4" w:space="0"/>
              <w:bottom w:val="single" w:color="000000" w:sz="4" w:space="0"/>
              <w:right w:val="single" w:color="000000" w:sz="4" w:space="0"/>
            </w:tcBorders>
            <w:noWrap w:val="0"/>
            <w:vAlign w:val="center"/>
          </w:tcPr>
          <w:p>
            <w:pPr>
              <w:jc w:val="center"/>
              <w:rPr>
                <w:rFonts w:hint="eastAsia"/>
              </w:rPr>
            </w:pPr>
            <w:r>
              <w:rPr>
                <w:rFonts w:hint="eastAsia"/>
              </w:rPr>
              <w:t>-</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0"/>
                <w:szCs w:val="20"/>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0"/>
                <w:szCs w:val="20"/>
              </w:rPr>
            </w:pPr>
          </w:p>
        </w:tc>
      </w:tr>
      <w:tr>
        <w:tblPrEx>
          <w:tblLayout w:type="fixed"/>
          <w:tblCellMar>
            <w:top w:w="0" w:type="dxa"/>
            <w:left w:w="108" w:type="dxa"/>
            <w:bottom w:w="0" w:type="dxa"/>
            <w:right w:w="108" w:type="dxa"/>
          </w:tblCellMar>
        </w:tblPrEx>
        <w:trPr>
          <w:trHeight w:val="457" w:hRule="atLeast"/>
        </w:trPr>
        <w:tc>
          <w:tcPr>
            <w:tcW w:w="893" w:type="dxa"/>
            <w:vMerge w:val="continue"/>
            <w:tcBorders>
              <w:left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sz w:val="20"/>
                <w:szCs w:val="20"/>
              </w:rPr>
            </w:pPr>
          </w:p>
        </w:tc>
        <w:tc>
          <w:tcPr>
            <w:tcW w:w="1474" w:type="dxa"/>
            <w:vMerge w:val="continue"/>
            <w:tcBorders>
              <w:left w:val="single" w:color="000000" w:sz="4" w:space="0"/>
              <w:right w:val="single" w:color="000000" w:sz="4" w:space="0"/>
            </w:tcBorders>
            <w:noWrap/>
            <w:vAlign w:val="center"/>
          </w:tcPr>
          <w:p>
            <w:pPr>
              <w:jc w:val="center"/>
              <w:rPr>
                <w:rFonts w:hint="eastAsia" w:ascii="仿宋" w:hAnsi="仿宋" w:eastAsia="仿宋" w:cs="仿宋"/>
                <w:color w:val="000000"/>
                <w:sz w:val="18"/>
                <w:szCs w:val="18"/>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个案帮扶</w:t>
            </w:r>
          </w:p>
        </w:tc>
        <w:tc>
          <w:tcPr>
            <w:tcW w:w="1444" w:type="dxa"/>
            <w:tcBorders>
              <w:top w:val="nil"/>
              <w:left w:val="single" w:color="000000" w:sz="4" w:space="0"/>
              <w:bottom w:val="single" w:color="auto"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300元/人次户</w:t>
            </w:r>
          </w:p>
        </w:tc>
        <w:tc>
          <w:tcPr>
            <w:tcW w:w="1556" w:type="dxa"/>
            <w:tcBorders>
              <w:top w:val="nil"/>
              <w:left w:val="single" w:color="000000" w:sz="4" w:space="0"/>
              <w:bottom w:val="single" w:color="auto"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300元/人次户</w:t>
            </w:r>
          </w:p>
        </w:tc>
        <w:tc>
          <w:tcPr>
            <w:tcW w:w="1172" w:type="dxa"/>
            <w:tcBorders>
              <w:top w:val="nil"/>
              <w:left w:val="single" w:color="000000" w:sz="4" w:space="0"/>
              <w:bottom w:val="single" w:color="auto" w:sz="4" w:space="0"/>
              <w:right w:val="single" w:color="000000" w:sz="4" w:space="0"/>
            </w:tcBorders>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094" w:type="dxa"/>
            <w:tcBorders>
              <w:top w:val="nil"/>
              <w:left w:val="single" w:color="000000" w:sz="4" w:space="0"/>
              <w:bottom w:val="single" w:color="auto" w:sz="4" w:space="0"/>
              <w:right w:val="single" w:color="000000" w:sz="4" w:space="0"/>
            </w:tcBorders>
            <w:noWrap/>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1763" w:type="dxa"/>
            <w:tcBorders>
              <w:top w:val="nil"/>
              <w:left w:val="single" w:color="000000" w:sz="4" w:space="0"/>
              <w:bottom w:val="single" w:color="auto" w:sz="4" w:space="0"/>
              <w:right w:val="single" w:color="000000" w:sz="4" w:space="0"/>
            </w:tcBorders>
            <w:noWrap w:val="0"/>
            <w:vAlign w:val="center"/>
          </w:tcPr>
          <w:p>
            <w:pPr>
              <w:jc w:val="center"/>
              <w:rPr>
                <w:rFonts w:hint="eastAsia"/>
              </w:rPr>
            </w:pPr>
            <w:r>
              <w:rPr>
                <w:rFonts w:hint="eastAsia"/>
              </w:rPr>
              <w:t>-</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0"/>
                <w:szCs w:val="20"/>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0"/>
                <w:szCs w:val="20"/>
              </w:rPr>
            </w:pPr>
          </w:p>
        </w:tc>
      </w:tr>
      <w:tr>
        <w:tblPrEx>
          <w:tblLayout w:type="fixed"/>
          <w:tblCellMar>
            <w:top w:w="0" w:type="dxa"/>
            <w:left w:w="108" w:type="dxa"/>
            <w:bottom w:w="0" w:type="dxa"/>
            <w:right w:w="108" w:type="dxa"/>
          </w:tblCellMar>
        </w:tblPrEx>
        <w:trPr>
          <w:trHeight w:val="457" w:hRule="atLeast"/>
        </w:trPr>
        <w:tc>
          <w:tcPr>
            <w:tcW w:w="893" w:type="dxa"/>
            <w:vMerge w:val="continue"/>
            <w:tcBorders>
              <w:left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sz w:val="20"/>
                <w:szCs w:val="20"/>
              </w:rPr>
            </w:pPr>
          </w:p>
        </w:tc>
        <w:tc>
          <w:tcPr>
            <w:tcW w:w="1474" w:type="dxa"/>
            <w:vMerge w:val="continue"/>
            <w:tcBorders>
              <w:left w:val="single" w:color="000000" w:sz="4" w:space="0"/>
              <w:right w:val="single" w:color="000000" w:sz="4" w:space="0"/>
            </w:tcBorders>
            <w:noWrap/>
            <w:vAlign w:val="center"/>
          </w:tcPr>
          <w:p>
            <w:pPr>
              <w:jc w:val="center"/>
              <w:rPr>
                <w:rFonts w:hint="eastAsia" w:ascii="仿宋" w:hAnsi="仿宋" w:eastAsia="仿宋" w:cs="仿宋"/>
                <w:color w:val="000000"/>
                <w:sz w:val="18"/>
                <w:szCs w:val="18"/>
              </w:rPr>
            </w:pPr>
          </w:p>
        </w:tc>
        <w:tc>
          <w:tcPr>
            <w:tcW w:w="1453"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案例总结</w:t>
            </w:r>
          </w:p>
        </w:tc>
        <w:tc>
          <w:tcPr>
            <w:tcW w:w="144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1250元/份</w:t>
            </w:r>
          </w:p>
        </w:tc>
        <w:tc>
          <w:tcPr>
            <w:tcW w:w="155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800元/份</w:t>
            </w:r>
          </w:p>
        </w:tc>
        <w:tc>
          <w:tcPr>
            <w:tcW w:w="11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450元/份</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36%</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474" w:type="dxa"/>
            <w:tcBorders>
              <w:top w:val="single" w:color="000000" w:sz="4" w:space="0"/>
              <w:left w:val="single" w:color="auto" w:sz="4" w:space="0"/>
              <w:bottom w:val="single" w:color="auto" w:sz="4" w:space="0"/>
              <w:right w:val="single" w:color="000000" w:sz="4" w:space="0"/>
            </w:tcBorders>
            <w:noWrap/>
            <w:vAlign w:val="center"/>
          </w:tcPr>
          <w:p>
            <w:pPr>
              <w:jc w:val="center"/>
              <w:rPr>
                <w:rFonts w:hint="eastAsia" w:ascii="仿宋_GB2312" w:hAnsi="宋体" w:eastAsia="仿宋_GB2312" w:cs="仿宋_GB2312"/>
                <w:color w:val="000000"/>
                <w:sz w:val="20"/>
                <w:szCs w:val="20"/>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0"/>
                <w:szCs w:val="20"/>
              </w:rPr>
            </w:pPr>
          </w:p>
        </w:tc>
      </w:tr>
      <w:tr>
        <w:tblPrEx>
          <w:tblLayout w:type="fixed"/>
          <w:tblCellMar>
            <w:top w:w="0" w:type="dxa"/>
            <w:left w:w="108" w:type="dxa"/>
            <w:bottom w:w="0" w:type="dxa"/>
            <w:right w:w="108" w:type="dxa"/>
          </w:tblCellMar>
        </w:tblPrEx>
        <w:trPr>
          <w:trHeight w:val="457" w:hRule="atLeast"/>
        </w:trPr>
        <w:tc>
          <w:tcPr>
            <w:tcW w:w="893" w:type="dxa"/>
            <w:vMerge w:val="continue"/>
            <w:tcBorders>
              <w:left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sz w:val="20"/>
                <w:szCs w:val="20"/>
              </w:rPr>
            </w:pPr>
          </w:p>
        </w:tc>
        <w:tc>
          <w:tcPr>
            <w:tcW w:w="1474" w:type="dxa"/>
            <w:vMerge w:val="continue"/>
            <w:tcBorders>
              <w:left w:val="single" w:color="000000" w:sz="4" w:space="0"/>
              <w:right w:val="single" w:color="000000" w:sz="4" w:space="0"/>
            </w:tcBorders>
            <w:noWrap/>
            <w:vAlign w:val="center"/>
          </w:tcPr>
          <w:p>
            <w:pPr>
              <w:jc w:val="center"/>
              <w:rPr>
                <w:rFonts w:hint="eastAsia" w:ascii="仿宋" w:hAnsi="仿宋" w:eastAsia="仿宋" w:cs="仿宋"/>
                <w:color w:val="000000"/>
                <w:sz w:val="18"/>
                <w:szCs w:val="18"/>
              </w:rPr>
            </w:pPr>
          </w:p>
        </w:tc>
        <w:tc>
          <w:tcPr>
            <w:tcW w:w="1453"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社工开展小组活动、社区活动</w:t>
            </w:r>
          </w:p>
        </w:tc>
        <w:tc>
          <w:tcPr>
            <w:tcW w:w="144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1600元/次</w:t>
            </w:r>
          </w:p>
        </w:tc>
        <w:tc>
          <w:tcPr>
            <w:tcW w:w="155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800元/次</w:t>
            </w:r>
          </w:p>
        </w:tc>
        <w:tc>
          <w:tcPr>
            <w:tcW w:w="11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400元/次</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50%</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474" w:type="dxa"/>
            <w:tcBorders>
              <w:top w:val="single" w:color="auto" w:sz="4" w:space="0"/>
              <w:left w:val="single" w:color="auto" w:sz="4" w:space="0"/>
              <w:bottom w:val="single" w:color="000000" w:sz="4" w:space="0"/>
              <w:right w:val="single" w:color="auto" w:sz="4" w:space="0"/>
            </w:tcBorders>
            <w:noWrap/>
            <w:vAlign w:val="center"/>
          </w:tcPr>
          <w:p>
            <w:pPr>
              <w:jc w:val="center"/>
              <w:rPr>
                <w:rFonts w:hint="eastAsia" w:ascii="仿宋_GB2312" w:hAnsi="宋体" w:eastAsia="仿宋_GB2312" w:cs="仿宋_GB2312"/>
                <w:color w:val="000000"/>
                <w:sz w:val="20"/>
                <w:szCs w:val="20"/>
              </w:rPr>
            </w:pPr>
          </w:p>
        </w:tc>
        <w:tc>
          <w:tcPr>
            <w:tcW w:w="157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0"/>
                <w:szCs w:val="20"/>
              </w:rPr>
            </w:pPr>
          </w:p>
        </w:tc>
      </w:tr>
      <w:tr>
        <w:tblPrEx>
          <w:tblLayout w:type="fixed"/>
          <w:tblCellMar>
            <w:top w:w="0" w:type="dxa"/>
            <w:left w:w="108" w:type="dxa"/>
            <w:bottom w:w="0" w:type="dxa"/>
            <w:right w:w="108" w:type="dxa"/>
          </w:tblCellMar>
        </w:tblPrEx>
        <w:trPr>
          <w:trHeight w:val="457" w:hRule="atLeast"/>
        </w:trPr>
        <w:tc>
          <w:tcPr>
            <w:tcW w:w="893"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sz w:val="20"/>
                <w:szCs w:val="20"/>
              </w:rPr>
            </w:pPr>
          </w:p>
        </w:tc>
        <w:tc>
          <w:tcPr>
            <w:tcW w:w="1474" w:type="dxa"/>
            <w:vMerge w:val="continue"/>
            <w:tcBorders>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18"/>
                <w:szCs w:val="18"/>
              </w:rPr>
            </w:pPr>
          </w:p>
        </w:tc>
        <w:tc>
          <w:tcPr>
            <w:tcW w:w="1453"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新增低保低收入家庭入户审核</w:t>
            </w:r>
          </w:p>
        </w:tc>
        <w:tc>
          <w:tcPr>
            <w:tcW w:w="144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550元/人户</w:t>
            </w:r>
          </w:p>
        </w:tc>
        <w:tc>
          <w:tcPr>
            <w:tcW w:w="155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0000FF"/>
                <w:kern w:val="0"/>
                <w:sz w:val="18"/>
                <w:szCs w:val="18"/>
                <w:lang w:bidi="ar"/>
              </w:rPr>
            </w:pPr>
            <w:r>
              <w:rPr>
                <w:rFonts w:hint="eastAsia" w:ascii="仿宋" w:hAnsi="仿宋" w:eastAsia="仿宋" w:cs="仿宋"/>
                <w:color w:val="000000"/>
                <w:kern w:val="0"/>
                <w:sz w:val="20"/>
                <w:szCs w:val="20"/>
                <w:lang w:bidi="ar"/>
              </w:rPr>
              <w:t>400元/户</w:t>
            </w:r>
          </w:p>
        </w:tc>
        <w:tc>
          <w:tcPr>
            <w:tcW w:w="11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150元/次</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kern w:val="0"/>
                <w:sz w:val="18"/>
                <w:szCs w:val="18"/>
                <w:lang w:bidi="ar"/>
              </w:rPr>
              <w:t>27.27%</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474" w:type="dxa"/>
            <w:tcBorders>
              <w:top w:val="single" w:color="000000" w:sz="4" w:space="0"/>
              <w:left w:val="single" w:color="auto" w:sz="4" w:space="0"/>
              <w:bottom w:val="single" w:color="auto" w:sz="4" w:space="0"/>
              <w:right w:val="single" w:color="auto" w:sz="4" w:space="0"/>
            </w:tcBorders>
            <w:noWrap/>
            <w:vAlign w:val="center"/>
          </w:tcPr>
          <w:p>
            <w:pPr>
              <w:jc w:val="center"/>
              <w:rPr>
                <w:rFonts w:hint="eastAsia" w:ascii="仿宋_GB2312" w:hAnsi="宋体" w:eastAsia="仿宋_GB2312" w:cs="仿宋_GB2312"/>
                <w:color w:val="000000"/>
                <w:sz w:val="20"/>
                <w:szCs w:val="20"/>
              </w:rPr>
            </w:pPr>
          </w:p>
        </w:tc>
        <w:tc>
          <w:tcPr>
            <w:tcW w:w="157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0"/>
                <w:szCs w:val="20"/>
              </w:rPr>
            </w:pPr>
          </w:p>
        </w:tc>
      </w:tr>
    </w:tbl>
    <w:p>
      <w:pPr>
        <w:pStyle w:val="2"/>
        <w:ind w:firstLine="0" w:firstLineChars="0"/>
        <w:rPr>
          <w:rFonts w:hint="eastAsia" w:ascii="仿宋_GB2312" w:eastAsia="仿宋_GB2312"/>
          <w:bCs/>
          <w:sz w:val="32"/>
          <w:szCs w:val="32"/>
        </w:rPr>
        <w:sectPr>
          <w:footerReference r:id="rId10" w:type="default"/>
          <w:pgSz w:w="16838" w:h="11906" w:orient="landscape"/>
          <w:pgMar w:top="1800" w:right="1440" w:bottom="1800" w:left="1440" w:header="851" w:footer="992" w:gutter="0"/>
          <w:cols w:space="720" w:num="1"/>
          <w:docGrid w:type="lines" w:linePitch="312" w:charSpace="0"/>
        </w:sectPr>
      </w:pPr>
    </w:p>
    <w:p>
      <w:pPr>
        <w:pStyle w:val="2"/>
        <w:ind w:firstLine="0" w:firstLineChars="0"/>
        <w:rPr>
          <w:rFonts w:hint="eastAsia" w:ascii="仿宋_GB2312" w:eastAsia="仿宋_GB2312"/>
          <w:bCs/>
          <w:sz w:val="32"/>
          <w:szCs w:val="32"/>
        </w:rPr>
      </w:pPr>
      <w:r>
        <w:rPr>
          <w:rFonts w:hint="eastAsia" w:ascii="仿宋_GB2312" w:eastAsia="仿宋_GB2312"/>
          <w:bCs/>
          <w:sz w:val="32"/>
          <w:szCs w:val="32"/>
        </w:rPr>
        <w:t>附件3</w:t>
      </w:r>
      <w:r>
        <w:rPr>
          <w:rFonts w:ascii="仿宋_GB2312" w:eastAsia="仿宋_GB2312"/>
          <w:bCs/>
          <w:sz w:val="32"/>
          <w:szCs w:val="32"/>
        </w:rPr>
        <w:t>.</w:t>
      </w:r>
      <w:r>
        <w:rPr>
          <w:rFonts w:hint="eastAsia" w:ascii="仿宋_GB2312" w:eastAsia="仿宋_GB2312"/>
          <w:bCs/>
          <w:sz w:val="32"/>
          <w:szCs w:val="32"/>
        </w:rPr>
        <w:t>成本绩效分析支出定额标准汇总表</w:t>
      </w:r>
    </w:p>
    <w:p>
      <w:pPr>
        <w:pStyle w:val="2"/>
        <w:ind w:firstLine="3534" w:firstLineChars="1100"/>
        <w:rPr>
          <w:rFonts w:hint="eastAsia" w:ascii="宋体" w:hAnsi="宋体" w:cs="宋体"/>
          <w:b/>
          <w:bCs/>
          <w:sz w:val="32"/>
          <w:szCs w:val="32"/>
        </w:rPr>
      </w:pPr>
      <w:r>
        <w:rPr>
          <w:rFonts w:hint="eastAsia" w:ascii="宋体" w:hAnsi="宋体" w:cs="宋体"/>
          <w:b/>
          <w:bCs/>
          <w:color w:val="000000"/>
          <w:kern w:val="0"/>
          <w:sz w:val="32"/>
          <w:szCs w:val="32"/>
          <w:lang w:bidi="ar"/>
        </w:rPr>
        <w:t>西城区成本绩效分析支出定额标准汇总表</w:t>
      </w:r>
    </w:p>
    <w:tbl>
      <w:tblPr>
        <w:tblStyle w:val="12"/>
        <w:tblW w:w="14102" w:type="dxa"/>
        <w:tblInd w:w="93" w:type="dxa"/>
        <w:tblLayout w:type="fixed"/>
        <w:tblCellMar>
          <w:top w:w="0" w:type="dxa"/>
          <w:left w:w="108" w:type="dxa"/>
          <w:bottom w:w="0" w:type="dxa"/>
          <w:right w:w="108" w:type="dxa"/>
        </w:tblCellMar>
      </w:tblPr>
      <w:tblGrid>
        <w:gridCol w:w="538"/>
        <w:gridCol w:w="976"/>
        <w:gridCol w:w="1163"/>
        <w:gridCol w:w="1251"/>
        <w:gridCol w:w="1150"/>
        <w:gridCol w:w="880"/>
        <w:gridCol w:w="1659"/>
        <w:gridCol w:w="1135"/>
        <w:gridCol w:w="796"/>
        <w:gridCol w:w="1683"/>
        <w:gridCol w:w="989"/>
        <w:gridCol w:w="1208"/>
        <w:gridCol w:w="674"/>
      </w:tblGrid>
      <w:tr>
        <w:tblPrEx>
          <w:tblLayout w:type="fixed"/>
          <w:tblCellMar>
            <w:top w:w="0" w:type="dxa"/>
            <w:left w:w="108" w:type="dxa"/>
            <w:bottom w:w="0" w:type="dxa"/>
            <w:right w:w="108" w:type="dxa"/>
          </w:tblCellMar>
        </w:tblPrEx>
        <w:trPr>
          <w:trHeight w:val="434" w:hRule="atLeast"/>
        </w:trPr>
        <w:tc>
          <w:tcPr>
            <w:tcW w:w="538" w:type="dxa"/>
            <w:vMerge w:val="restart"/>
            <w:tcBorders>
              <w:top w:val="single" w:color="auto" w:sz="6" w:space="0"/>
              <w:left w:val="single" w:color="auto" w:sz="6" w:space="0"/>
              <w:bottom w:val="single" w:color="auto" w:sz="6" w:space="0"/>
              <w:right w:val="single" w:color="auto" w:sz="6"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序号</w:t>
            </w:r>
          </w:p>
        </w:tc>
        <w:tc>
          <w:tcPr>
            <w:tcW w:w="976" w:type="dxa"/>
            <w:vMerge w:val="restart"/>
            <w:tcBorders>
              <w:top w:val="single" w:color="auto" w:sz="6" w:space="0"/>
              <w:left w:val="single" w:color="auto" w:sz="6" w:space="0"/>
              <w:bottom w:val="single" w:color="auto" w:sz="6" w:space="0"/>
              <w:right w:val="single" w:color="auto" w:sz="6"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分析主责部门</w:t>
            </w:r>
          </w:p>
        </w:tc>
        <w:tc>
          <w:tcPr>
            <w:tcW w:w="1163" w:type="dxa"/>
            <w:vMerge w:val="restart"/>
            <w:tcBorders>
              <w:top w:val="single" w:color="auto" w:sz="6" w:space="0"/>
              <w:left w:val="single" w:color="auto" w:sz="6" w:space="0"/>
              <w:bottom w:val="single" w:color="auto" w:sz="6" w:space="0"/>
              <w:right w:val="single" w:color="auto" w:sz="6"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项目单位</w:t>
            </w:r>
          </w:p>
        </w:tc>
        <w:tc>
          <w:tcPr>
            <w:tcW w:w="1251"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b/>
                <w:bCs/>
                <w:color w:val="000000"/>
                <w:sz w:val="18"/>
                <w:szCs w:val="18"/>
              </w:rPr>
              <w:t>领域（项目）名称</w:t>
            </w:r>
          </w:p>
        </w:tc>
        <w:tc>
          <w:tcPr>
            <w:tcW w:w="1150" w:type="dxa"/>
            <w:vMerge w:val="restart"/>
            <w:tcBorders>
              <w:top w:val="single" w:color="auto" w:sz="6" w:space="0"/>
              <w:left w:val="single" w:color="auto" w:sz="6" w:space="0"/>
              <w:bottom w:val="single" w:color="auto" w:sz="6" w:space="0"/>
              <w:right w:val="single" w:color="auto" w:sz="6"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支出成本明细</w:t>
            </w:r>
          </w:p>
        </w:tc>
        <w:tc>
          <w:tcPr>
            <w:tcW w:w="88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是否有全市基础标准</w:t>
            </w:r>
          </w:p>
        </w:tc>
        <w:tc>
          <w:tcPr>
            <w:tcW w:w="3590" w:type="dxa"/>
            <w:gridSpan w:val="3"/>
            <w:tcBorders>
              <w:top w:val="single" w:color="auto" w:sz="6" w:space="0"/>
              <w:left w:val="single" w:color="auto" w:sz="6" w:space="0"/>
              <w:bottom w:val="single" w:color="auto" w:sz="6" w:space="0"/>
              <w:right w:val="single" w:color="auto" w:sz="6"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原支出标准</w:t>
            </w:r>
          </w:p>
        </w:tc>
        <w:tc>
          <w:tcPr>
            <w:tcW w:w="3880" w:type="dxa"/>
            <w:gridSpan w:val="3"/>
            <w:tcBorders>
              <w:top w:val="single" w:color="auto" w:sz="6" w:space="0"/>
              <w:left w:val="single" w:color="auto" w:sz="6" w:space="0"/>
              <w:bottom w:val="single" w:color="auto" w:sz="6" w:space="0"/>
              <w:right w:val="single" w:color="auto" w:sz="6"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新支出标准</w:t>
            </w:r>
          </w:p>
        </w:tc>
        <w:tc>
          <w:tcPr>
            <w:tcW w:w="674" w:type="dxa"/>
            <w:vMerge w:val="restart"/>
            <w:tcBorders>
              <w:top w:val="single" w:color="auto" w:sz="6" w:space="0"/>
              <w:left w:val="single" w:color="auto" w:sz="6" w:space="0"/>
              <w:bottom w:val="single" w:color="auto" w:sz="6" w:space="0"/>
              <w:right w:val="single" w:color="auto" w:sz="6"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备注</w:t>
            </w:r>
          </w:p>
        </w:tc>
      </w:tr>
      <w:tr>
        <w:tblPrEx>
          <w:tblLayout w:type="fixed"/>
          <w:tblCellMar>
            <w:top w:w="0" w:type="dxa"/>
            <w:left w:w="108" w:type="dxa"/>
            <w:bottom w:w="0" w:type="dxa"/>
            <w:right w:w="108" w:type="dxa"/>
          </w:tblCellMar>
        </w:tblPrEx>
        <w:trPr>
          <w:trHeight w:val="567" w:hRule="atLeast"/>
        </w:trPr>
        <w:tc>
          <w:tcPr>
            <w:tcW w:w="538" w:type="dxa"/>
            <w:vMerge w:val="continue"/>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cs="宋体"/>
                <w:b/>
                <w:color w:val="000000"/>
                <w:sz w:val="20"/>
                <w:szCs w:val="20"/>
              </w:rPr>
            </w:pPr>
          </w:p>
        </w:tc>
        <w:tc>
          <w:tcPr>
            <w:tcW w:w="976" w:type="dxa"/>
            <w:vMerge w:val="continue"/>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cs="宋体"/>
                <w:b/>
                <w:color w:val="000000"/>
                <w:sz w:val="20"/>
                <w:szCs w:val="20"/>
              </w:rPr>
            </w:pPr>
          </w:p>
        </w:tc>
        <w:tc>
          <w:tcPr>
            <w:tcW w:w="1163" w:type="dxa"/>
            <w:vMerge w:val="continue"/>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cs="宋体"/>
                <w:b/>
                <w:color w:val="000000"/>
                <w:sz w:val="20"/>
                <w:szCs w:val="20"/>
              </w:rPr>
            </w:pPr>
          </w:p>
        </w:tc>
        <w:tc>
          <w:tcPr>
            <w:tcW w:w="12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宋体"/>
                <w:color w:val="000000"/>
                <w:sz w:val="18"/>
                <w:szCs w:val="18"/>
              </w:rPr>
            </w:pPr>
          </w:p>
        </w:tc>
        <w:tc>
          <w:tcPr>
            <w:tcW w:w="1150" w:type="dxa"/>
            <w:vMerge w:val="continue"/>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cs="宋体"/>
                <w:b/>
                <w:color w:val="000000"/>
                <w:sz w:val="20"/>
                <w:szCs w:val="20"/>
              </w:rPr>
            </w:pPr>
          </w:p>
        </w:tc>
        <w:tc>
          <w:tcPr>
            <w:tcW w:w="88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000000"/>
                <w:sz w:val="20"/>
                <w:szCs w:val="20"/>
              </w:rPr>
            </w:pPr>
          </w:p>
        </w:tc>
        <w:tc>
          <w:tcPr>
            <w:tcW w:w="1659" w:type="dxa"/>
            <w:tcBorders>
              <w:top w:val="single" w:color="auto" w:sz="6" w:space="0"/>
              <w:left w:val="single" w:color="auto" w:sz="6" w:space="0"/>
              <w:bottom w:val="single" w:color="auto" w:sz="6" w:space="0"/>
              <w:right w:val="single" w:color="auto" w:sz="6"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分档</w:t>
            </w:r>
          </w:p>
        </w:tc>
        <w:tc>
          <w:tcPr>
            <w:tcW w:w="1135" w:type="dxa"/>
            <w:tcBorders>
              <w:top w:val="single" w:color="auto" w:sz="6" w:space="0"/>
              <w:left w:val="single" w:color="auto" w:sz="6" w:space="0"/>
              <w:bottom w:val="single" w:color="auto" w:sz="6" w:space="0"/>
              <w:right w:val="single" w:color="auto" w:sz="6"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计量单位</w:t>
            </w:r>
          </w:p>
        </w:tc>
        <w:tc>
          <w:tcPr>
            <w:tcW w:w="796" w:type="dxa"/>
            <w:tcBorders>
              <w:top w:val="single" w:color="auto" w:sz="6" w:space="0"/>
              <w:left w:val="single" w:color="auto" w:sz="6" w:space="0"/>
              <w:bottom w:val="single" w:color="auto" w:sz="6" w:space="0"/>
              <w:right w:val="single" w:color="auto" w:sz="6"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标准值</w:t>
            </w:r>
          </w:p>
        </w:tc>
        <w:tc>
          <w:tcPr>
            <w:tcW w:w="1683" w:type="dxa"/>
            <w:tcBorders>
              <w:top w:val="single" w:color="auto" w:sz="6" w:space="0"/>
              <w:left w:val="single" w:color="auto" w:sz="6" w:space="0"/>
              <w:bottom w:val="single" w:color="auto" w:sz="6" w:space="0"/>
              <w:right w:val="single" w:color="auto" w:sz="6"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分档</w:t>
            </w:r>
          </w:p>
        </w:tc>
        <w:tc>
          <w:tcPr>
            <w:tcW w:w="989" w:type="dxa"/>
            <w:tcBorders>
              <w:top w:val="single" w:color="auto" w:sz="6" w:space="0"/>
              <w:left w:val="single" w:color="auto" w:sz="6" w:space="0"/>
              <w:bottom w:val="single" w:color="auto" w:sz="6" w:space="0"/>
              <w:right w:val="single" w:color="auto" w:sz="6"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计量单位</w:t>
            </w:r>
          </w:p>
        </w:tc>
        <w:tc>
          <w:tcPr>
            <w:tcW w:w="1208" w:type="dxa"/>
            <w:tcBorders>
              <w:top w:val="single" w:color="auto" w:sz="6" w:space="0"/>
              <w:left w:val="single" w:color="auto" w:sz="6" w:space="0"/>
              <w:bottom w:val="single" w:color="auto" w:sz="6" w:space="0"/>
              <w:right w:val="single" w:color="auto" w:sz="6" w:space="0"/>
            </w:tcBorders>
            <w:noWrap/>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标准值</w:t>
            </w:r>
          </w:p>
        </w:tc>
        <w:tc>
          <w:tcPr>
            <w:tcW w:w="674" w:type="dxa"/>
            <w:vMerge w:val="continue"/>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cs="宋体"/>
                <w:b/>
                <w:color w:val="000000"/>
                <w:sz w:val="20"/>
                <w:szCs w:val="20"/>
              </w:rPr>
            </w:pPr>
          </w:p>
        </w:tc>
      </w:tr>
      <w:tr>
        <w:tblPrEx>
          <w:tblLayout w:type="fixed"/>
          <w:tblCellMar>
            <w:top w:w="0" w:type="dxa"/>
            <w:left w:w="108" w:type="dxa"/>
            <w:bottom w:w="0" w:type="dxa"/>
            <w:right w:w="108" w:type="dxa"/>
          </w:tblCellMar>
        </w:tblPrEx>
        <w:trPr>
          <w:trHeight w:val="516" w:hRule="atLeast"/>
        </w:trPr>
        <w:tc>
          <w:tcPr>
            <w:tcW w:w="538" w:type="dxa"/>
            <w:tcBorders>
              <w:top w:val="single" w:color="auto" w:sz="6" w:space="0"/>
              <w:left w:val="single" w:color="auto" w:sz="6" w:space="0"/>
              <w:bottom w:val="single" w:color="auto" w:sz="6" w:space="0"/>
              <w:right w:val="single" w:color="auto" w:sz="6"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w:t>
            </w:r>
          </w:p>
        </w:tc>
        <w:tc>
          <w:tcPr>
            <w:tcW w:w="976" w:type="dxa"/>
            <w:vMerge w:val="restart"/>
            <w:tcBorders>
              <w:top w:val="single" w:color="auto" w:sz="6" w:space="0"/>
              <w:left w:val="single" w:color="auto" w:sz="6" w:space="0"/>
              <w:right w:val="single" w:color="auto" w:sz="6"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月坛街道办事处</w:t>
            </w:r>
          </w:p>
        </w:tc>
        <w:tc>
          <w:tcPr>
            <w:tcW w:w="1163" w:type="dxa"/>
            <w:vMerge w:val="restart"/>
            <w:tcBorders>
              <w:top w:val="single" w:color="auto" w:sz="6" w:space="0"/>
              <w:left w:val="single" w:color="auto" w:sz="6" w:space="0"/>
              <w:right w:val="single" w:color="auto" w:sz="6"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月坛街道办事处</w:t>
            </w:r>
          </w:p>
        </w:tc>
        <w:tc>
          <w:tcPr>
            <w:tcW w:w="1251" w:type="dxa"/>
            <w:vMerge w:val="restart"/>
            <w:tcBorders>
              <w:top w:val="single" w:color="auto" w:sz="6" w:space="0"/>
              <w:left w:val="single" w:color="auto" w:sz="6" w:space="0"/>
              <w:right w:val="single" w:color="auto" w:sz="6"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困难群众救助服务所项目</w:t>
            </w:r>
          </w:p>
        </w:tc>
        <w:tc>
          <w:tcPr>
            <w:tcW w:w="1150" w:type="dxa"/>
            <w:vMerge w:val="restart"/>
            <w:tcBorders>
              <w:top w:val="single" w:color="auto" w:sz="6" w:space="0"/>
              <w:left w:val="single" w:color="auto" w:sz="6" w:space="0"/>
              <w:right w:val="single" w:color="auto" w:sz="6"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困难群众救助服务所项目</w:t>
            </w:r>
          </w:p>
        </w:tc>
        <w:tc>
          <w:tcPr>
            <w:tcW w:w="880" w:type="dxa"/>
            <w:vMerge w:val="restart"/>
            <w:tcBorders>
              <w:top w:val="single" w:color="auto" w:sz="6" w:space="0"/>
              <w:left w:val="single" w:color="auto" w:sz="6" w:space="0"/>
              <w:right w:val="single" w:color="auto" w:sz="6"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无</w:t>
            </w:r>
          </w:p>
        </w:tc>
        <w:tc>
          <w:tcPr>
            <w:tcW w:w="1659" w:type="dxa"/>
            <w:tcBorders>
              <w:top w:val="single" w:color="auto" w:sz="6" w:space="0"/>
              <w:left w:val="single" w:color="auto" w:sz="6" w:space="0"/>
              <w:bottom w:val="single" w:color="auto" w:sz="6" w:space="0"/>
              <w:right w:val="single" w:color="auto" w:sz="6" w:space="0"/>
            </w:tcBorders>
            <w:noWrap/>
            <w:vAlign w:val="center"/>
          </w:tcPr>
          <w:p>
            <w:pPr>
              <w:widowControl/>
              <w:jc w:val="left"/>
              <w:textAlignment w:val="center"/>
              <w:rPr>
                <w:rFonts w:hint="eastAsia" w:ascii="宋体" w:hAnsi="宋体" w:cs="宋体"/>
                <w:color w:val="000000"/>
                <w:sz w:val="18"/>
                <w:szCs w:val="18"/>
              </w:rPr>
            </w:pPr>
            <w:r>
              <w:rPr>
                <w:rFonts w:hint="eastAsia" w:ascii="仿宋" w:hAnsi="仿宋" w:eastAsia="仿宋" w:cs="仿宋"/>
                <w:color w:val="000000"/>
                <w:kern w:val="0"/>
                <w:sz w:val="18"/>
                <w:szCs w:val="18"/>
                <w:lang w:bidi="ar"/>
              </w:rPr>
              <w:t>需求评估</w:t>
            </w:r>
          </w:p>
        </w:tc>
        <w:tc>
          <w:tcPr>
            <w:tcW w:w="1135" w:type="dxa"/>
            <w:tcBorders>
              <w:top w:val="single" w:color="auto" w:sz="6" w:space="0"/>
              <w:left w:val="single" w:color="auto" w:sz="6" w:space="0"/>
              <w:bottom w:val="single" w:color="auto" w:sz="6" w:space="0"/>
              <w:right w:val="single" w:color="auto" w:sz="6" w:space="0"/>
            </w:tcBorders>
            <w:noWrap/>
            <w:vAlign w:val="center"/>
          </w:tcPr>
          <w:p>
            <w:pPr>
              <w:tabs>
                <w:tab w:val="left" w:pos="342"/>
              </w:tabs>
              <w:jc w:val="center"/>
              <w:rPr>
                <w:rFonts w:hint="eastAsia" w:ascii="宋体" w:hAnsi="宋体" w:cs="宋体"/>
                <w:color w:val="000000"/>
                <w:sz w:val="18"/>
                <w:szCs w:val="18"/>
              </w:rPr>
            </w:pPr>
            <w:r>
              <w:rPr>
                <w:rFonts w:hint="eastAsia" w:ascii="宋体" w:hAnsi="宋体" w:cs="宋体"/>
                <w:color w:val="000000"/>
                <w:sz w:val="18"/>
                <w:szCs w:val="18"/>
              </w:rPr>
              <w:t>元/人次</w:t>
            </w:r>
          </w:p>
        </w:tc>
        <w:tc>
          <w:tcPr>
            <w:tcW w:w="796"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200</w:t>
            </w:r>
          </w:p>
        </w:tc>
        <w:tc>
          <w:tcPr>
            <w:tcW w:w="1683" w:type="dxa"/>
            <w:tcBorders>
              <w:top w:val="single" w:color="auto" w:sz="6" w:space="0"/>
              <w:left w:val="single" w:color="auto" w:sz="6" w:space="0"/>
              <w:bottom w:val="single" w:color="auto" w:sz="6" w:space="0"/>
              <w:right w:val="single" w:color="auto" w:sz="6" w:space="0"/>
            </w:tcBorders>
            <w:noWrap/>
            <w:vAlign w:val="center"/>
          </w:tcPr>
          <w:p>
            <w:pPr>
              <w:widowControl/>
              <w:jc w:val="left"/>
              <w:textAlignment w:val="center"/>
              <w:rPr>
                <w:rFonts w:hint="eastAsia" w:ascii="宋体" w:hAnsi="宋体" w:cs="宋体"/>
                <w:color w:val="000000"/>
                <w:sz w:val="18"/>
                <w:szCs w:val="18"/>
              </w:rPr>
            </w:pPr>
            <w:r>
              <w:rPr>
                <w:rFonts w:hint="eastAsia" w:ascii="仿宋" w:hAnsi="仿宋" w:eastAsia="仿宋" w:cs="仿宋"/>
                <w:color w:val="000000"/>
                <w:kern w:val="0"/>
                <w:sz w:val="18"/>
                <w:szCs w:val="18"/>
                <w:lang w:bidi="ar"/>
              </w:rPr>
              <w:t>需求评估</w:t>
            </w:r>
          </w:p>
        </w:tc>
        <w:tc>
          <w:tcPr>
            <w:tcW w:w="989" w:type="dxa"/>
            <w:tcBorders>
              <w:top w:val="single" w:color="auto" w:sz="6" w:space="0"/>
              <w:left w:val="single" w:color="auto" w:sz="6" w:space="0"/>
              <w:bottom w:val="single" w:color="auto" w:sz="6" w:space="0"/>
              <w:right w:val="single" w:color="auto" w:sz="6" w:space="0"/>
            </w:tcBorders>
            <w:noWrap/>
            <w:vAlign w:val="center"/>
          </w:tcPr>
          <w:p>
            <w:pPr>
              <w:tabs>
                <w:tab w:val="left" w:pos="342"/>
              </w:tabs>
              <w:jc w:val="center"/>
              <w:rPr>
                <w:rFonts w:hint="eastAsia" w:ascii="宋体" w:hAnsi="宋体" w:cs="宋体"/>
                <w:color w:val="000000"/>
                <w:sz w:val="18"/>
                <w:szCs w:val="18"/>
              </w:rPr>
            </w:pPr>
            <w:r>
              <w:rPr>
                <w:rFonts w:hint="eastAsia" w:ascii="宋体" w:hAnsi="宋体" w:cs="宋体"/>
                <w:color w:val="000000"/>
                <w:sz w:val="18"/>
                <w:szCs w:val="18"/>
              </w:rPr>
              <w:t>元/人次</w:t>
            </w:r>
          </w:p>
        </w:tc>
        <w:tc>
          <w:tcPr>
            <w:tcW w:w="1208"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200</w:t>
            </w:r>
          </w:p>
        </w:tc>
        <w:tc>
          <w:tcPr>
            <w:tcW w:w="674"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668" w:hRule="atLeast"/>
        </w:trPr>
        <w:tc>
          <w:tcPr>
            <w:tcW w:w="538" w:type="dxa"/>
            <w:tcBorders>
              <w:top w:val="single" w:color="auto" w:sz="6" w:space="0"/>
              <w:left w:val="single" w:color="auto" w:sz="6" w:space="0"/>
              <w:bottom w:val="single" w:color="auto" w:sz="6" w:space="0"/>
              <w:right w:val="single" w:color="auto" w:sz="6"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2</w:t>
            </w:r>
          </w:p>
        </w:tc>
        <w:tc>
          <w:tcPr>
            <w:tcW w:w="976" w:type="dxa"/>
            <w:vMerge w:val="continue"/>
            <w:tcBorders>
              <w:left w:val="single" w:color="auto" w:sz="6" w:space="0"/>
              <w:right w:val="single" w:color="auto" w:sz="6" w:space="0"/>
            </w:tcBorders>
            <w:noWrap/>
            <w:vAlign w:val="center"/>
          </w:tcPr>
          <w:p>
            <w:pPr>
              <w:widowControl/>
              <w:jc w:val="center"/>
              <w:textAlignment w:val="center"/>
              <w:rPr>
                <w:rFonts w:ascii="宋体" w:hAnsi="宋体" w:cs="宋体"/>
                <w:color w:val="000000"/>
                <w:sz w:val="18"/>
                <w:szCs w:val="18"/>
              </w:rPr>
            </w:pPr>
          </w:p>
        </w:tc>
        <w:tc>
          <w:tcPr>
            <w:tcW w:w="1163" w:type="dxa"/>
            <w:vMerge w:val="continue"/>
            <w:tcBorders>
              <w:left w:val="single" w:color="auto" w:sz="6" w:space="0"/>
              <w:right w:val="single" w:color="auto" w:sz="6" w:space="0"/>
            </w:tcBorders>
            <w:noWrap/>
            <w:vAlign w:val="center"/>
          </w:tcPr>
          <w:p>
            <w:pPr>
              <w:widowControl/>
              <w:jc w:val="center"/>
              <w:textAlignment w:val="center"/>
              <w:rPr>
                <w:rFonts w:hint="eastAsia" w:ascii="宋体" w:hAnsi="宋体" w:cs="宋体"/>
                <w:color w:val="000000"/>
                <w:sz w:val="18"/>
                <w:szCs w:val="18"/>
              </w:rPr>
            </w:pPr>
          </w:p>
        </w:tc>
        <w:tc>
          <w:tcPr>
            <w:tcW w:w="1251" w:type="dxa"/>
            <w:vMerge w:val="continue"/>
            <w:tcBorders>
              <w:left w:val="single" w:color="auto" w:sz="6" w:space="0"/>
              <w:right w:val="single" w:color="auto" w:sz="6" w:space="0"/>
            </w:tcBorders>
            <w:noWrap w:val="0"/>
            <w:vAlign w:val="center"/>
          </w:tcPr>
          <w:p>
            <w:pPr>
              <w:widowControl/>
              <w:jc w:val="center"/>
              <w:textAlignment w:val="center"/>
              <w:rPr>
                <w:rFonts w:hint="eastAsia" w:ascii="宋体" w:hAnsi="宋体" w:cs="宋体"/>
                <w:color w:val="000000"/>
                <w:sz w:val="18"/>
                <w:szCs w:val="18"/>
              </w:rPr>
            </w:pPr>
          </w:p>
        </w:tc>
        <w:tc>
          <w:tcPr>
            <w:tcW w:w="1150" w:type="dxa"/>
            <w:vMerge w:val="continue"/>
            <w:tcBorders>
              <w:left w:val="single" w:color="auto" w:sz="6" w:space="0"/>
              <w:right w:val="single" w:color="auto" w:sz="6" w:space="0"/>
            </w:tcBorders>
            <w:noWrap/>
            <w:vAlign w:val="center"/>
          </w:tcPr>
          <w:p>
            <w:pPr>
              <w:widowControl/>
              <w:jc w:val="center"/>
              <w:textAlignment w:val="center"/>
              <w:rPr>
                <w:rFonts w:hint="eastAsia" w:ascii="宋体" w:hAnsi="宋体" w:cs="宋体"/>
                <w:color w:val="000000"/>
                <w:sz w:val="18"/>
                <w:szCs w:val="18"/>
              </w:rPr>
            </w:pPr>
          </w:p>
        </w:tc>
        <w:tc>
          <w:tcPr>
            <w:tcW w:w="880" w:type="dxa"/>
            <w:vMerge w:val="continue"/>
            <w:tcBorders>
              <w:left w:val="single" w:color="auto" w:sz="6" w:space="0"/>
              <w:right w:val="single" w:color="auto" w:sz="6" w:space="0"/>
            </w:tcBorders>
            <w:noWrap/>
            <w:vAlign w:val="center"/>
          </w:tcPr>
          <w:p>
            <w:pPr>
              <w:widowControl/>
              <w:jc w:val="center"/>
              <w:textAlignment w:val="center"/>
              <w:rPr>
                <w:rFonts w:hint="eastAsia" w:ascii="宋体" w:hAnsi="宋体" w:cs="宋体"/>
                <w:color w:val="000000"/>
                <w:sz w:val="18"/>
                <w:szCs w:val="18"/>
              </w:rPr>
            </w:pPr>
          </w:p>
        </w:tc>
        <w:tc>
          <w:tcPr>
            <w:tcW w:w="1659" w:type="dxa"/>
            <w:tcBorders>
              <w:top w:val="single" w:color="auto" w:sz="6" w:space="0"/>
              <w:left w:val="single" w:color="auto" w:sz="6" w:space="0"/>
              <w:bottom w:val="single" w:color="auto" w:sz="6" w:space="0"/>
              <w:right w:val="single" w:color="auto" w:sz="6" w:space="0"/>
            </w:tcBorders>
            <w:noWrap/>
            <w:vAlign w:val="center"/>
          </w:tcPr>
          <w:p>
            <w:pPr>
              <w:widowControl/>
              <w:jc w:val="left"/>
              <w:textAlignment w:val="center"/>
              <w:rPr>
                <w:rFonts w:hint="eastAsia" w:ascii="宋体" w:hAnsi="宋体" w:cs="宋体"/>
                <w:color w:val="000000"/>
                <w:sz w:val="18"/>
                <w:szCs w:val="18"/>
                <w:highlight w:val="yellow"/>
              </w:rPr>
            </w:pPr>
            <w:r>
              <w:rPr>
                <w:rFonts w:hint="eastAsia" w:ascii="仿宋" w:hAnsi="仿宋" w:eastAsia="仿宋" w:cs="仿宋"/>
                <w:color w:val="000000"/>
                <w:kern w:val="0"/>
                <w:sz w:val="18"/>
                <w:szCs w:val="18"/>
                <w:lang w:bidi="ar"/>
              </w:rPr>
              <w:t>个案帮扶</w:t>
            </w:r>
          </w:p>
        </w:tc>
        <w:tc>
          <w:tcPr>
            <w:tcW w:w="1135" w:type="dxa"/>
            <w:tcBorders>
              <w:top w:val="single" w:color="auto" w:sz="6" w:space="0"/>
              <w:left w:val="single" w:color="auto" w:sz="6" w:space="0"/>
              <w:bottom w:val="single" w:color="auto" w:sz="6" w:space="0"/>
              <w:right w:val="single" w:color="auto" w:sz="6" w:space="0"/>
            </w:tcBorders>
            <w:noWrap/>
            <w:vAlign w:val="center"/>
          </w:tcPr>
          <w:p>
            <w:pPr>
              <w:tabs>
                <w:tab w:val="left" w:pos="342"/>
              </w:tabs>
              <w:jc w:val="center"/>
              <w:rPr>
                <w:rFonts w:hint="eastAsia" w:ascii="宋体" w:hAnsi="宋体" w:cs="宋体"/>
                <w:color w:val="000000"/>
                <w:sz w:val="18"/>
                <w:szCs w:val="18"/>
              </w:rPr>
            </w:pPr>
            <w:r>
              <w:rPr>
                <w:rFonts w:hint="eastAsia" w:ascii="仿宋" w:hAnsi="仿宋" w:eastAsia="仿宋" w:cs="仿宋"/>
                <w:color w:val="000000"/>
                <w:kern w:val="0"/>
                <w:sz w:val="18"/>
                <w:szCs w:val="18"/>
                <w:lang w:bidi="ar"/>
              </w:rPr>
              <w:t>元/人次户</w:t>
            </w:r>
          </w:p>
        </w:tc>
        <w:tc>
          <w:tcPr>
            <w:tcW w:w="796"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300</w:t>
            </w:r>
          </w:p>
        </w:tc>
        <w:tc>
          <w:tcPr>
            <w:tcW w:w="1683" w:type="dxa"/>
            <w:tcBorders>
              <w:top w:val="single" w:color="auto" w:sz="6" w:space="0"/>
              <w:left w:val="single" w:color="auto" w:sz="6" w:space="0"/>
              <w:bottom w:val="single" w:color="auto" w:sz="6" w:space="0"/>
              <w:right w:val="single" w:color="auto" w:sz="6" w:space="0"/>
            </w:tcBorders>
            <w:noWrap/>
            <w:vAlign w:val="center"/>
          </w:tcPr>
          <w:p>
            <w:pPr>
              <w:widowControl/>
              <w:jc w:val="left"/>
              <w:textAlignment w:val="center"/>
              <w:rPr>
                <w:rFonts w:hint="eastAsia" w:ascii="宋体" w:hAnsi="宋体" w:cs="宋体"/>
                <w:color w:val="000000"/>
                <w:sz w:val="18"/>
                <w:szCs w:val="18"/>
              </w:rPr>
            </w:pPr>
            <w:r>
              <w:rPr>
                <w:rFonts w:hint="eastAsia" w:ascii="仿宋" w:hAnsi="仿宋" w:eastAsia="仿宋" w:cs="仿宋"/>
                <w:color w:val="000000"/>
                <w:kern w:val="0"/>
                <w:sz w:val="18"/>
                <w:szCs w:val="18"/>
                <w:lang w:bidi="ar"/>
              </w:rPr>
              <w:t>个案帮扶</w:t>
            </w:r>
          </w:p>
        </w:tc>
        <w:tc>
          <w:tcPr>
            <w:tcW w:w="989" w:type="dxa"/>
            <w:tcBorders>
              <w:top w:val="single" w:color="auto" w:sz="6" w:space="0"/>
              <w:left w:val="single" w:color="auto" w:sz="6" w:space="0"/>
              <w:bottom w:val="single" w:color="auto" w:sz="6" w:space="0"/>
              <w:right w:val="single" w:color="auto" w:sz="6" w:space="0"/>
            </w:tcBorders>
            <w:noWrap/>
            <w:vAlign w:val="center"/>
          </w:tcPr>
          <w:p>
            <w:pPr>
              <w:tabs>
                <w:tab w:val="left" w:pos="342"/>
              </w:tabs>
              <w:jc w:val="center"/>
              <w:rPr>
                <w:rFonts w:hint="eastAsia" w:ascii="宋体" w:hAnsi="宋体" w:cs="宋体"/>
                <w:color w:val="000000"/>
                <w:sz w:val="18"/>
                <w:szCs w:val="18"/>
              </w:rPr>
            </w:pPr>
            <w:r>
              <w:rPr>
                <w:rFonts w:hint="eastAsia" w:ascii="仿宋" w:hAnsi="仿宋" w:eastAsia="仿宋" w:cs="仿宋"/>
                <w:color w:val="000000"/>
                <w:kern w:val="0"/>
                <w:sz w:val="18"/>
                <w:szCs w:val="18"/>
                <w:lang w:bidi="ar"/>
              </w:rPr>
              <w:t>元/人次户</w:t>
            </w:r>
          </w:p>
        </w:tc>
        <w:tc>
          <w:tcPr>
            <w:tcW w:w="1208"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300</w:t>
            </w:r>
          </w:p>
        </w:tc>
        <w:tc>
          <w:tcPr>
            <w:tcW w:w="674"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668" w:hRule="atLeast"/>
        </w:trPr>
        <w:tc>
          <w:tcPr>
            <w:tcW w:w="538" w:type="dxa"/>
            <w:tcBorders>
              <w:top w:val="single" w:color="auto" w:sz="6" w:space="0"/>
              <w:left w:val="single" w:color="auto" w:sz="6" w:space="0"/>
              <w:bottom w:val="single" w:color="auto" w:sz="6" w:space="0"/>
              <w:right w:val="single" w:color="auto" w:sz="6"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w:t>
            </w:r>
          </w:p>
        </w:tc>
        <w:tc>
          <w:tcPr>
            <w:tcW w:w="976" w:type="dxa"/>
            <w:vMerge w:val="continue"/>
            <w:tcBorders>
              <w:left w:val="single" w:color="auto" w:sz="6" w:space="0"/>
              <w:right w:val="single" w:color="auto" w:sz="6" w:space="0"/>
            </w:tcBorders>
            <w:noWrap/>
            <w:vAlign w:val="center"/>
          </w:tcPr>
          <w:p>
            <w:pPr>
              <w:widowControl/>
              <w:jc w:val="center"/>
              <w:textAlignment w:val="center"/>
              <w:rPr>
                <w:rFonts w:hint="eastAsia" w:ascii="宋体" w:hAnsi="宋体" w:cs="宋体"/>
                <w:color w:val="000000"/>
                <w:sz w:val="18"/>
                <w:szCs w:val="18"/>
              </w:rPr>
            </w:pPr>
          </w:p>
        </w:tc>
        <w:tc>
          <w:tcPr>
            <w:tcW w:w="1163" w:type="dxa"/>
            <w:vMerge w:val="continue"/>
            <w:tcBorders>
              <w:left w:val="single" w:color="auto" w:sz="6" w:space="0"/>
              <w:right w:val="single" w:color="auto" w:sz="6" w:space="0"/>
            </w:tcBorders>
            <w:noWrap/>
            <w:vAlign w:val="center"/>
          </w:tcPr>
          <w:p>
            <w:pPr>
              <w:widowControl/>
              <w:jc w:val="center"/>
              <w:textAlignment w:val="center"/>
              <w:rPr>
                <w:rFonts w:hint="eastAsia" w:ascii="宋体" w:hAnsi="宋体" w:cs="宋体"/>
                <w:color w:val="000000"/>
                <w:sz w:val="18"/>
                <w:szCs w:val="18"/>
              </w:rPr>
            </w:pPr>
          </w:p>
        </w:tc>
        <w:tc>
          <w:tcPr>
            <w:tcW w:w="1251" w:type="dxa"/>
            <w:vMerge w:val="continue"/>
            <w:tcBorders>
              <w:left w:val="single" w:color="auto" w:sz="6" w:space="0"/>
              <w:right w:val="single" w:color="auto" w:sz="6" w:space="0"/>
            </w:tcBorders>
            <w:noWrap w:val="0"/>
            <w:vAlign w:val="center"/>
          </w:tcPr>
          <w:p>
            <w:pPr>
              <w:widowControl/>
              <w:jc w:val="center"/>
              <w:textAlignment w:val="center"/>
              <w:rPr>
                <w:rFonts w:hint="eastAsia" w:ascii="宋体" w:hAnsi="宋体" w:cs="宋体"/>
                <w:color w:val="000000"/>
                <w:sz w:val="18"/>
                <w:szCs w:val="18"/>
              </w:rPr>
            </w:pPr>
          </w:p>
        </w:tc>
        <w:tc>
          <w:tcPr>
            <w:tcW w:w="1150" w:type="dxa"/>
            <w:vMerge w:val="continue"/>
            <w:tcBorders>
              <w:left w:val="single" w:color="auto" w:sz="6" w:space="0"/>
              <w:right w:val="single" w:color="auto" w:sz="6" w:space="0"/>
            </w:tcBorders>
            <w:noWrap/>
            <w:vAlign w:val="center"/>
          </w:tcPr>
          <w:p>
            <w:pPr>
              <w:widowControl/>
              <w:jc w:val="center"/>
              <w:textAlignment w:val="center"/>
              <w:rPr>
                <w:rFonts w:hint="eastAsia" w:ascii="宋体" w:hAnsi="宋体" w:cs="宋体"/>
                <w:color w:val="000000"/>
                <w:sz w:val="18"/>
                <w:szCs w:val="18"/>
              </w:rPr>
            </w:pPr>
          </w:p>
        </w:tc>
        <w:tc>
          <w:tcPr>
            <w:tcW w:w="880" w:type="dxa"/>
            <w:vMerge w:val="continue"/>
            <w:tcBorders>
              <w:left w:val="single" w:color="auto" w:sz="6" w:space="0"/>
              <w:right w:val="single" w:color="auto" w:sz="6" w:space="0"/>
            </w:tcBorders>
            <w:noWrap/>
            <w:vAlign w:val="center"/>
          </w:tcPr>
          <w:p>
            <w:pPr>
              <w:widowControl/>
              <w:jc w:val="center"/>
              <w:textAlignment w:val="center"/>
              <w:rPr>
                <w:rFonts w:hint="eastAsia" w:ascii="宋体" w:hAnsi="宋体" w:cs="宋体"/>
                <w:color w:val="000000"/>
                <w:sz w:val="18"/>
                <w:szCs w:val="18"/>
              </w:rPr>
            </w:pPr>
          </w:p>
        </w:tc>
        <w:tc>
          <w:tcPr>
            <w:tcW w:w="1659" w:type="dxa"/>
            <w:tcBorders>
              <w:top w:val="single" w:color="auto" w:sz="6" w:space="0"/>
              <w:left w:val="single" w:color="auto" w:sz="6" w:space="0"/>
              <w:bottom w:val="single" w:color="auto" w:sz="6" w:space="0"/>
              <w:right w:val="single" w:color="auto" w:sz="6" w:space="0"/>
            </w:tcBorders>
            <w:noWrap/>
            <w:vAlign w:val="center"/>
          </w:tcPr>
          <w:p>
            <w:pPr>
              <w:widowControl/>
              <w:jc w:val="left"/>
              <w:textAlignment w:val="center"/>
              <w:rPr>
                <w:rFonts w:hint="eastAsia" w:ascii="宋体" w:hAnsi="宋体" w:cs="宋体"/>
                <w:color w:val="000000"/>
                <w:sz w:val="18"/>
                <w:szCs w:val="18"/>
              </w:rPr>
            </w:pPr>
            <w:r>
              <w:rPr>
                <w:rFonts w:hint="eastAsia" w:ascii="仿宋" w:hAnsi="仿宋" w:eastAsia="仿宋" w:cs="仿宋"/>
                <w:color w:val="000000"/>
                <w:kern w:val="0"/>
                <w:sz w:val="18"/>
                <w:szCs w:val="18"/>
                <w:lang w:bidi="ar"/>
              </w:rPr>
              <w:t>案例总结</w:t>
            </w:r>
          </w:p>
        </w:tc>
        <w:tc>
          <w:tcPr>
            <w:tcW w:w="1135" w:type="dxa"/>
            <w:tcBorders>
              <w:top w:val="single" w:color="auto" w:sz="6" w:space="0"/>
              <w:left w:val="single" w:color="auto" w:sz="6" w:space="0"/>
              <w:bottom w:val="single" w:color="auto" w:sz="6" w:space="0"/>
              <w:right w:val="single" w:color="auto" w:sz="6" w:space="0"/>
            </w:tcBorders>
            <w:noWrap/>
            <w:vAlign w:val="center"/>
          </w:tcPr>
          <w:p>
            <w:pPr>
              <w:tabs>
                <w:tab w:val="left" w:pos="342"/>
              </w:tabs>
              <w:jc w:val="center"/>
              <w:rPr>
                <w:rFonts w:ascii="宋体" w:hAnsi="宋体" w:cs="宋体"/>
                <w:color w:val="000000"/>
                <w:sz w:val="18"/>
                <w:szCs w:val="18"/>
              </w:rPr>
            </w:pPr>
            <w:r>
              <w:rPr>
                <w:rFonts w:hint="eastAsia" w:ascii="仿宋" w:hAnsi="仿宋" w:eastAsia="仿宋" w:cs="仿宋"/>
                <w:color w:val="000000"/>
                <w:kern w:val="0"/>
                <w:sz w:val="18"/>
                <w:szCs w:val="18"/>
                <w:lang w:bidi="ar"/>
              </w:rPr>
              <w:t>元/份</w:t>
            </w:r>
          </w:p>
        </w:tc>
        <w:tc>
          <w:tcPr>
            <w:tcW w:w="796"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1250</w:t>
            </w:r>
          </w:p>
        </w:tc>
        <w:tc>
          <w:tcPr>
            <w:tcW w:w="1683" w:type="dxa"/>
            <w:tcBorders>
              <w:top w:val="single" w:color="auto" w:sz="6" w:space="0"/>
              <w:left w:val="single" w:color="auto" w:sz="6" w:space="0"/>
              <w:bottom w:val="single" w:color="auto" w:sz="6" w:space="0"/>
              <w:right w:val="single" w:color="auto" w:sz="6" w:space="0"/>
            </w:tcBorders>
            <w:noWrap/>
            <w:vAlign w:val="center"/>
          </w:tcPr>
          <w:p>
            <w:pPr>
              <w:widowControl/>
              <w:jc w:val="left"/>
              <w:textAlignment w:val="center"/>
              <w:rPr>
                <w:rFonts w:hint="eastAsia" w:ascii="宋体" w:hAnsi="宋体" w:cs="宋体"/>
                <w:color w:val="000000"/>
                <w:sz w:val="18"/>
                <w:szCs w:val="18"/>
              </w:rPr>
            </w:pPr>
            <w:r>
              <w:rPr>
                <w:rFonts w:hint="eastAsia" w:ascii="仿宋" w:hAnsi="仿宋" w:eastAsia="仿宋" w:cs="仿宋"/>
                <w:color w:val="000000"/>
                <w:kern w:val="0"/>
                <w:sz w:val="18"/>
                <w:szCs w:val="18"/>
                <w:lang w:bidi="ar"/>
              </w:rPr>
              <w:t>案例总结</w:t>
            </w:r>
          </w:p>
        </w:tc>
        <w:tc>
          <w:tcPr>
            <w:tcW w:w="989" w:type="dxa"/>
            <w:tcBorders>
              <w:top w:val="single" w:color="auto" w:sz="6" w:space="0"/>
              <w:left w:val="single" w:color="auto" w:sz="6" w:space="0"/>
              <w:bottom w:val="single" w:color="auto" w:sz="6" w:space="0"/>
              <w:right w:val="single" w:color="auto" w:sz="6" w:space="0"/>
            </w:tcBorders>
            <w:noWrap/>
            <w:vAlign w:val="center"/>
          </w:tcPr>
          <w:p>
            <w:pPr>
              <w:tabs>
                <w:tab w:val="left" w:pos="342"/>
              </w:tabs>
              <w:jc w:val="center"/>
              <w:rPr>
                <w:rFonts w:hint="eastAsia" w:ascii="宋体" w:hAnsi="宋体" w:cs="宋体"/>
                <w:color w:val="000000"/>
                <w:sz w:val="18"/>
                <w:szCs w:val="18"/>
              </w:rPr>
            </w:pPr>
            <w:r>
              <w:rPr>
                <w:rFonts w:hint="eastAsia" w:ascii="仿宋" w:hAnsi="仿宋" w:eastAsia="仿宋" w:cs="仿宋"/>
                <w:color w:val="000000"/>
                <w:kern w:val="0"/>
                <w:sz w:val="18"/>
                <w:szCs w:val="18"/>
                <w:lang w:bidi="ar"/>
              </w:rPr>
              <w:t>元/份</w:t>
            </w:r>
          </w:p>
        </w:tc>
        <w:tc>
          <w:tcPr>
            <w:tcW w:w="1208"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800</w:t>
            </w:r>
          </w:p>
        </w:tc>
        <w:tc>
          <w:tcPr>
            <w:tcW w:w="674"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668" w:hRule="atLeast"/>
        </w:trPr>
        <w:tc>
          <w:tcPr>
            <w:tcW w:w="538" w:type="dxa"/>
            <w:tcBorders>
              <w:top w:val="single" w:color="auto" w:sz="6" w:space="0"/>
              <w:left w:val="single" w:color="auto" w:sz="6" w:space="0"/>
              <w:bottom w:val="single" w:color="auto" w:sz="6" w:space="0"/>
              <w:right w:val="single" w:color="auto" w:sz="6"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4</w:t>
            </w:r>
          </w:p>
        </w:tc>
        <w:tc>
          <w:tcPr>
            <w:tcW w:w="976" w:type="dxa"/>
            <w:vMerge w:val="continue"/>
            <w:tcBorders>
              <w:left w:val="single" w:color="auto" w:sz="6" w:space="0"/>
              <w:right w:val="single" w:color="auto" w:sz="6" w:space="0"/>
            </w:tcBorders>
            <w:noWrap/>
            <w:vAlign w:val="center"/>
          </w:tcPr>
          <w:p>
            <w:pPr>
              <w:widowControl/>
              <w:jc w:val="center"/>
              <w:textAlignment w:val="center"/>
              <w:rPr>
                <w:rFonts w:ascii="宋体" w:hAnsi="宋体" w:cs="宋体"/>
                <w:color w:val="000000"/>
                <w:sz w:val="18"/>
                <w:szCs w:val="18"/>
              </w:rPr>
            </w:pPr>
          </w:p>
        </w:tc>
        <w:tc>
          <w:tcPr>
            <w:tcW w:w="1163" w:type="dxa"/>
            <w:vMerge w:val="continue"/>
            <w:tcBorders>
              <w:left w:val="single" w:color="auto" w:sz="6" w:space="0"/>
              <w:right w:val="single" w:color="auto" w:sz="6" w:space="0"/>
            </w:tcBorders>
            <w:noWrap/>
            <w:vAlign w:val="center"/>
          </w:tcPr>
          <w:p>
            <w:pPr>
              <w:widowControl/>
              <w:jc w:val="center"/>
              <w:textAlignment w:val="center"/>
              <w:rPr>
                <w:rFonts w:ascii="宋体" w:hAnsi="宋体" w:cs="宋体"/>
                <w:color w:val="000000"/>
                <w:sz w:val="18"/>
                <w:szCs w:val="18"/>
              </w:rPr>
            </w:pPr>
          </w:p>
        </w:tc>
        <w:tc>
          <w:tcPr>
            <w:tcW w:w="1251" w:type="dxa"/>
            <w:vMerge w:val="continue"/>
            <w:tcBorders>
              <w:left w:val="single" w:color="auto" w:sz="6" w:space="0"/>
              <w:right w:val="single" w:color="auto" w:sz="6" w:space="0"/>
            </w:tcBorders>
            <w:noWrap w:val="0"/>
            <w:vAlign w:val="center"/>
          </w:tcPr>
          <w:p>
            <w:pPr>
              <w:widowControl/>
              <w:jc w:val="center"/>
              <w:textAlignment w:val="center"/>
              <w:rPr>
                <w:rFonts w:ascii="宋体" w:hAnsi="宋体" w:cs="宋体"/>
                <w:color w:val="000000"/>
                <w:sz w:val="18"/>
                <w:szCs w:val="18"/>
              </w:rPr>
            </w:pPr>
          </w:p>
        </w:tc>
        <w:tc>
          <w:tcPr>
            <w:tcW w:w="1150" w:type="dxa"/>
            <w:vMerge w:val="continue"/>
            <w:tcBorders>
              <w:left w:val="single" w:color="auto" w:sz="6" w:space="0"/>
              <w:right w:val="single" w:color="auto" w:sz="6" w:space="0"/>
            </w:tcBorders>
            <w:noWrap/>
            <w:vAlign w:val="center"/>
          </w:tcPr>
          <w:p>
            <w:pPr>
              <w:widowControl/>
              <w:jc w:val="center"/>
              <w:textAlignment w:val="center"/>
              <w:rPr>
                <w:rFonts w:ascii="宋体" w:hAnsi="宋体" w:cs="宋体"/>
                <w:color w:val="000000"/>
                <w:sz w:val="18"/>
                <w:szCs w:val="18"/>
              </w:rPr>
            </w:pPr>
          </w:p>
        </w:tc>
        <w:tc>
          <w:tcPr>
            <w:tcW w:w="880" w:type="dxa"/>
            <w:vMerge w:val="continue"/>
            <w:tcBorders>
              <w:left w:val="single" w:color="auto" w:sz="6" w:space="0"/>
              <w:right w:val="single" w:color="auto" w:sz="6" w:space="0"/>
            </w:tcBorders>
            <w:noWrap/>
            <w:vAlign w:val="center"/>
          </w:tcPr>
          <w:p>
            <w:pPr>
              <w:widowControl/>
              <w:jc w:val="center"/>
              <w:textAlignment w:val="center"/>
              <w:rPr>
                <w:rFonts w:ascii="宋体" w:hAnsi="宋体" w:cs="宋体"/>
                <w:color w:val="000000"/>
                <w:sz w:val="18"/>
                <w:szCs w:val="18"/>
              </w:rPr>
            </w:pPr>
          </w:p>
        </w:tc>
        <w:tc>
          <w:tcPr>
            <w:tcW w:w="1659" w:type="dxa"/>
            <w:tcBorders>
              <w:top w:val="single" w:color="auto" w:sz="6" w:space="0"/>
              <w:left w:val="single" w:color="auto" w:sz="6" w:space="0"/>
              <w:bottom w:val="single" w:color="auto" w:sz="6" w:space="0"/>
              <w:right w:val="single" w:color="auto" w:sz="6" w:space="0"/>
            </w:tcBorders>
            <w:noWrap/>
            <w:vAlign w:val="center"/>
          </w:tcPr>
          <w:p>
            <w:pPr>
              <w:widowControl/>
              <w:jc w:val="left"/>
              <w:textAlignment w:val="center"/>
              <w:rPr>
                <w:rFonts w:hint="eastAsia" w:ascii="宋体" w:hAnsi="宋体" w:cs="宋体"/>
                <w:color w:val="000000"/>
                <w:sz w:val="18"/>
                <w:szCs w:val="18"/>
              </w:rPr>
            </w:pPr>
            <w:r>
              <w:rPr>
                <w:rFonts w:hint="eastAsia" w:ascii="仿宋" w:hAnsi="仿宋" w:eastAsia="仿宋" w:cs="仿宋"/>
                <w:color w:val="000000"/>
                <w:kern w:val="0"/>
                <w:sz w:val="18"/>
                <w:szCs w:val="18"/>
                <w:lang w:bidi="ar"/>
              </w:rPr>
              <w:t>社工开展小组活动、社区活动</w:t>
            </w:r>
          </w:p>
        </w:tc>
        <w:tc>
          <w:tcPr>
            <w:tcW w:w="1135" w:type="dxa"/>
            <w:tcBorders>
              <w:top w:val="single" w:color="auto" w:sz="6" w:space="0"/>
              <w:left w:val="single" w:color="auto" w:sz="6" w:space="0"/>
              <w:bottom w:val="single" w:color="auto" w:sz="6" w:space="0"/>
              <w:right w:val="single" w:color="auto" w:sz="6" w:space="0"/>
            </w:tcBorders>
            <w:noWrap/>
            <w:vAlign w:val="center"/>
          </w:tcPr>
          <w:p>
            <w:pPr>
              <w:tabs>
                <w:tab w:val="left" w:pos="342"/>
              </w:tabs>
              <w:jc w:val="center"/>
              <w:rPr>
                <w:rFonts w:hint="eastAsia" w:ascii="宋体" w:hAnsi="宋体" w:cs="宋体"/>
                <w:color w:val="000000"/>
                <w:sz w:val="18"/>
                <w:szCs w:val="18"/>
              </w:rPr>
            </w:pPr>
            <w:r>
              <w:rPr>
                <w:rFonts w:hint="eastAsia" w:ascii="仿宋" w:hAnsi="仿宋" w:eastAsia="仿宋" w:cs="仿宋"/>
                <w:color w:val="000000"/>
                <w:kern w:val="0"/>
                <w:sz w:val="18"/>
                <w:szCs w:val="18"/>
                <w:lang w:bidi="ar"/>
              </w:rPr>
              <w:t>元/次</w:t>
            </w:r>
          </w:p>
        </w:tc>
        <w:tc>
          <w:tcPr>
            <w:tcW w:w="796"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1600</w:t>
            </w:r>
          </w:p>
        </w:tc>
        <w:tc>
          <w:tcPr>
            <w:tcW w:w="1683" w:type="dxa"/>
            <w:tcBorders>
              <w:top w:val="single" w:color="auto" w:sz="6" w:space="0"/>
              <w:left w:val="single" w:color="auto" w:sz="6" w:space="0"/>
              <w:bottom w:val="single" w:color="auto" w:sz="6" w:space="0"/>
              <w:right w:val="single" w:color="auto" w:sz="6" w:space="0"/>
            </w:tcBorders>
            <w:noWrap/>
            <w:vAlign w:val="center"/>
          </w:tcPr>
          <w:p>
            <w:pPr>
              <w:widowControl/>
              <w:jc w:val="left"/>
              <w:textAlignment w:val="center"/>
              <w:rPr>
                <w:rFonts w:hint="eastAsia" w:ascii="宋体" w:hAnsi="宋体" w:cs="宋体"/>
                <w:color w:val="000000"/>
                <w:sz w:val="18"/>
                <w:szCs w:val="18"/>
              </w:rPr>
            </w:pPr>
            <w:r>
              <w:rPr>
                <w:rFonts w:hint="eastAsia" w:ascii="仿宋" w:hAnsi="仿宋" w:eastAsia="仿宋" w:cs="仿宋"/>
                <w:color w:val="000000"/>
                <w:kern w:val="0"/>
                <w:sz w:val="18"/>
                <w:szCs w:val="18"/>
                <w:lang w:bidi="ar"/>
              </w:rPr>
              <w:t>社工开展小组活动、社区活动</w:t>
            </w:r>
          </w:p>
        </w:tc>
        <w:tc>
          <w:tcPr>
            <w:tcW w:w="989" w:type="dxa"/>
            <w:tcBorders>
              <w:top w:val="single" w:color="auto" w:sz="6" w:space="0"/>
              <w:left w:val="single" w:color="auto" w:sz="6" w:space="0"/>
              <w:bottom w:val="single" w:color="auto" w:sz="6" w:space="0"/>
              <w:right w:val="single" w:color="auto" w:sz="6" w:space="0"/>
            </w:tcBorders>
            <w:noWrap/>
            <w:vAlign w:val="center"/>
          </w:tcPr>
          <w:p>
            <w:pPr>
              <w:tabs>
                <w:tab w:val="left" w:pos="342"/>
              </w:tabs>
              <w:jc w:val="center"/>
              <w:rPr>
                <w:rFonts w:ascii="宋体" w:hAnsi="宋体" w:cs="宋体"/>
                <w:color w:val="000000"/>
                <w:sz w:val="18"/>
                <w:szCs w:val="18"/>
              </w:rPr>
            </w:pPr>
            <w:r>
              <w:rPr>
                <w:rFonts w:hint="eastAsia" w:ascii="仿宋" w:hAnsi="仿宋" w:eastAsia="仿宋" w:cs="仿宋"/>
                <w:color w:val="000000"/>
                <w:kern w:val="0"/>
                <w:sz w:val="18"/>
                <w:szCs w:val="18"/>
                <w:lang w:bidi="ar"/>
              </w:rPr>
              <w:t>元/次</w:t>
            </w:r>
          </w:p>
        </w:tc>
        <w:tc>
          <w:tcPr>
            <w:tcW w:w="1208"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800</w:t>
            </w:r>
          </w:p>
        </w:tc>
        <w:tc>
          <w:tcPr>
            <w:tcW w:w="67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668" w:hRule="atLeast"/>
        </w:trPr>
        <w:tc>
          <w:tcPr>
            <w:tcW w:w="538" w:type="dxa"/>
            <w:tcBorders>
              <w:top w:val="single" w:color="auto" w:sz="6" w:space="0"/>
              <w:left w:val="single" w:color="auto" w:sz="6" w:space="0"/>
              <w:bottom w:val="single" w:color="auto" w:sz="6" w:space="0"/>
              <w:right w:val="single" w:color="auto" w:sz="6"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w:t>
            </w:r>
          </w:p>
        </w:tc>
        <w:tc>
          <w:tcPr>
            <w:tcW w:w="976" w:type="dxa"/>
            <w:vMerge w:val="continue"/>
            <w:tcBorders>
              <w:left w:val="single" w:color="auto" w:sz="6" w:space="0"/>
              <w:bottom w:val="single" w:color="auto" w:sz="6" w:space="0"/>
              <w:right w:val="single" w:color="auto" w:sz="6" w:space="0"/>
            </w:tcBorders>
            <w:noWrap/>
            <w:vAlign w:val="center"/>
          </w:tcPr>
          <w:p>
            <w:pPr>
              <w:widowControl/>
              <w:jc w:val="center"/>
              <w:textAlignment w:val="center"/>
              <w:rPr>
                <w:rFonts w:ascii="宋体" w:hAnsi="宋体" w:cs="宋体"/>
                <w:color w:val="000000"/>
                <w:sz w:val="18"/>
                <w:szCs w:val="18"/>
              </w:rPr>
            </w:pPr>
          </w:p>
        </w:tc>
        <w:tc>
          <w:tcPr>
            <w:tcW w:w="1163" w:type="dxa"/>
            <w:vMerge w:val="continue"/>
            <w:tcBorders>
              <w:left w:val="single" w:color="auto" w:sz="6" w:space="0"/>
              <w:bottom w:val="single" w:color="auto" w:sz="6" w:space="0"/>
              <w:right w:val="single" w:color="auto" w:sz="6" w:space="0"/>
            </w:tcBorders>
            <w:noWrap/>
            <w:vAlign w:val="center"/>
          </w:tcPr>
          <w:p>
            <w:pPr>
              <w:widowControl/>
              <w:jc w:val="center"/>
              <w:textAlignment w:val="center"/>
              <w:rPr>
                <w:rFonts w:ascii="宋体" w:hAnsi="宋体" w:cs="宋体"/>
                <w:color w:val="000000"/>
                <w:sz w:val="18"/>
                <w:szCs w:val="18"/>
              </w:rPr>
            </w:pPr>
          </w:p>
        </w:tc>
        <w:tc>
          <w:tcPr>
            <w:tcW w:w="1251" w:type="dxa"/>
            <w:vMerge w:val="continue"/>
            <w:tcBorders>
              <w:left w:val="single" w:color="auto" w:sz="6" w:space="0"/>
              <w:bottom w:val="single" w:color="auto" w:sz="6" w:space="0"/>
              <w:right w:val="single" w:color="auto" w:sz="6" w:space="0"/>
            </w:tcBorders>
            <w:noWrap w:val="0"/>
            <w:vAlign w:val="center"/>
          </w:tcPr>
          <w:p>
            <w:pPr>
              <w:widowControl/>
              <w:jc w:val="center"/>
              <w:textAlignment w:val="center"/>
              <w:rPr>
                <w:rFonts w:ascii="宋体" w:hAnsi="宋体" w:cs="宋体"/>
                <w:color w:val="000000"/>
                <w:sz w:val="18"/>
                <w:szCs w:val="18"/>
              </w:rPr>
            </w:pPr>
          </w:p>
        </w:tc>
        <w:tc>
          <w:tcPr>
            <w:tcW w:w="1150" w:type="dxa"/>
            <w:vMerge w:val="continue"/>
            <w:tcBorders>
              <w:left w:val="single" w:color="auto" w:sz="6" w:space="0"/>
              <w:bottom w:val="single" w:color="auto" w:sz="6" w:space="0"/>
              <w:right w:val="single" w:color="auto" w:sz="6" w:space="0"/>
            </w:tcBorders>
            <w:noWrap/>
            <w:vAlign w:val="center"/>
          </w:tcPr>
          <w:p>
            <w:pPr>
              <w:widowControl/>
              <w:jc w:val="center"/>
              <w:textAlignment w:val="center"/>
              <w:rPr>
                <w:rFonts w:ascii="宋体" w:hAnsi="宋体" w:cs="宋体"/>
                <w:color w:val="000000"/>
                <w:sz w:val="18"/>
                <w:szCs w:val="18"/>
              </w:rPr>
            </w:pPr>
          </w:p>
        </w:tc>
        <w:tc>
          <w:tcPr>
            <w:tcW w:w="880" w:type="dxa"/>
            <w:vMerge w:val="continue"/>
            <w:tcBorders>
              <w:left w:val="single" w:color="auto" w:sz="6" w:space="0"/>
              <w:bottom w:val="single" w:color="auto" w:sz="6" w:space="0"/>
              <w:right w:val="single" w:color="auto" w:sz="6" w:space="0"/>
            </w:tcBorders>
            <w:noWrap/>
            <w:vAlign w:val="center"/>
          </w:tcPr>
          <w:p>
            <w:pPr>
              <w:widowControl/>
              <w:jc w:val="center"/>
              <w:textAlignment w:val="center"/>
              <w:rPr>
                <w:rFonts w:ascii="宋体" w:hAnsi="宋体" w:cs="宋体"/>
                <w:color w:val="000000"/>
                <w:sz w:val="18"/>
                <w:szCs w:val="18"/>
              </w:rPr>
            </w:pPr>
          </w:p>
        </w:tc>
        <w:tc>
          <w:tcPr>
            <w:tcW w:w="1659" w:type="dxa"/>
            <w:tcBorders>
              <w:top w:val="single" w:color="auto" w:sz="6" w:space="0"/>
              <w:left w:val="single" w:color="auto" w:sz="6" w:space="0"/>
              <w:bottom w:val="single" w:color="auto" w:sz="6" w:space="0"/>
              <w:right w:val="single" w:color="auto" w:sz="6" w:space="0"/>
            </w:tcBorders>
            <w:noWrap/>
            <w:vAlign w:val="center"/>
          </w:tcPr>
          <w:p>
            <w:pPr>
              <w:widowControl/>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18"/>
                <w:szCs w:val="18"/>
                <w:lang w:bidi="ar"/>
              </w:rPr>
              <w:t>新增低保低收入家庭入户审核</w:t>
            </w:r>
          </w:p>
        </w:tc>
        <w:tc>
          <w:tcPr>
            <w:tcW w:w="1135" w:type="dxa"/>
            <w:tcBorders>
              <w:top w:val="single" w:color="auto" w:sz="6" w:space="0"/>
              <w:left w:val="single" w:color="auto" w:sz="6" w:space="0"/>
              <w:bottom w:val="single" w:color="auto" w:sz="6" w:space="0"/>
              <w:right w:val="single" w:color="auto" w:sz="6" w:space="0"/>
            </w:tcBorders>
            <w:noWrap/>
            <w:vAlign w:val="center"/>
          </w:tcPr>
          <w:p>
            <w:pPr>
              <w:tabs>
                <w:tab w:val="left" w:pos="342"/>
              </w:tabs>
              <w:jc w:val="center"/>
              <w:rPr>
                <w:rFonts w:hint="eastAsia" w:ascii="宋体" w:hAnsi="宋体" w:cs="宋体"/>
                <w:color w:val="000000"/>
                <w:sz w:val="18"/>
                <w:szCs w:val="18"/>
              </w:rPr>
            </w:pPr>
            <w:r>
              <w:rPr>
                <w:rFonts w:hint="eastAsia" w:ascii="仿宋" w:hAnsi="仿宋" w:eastAsia="仿宋" w:cs="仿宋"/>
                <w:color w:val="000000"/>
                <w:kern w:val="0"/>
                <w:sz w:val="18"/>
                <w:szCs w:val="18"/>
                <w:lang w:bidi="ar"/>
              </w:rPr>
              <w:t>元/人户</w:t>
            </w:r>
          </w:p>
        </w:tc>
        <w:tc>
          <w:tcPr>
            <w:tcW w:w="796"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550</w:t>
            </w:r>
          </w:p>
        </w:tc>
        <w:tc>
          <w:tcPr>
            <w:tcW w:w="1683" w:type="dxa"/>
            <w:tcBorders>
              <w:top w:val="single" w:color="auto" w:sz="6" w:space="0"/>
              <w:left w:val="single" w:color="auto" w:sz="6" w:space="0"/>
              <w:bottom w:val="single" w:color="auto" w:sz="6" w:space="0"/>
              <w:right w:val="single" w:color="auto" w:sz="6" w:space="0"/>
            </w:tcBorders>
            <w:noWrap/>
            <w:vAlign w:val="center"/>
          </w:tcPr>
          <w:p>
            <w:pPr>
              <w:widowControl/>
              <w:tabs>
                <w:tab w:val="left" w:pos="589"/>
              </w:tabs>
              <w:jc w:val="left"/>
              <w:textAlignment w:val="center"/>
              <w:rPr>
                <w:rFonts w:hint="eastAsia" w:ascii="宋体" w:hAnsi="宋体" w:cs="宋体"/>
                <w:color w:val="000000"/>
                <w:sz w:val="18"/>
                <w:szCs w:val="18"/>
              </w:rPr>
            </w:pPr>
            <w:r>
              <w:rPr>
                <w:rFonts w:hint="eastAsia" w:ascii="仿宋" w:hAnsi="仿宋" w:eastAsia="仿宋" w:cs="仿宋"/>
                <w:color w:val="000000"/>
                <w:kern w:val="0"/>
                <w:sz w:val="18"/>
                <w:szCs w:val="18"/>
                <w:lang w:bidi="ar"/>
              </w:rPr>
              <w:t>新增低保低收入家庭入户审核</w:t>
            </w:r>
          </w:p>
        </w:tc>
        <w:tc>
          <w:tcPr>
            <w:tcW w:w="989" w:type="dxa"/>
            <w:tcBorders>
              <w:top w:val="single" w:color="auto" w:sz="6" w:space="0"/>
              <w:left w:val="single" w:color="auto" w:sz="6" w:space="0"/>
              <w:bottom w:val="single" w:color="auto" w:sz="6" w:space="0"/>
              <w:right w:val="single" w:color="auto" w:sz="6" w:space="0"/>
            </w:tcBorders>
            <w:noWrap/>
            <w:vAlign w:val="center"/>
          </w:tcPr>
          <w:p>
            <w:pPr>
              <w:tabs>
                <w:tab w:val="left" w:pos="342"/>
              </w:tabs>
              <w:jc w:val="center"/>
              <w:rPr>
                <w:rFonts w:hint="eastAsia" w:ascii="宋体" w:hAnsi="宋体" w:cs="宋体"/>
                <w:color w:val="000000"/>
                <w:sz w:val="18"/>
                <w:szCs w:val="18"/>
              </w:rPr>
            </w:pPr>
            <w:r>
              <w:rPr>
                <w:rFonts w:hint="eastAsia" w:ascii="仿宋" w:hAnsi="仿宋" w:eastAsia="仿宋" w:cs="仿宋"/>
                <w:color w:val="000000"/>
                <w:kern w:val="0"/>
                <w:sz w:val="18"/>
                <w:szCs w:val="18"/>
                <w:lang w:bidi="ar"/>
              </w:rPr>
              <w:t>元/次</w:t>
            </w:r>
          </w:p>
        </w:tc>
        <w:tc>
          <w:tcPr>
            <w:tcW w:w="1208"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cs="宋体"/>
                <w:color w:val="000000"/>
                <w:sz w:val="18"/>
                <w:szCs w:val="18"/>
              </w:rPr>
            </w:pPr>
            <w:r>
              <w:rPr>
                <w:rFonts w:hint="eastAsia" w:ascii="宋体" w:hAnsi="宋体" w:cs="宋体"/>
                <w:color w:val="000000"/>
                <w:sz w:val="18"/>
                <w:szCs w:val="18"/>
              </w:rPr>
              <w:t>400</w:t>
            </w:r>
          </w:p>
        </w:tc>
        <w:tc>
          <w:tcPr>
            <w:tcW w:w="67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color w:val="000000"/>
                <w:sz w:val="18"/>
                <w:szCs w:val="18"/>
              </w:rPr>
            </w:pPr>
          </w:p>
        </w:tc>
      </w:tr>
    </w:tbl>
    <w:p>
      <w:pPr>
        <w:pStyle w:val="2"/>
        <w:ind w:firstLine="0" w:firstLineChars="0"/>
        <w:rPr>
          <w:rFonts w:hint="eastAsia" w:ascii="宋体" w:hAnsi="宋体" w:cs="宋体"/>
          <w:sz w:val="20"/>
          <w:szCs w:val="20"/>
        </w:rPr>
      </w:pPr>
      <w:r>
        <w:rPr>
          <w:rFonts w:hint="eastAsia" w:ascii="宋体" w:hAnsi="宋体" w:cs="宋体"/>
          <w:bCs/>
          <w:sz w:val="20"/>
          <w:szCs w:val="20"/>
        </w:rPr>
        <w:t>备注： 1.“原支出标准”如没有的，请在“分档”一栏中填报“无”。2.如有全市基础标准的，请在备注中注明全市标准具体内容和标准值，并将相应的标准文件一并提交。</w:t>
      </w:r>
    </w:p>
    <w:p>
      <w:pPr>
        <w:pStyle w:val="2"/>
        <w:ind w:firstLine="420"/>
        <w:rPr>
          <w:rFonts w:hint="eastAsia"/>
        </w:rPr>
      </w:pPr>
    </w:p>
    <w:p>
      <w:pPr>
        <w:rPr>
          <w:rFonts w:hint="eastAsia"/>
        </w:rPr>
      </w:pPr>
    </w:p>
    <w:sectPr>
      <w:footerReference r:id="rId11"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fldChar w:fldCharType="begin"/>
                          </w:r>
                          <w:r>
                            <w:instrText xml:space="preserve"> PAGE   \* MERGEFORMAT </w:instrText>
                          </w:r>
                          <w:r>
                            <w:fldChar w:fldCharType="separate"/>
                          </w:r>
                          <w:r>
                            <w:rPr>
                              <w:lang w:val="zh-CN"/>
                            </w:rP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mc:Fallback>
      </mc:AlternateConten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JmTq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V9Yo14NwtUlIonDLFQ6w&#10;x8I4s6LuuF95KV7fS9bLX7D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4mZOrgEAAE0D&#10;AAAOAAAAAAAAAAEAIAAAAB4BAABkcnMvZTJvRG9jLnhtbFBLBQYAAAAABgAGAFkBAAA+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J9AWOetAQAATQMA&#10;AA4AAAAAAAAAAQAgAAAAHgEAAGRycy9lMm9Eb2MueG1sUEsFBgAAAAAGAAYAWQEAAD0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29</w:t>
                    </w:r>
                    <w:r>
                      <w:fldChar w:fldCharType="end"/>
                    </w:r>
                  </w:p>
                </w:txbxContent>
              </v:textbox>
            </v:shape>
          </w:pict>
        </mc:Fallback>
      </mc:AlternateContent>
    </w:r>
  </w:p>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OdNq4BAABNAwAADgAAAGRycy9lMm9Eb2MueG1srVNNrhMxDN4jcYco&#10;e5p5R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3I502rgEAAE0D&#10;AAAOAAAAAAAAAAEAIAAAAB4BAABkcnMvZTJvRG9jLnhtbFBLBQYAAAAABgAGAFkBAAA+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30</w:t>
                    </w:r>
                    <w:r>
                      <w:fldChar w:fldCharType="end"/>
                    </w:r>
                  </w:p>
                </w:txbxContent>
              </v:textbox>
            </v:shape>
          </w:pict>
        </mc:Fallback>
      </mc:AlternateContent>
    </w:r>
  </w:p>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812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wps:spPr>
                    <wps:txbx>
                      <w:txbxContent>
                        <w:p>
                          <w:pPr>
                            <w:pStyle w:val="6"/>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59264;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LaZmfR&#10;AAAAAwEAAA8AAAAAAAAAAQAgAAAAIgAAAGRycy9kb3ducmV2LnhtbFBLAQIUABQAAAAIAIdO4kBu&#10;gF0H7gEAALQDAAAOAAAAAAAAAAEAIAAAACABAABkcnMvZTJvRG9jLnhtbFBLBQYAAAAABgAGAFkB&#10;AACA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E7299"/>
    <w:multiLevelType w:val="multilevel"/>
    <w:tmpl w:val="383E7299"/>
    <w:lvl w:ilvl="0" w:tentative="0">
      <w:start w:val="1"/>
      <w:numFmt w:val="japaneseCounting"/>
      <w:lvlText w:val="（%1）"/>
      <w:lvlJc w:val="left"/>
      <w:pPr>
        <w:ind w:left="1581" w:hanging="996"/>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1">
    <w:nsid w:val="3DA24D08"/>
    <w:multiLevelType w:val="singleLevel"/>
    <w:tmpl w:val="3DA24D08"/>
    <w:lvl w:ilvl="0" w:tentative="0">
      <w:start w:val="2"/>
      <w:numFmt w:val="chineseCounting"/>
      <w:suff w:val="nothing"/>
      <w:lvlText w:val="（%1）"/>
      <w:lvlJc w:val="left"/>
      <w:rPr>
        <w:rFonts w:hint="eastAsia"/>
      </w:rPr>
    </w:lvl>
  </w:abstractNum>
  <w:abstractNum w:abstractNumId="2">
    <w:nsid w:val="73C66F57"/>
    <w:multiLevelType w:val="singleLevel"/>
    <w:tmpl w:val="73C66F57"/>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YjVkNTMzNjViNmI3YWEzMGFmYjkzZWUyNmM2YWEifQ=="/>
  </w:docVars>
  <w:rsids>
    <w:rsidRoot w:val="00853949"/>
    <w:rsid w:val="00004C66"/>
    <w:rsid w:val="00011B0E"/>
    <w:rsid w:val="00012654"/>
    <w:rsid w:val="0001410F"/>
    <w:rsid w:val="000A30E2"/>
    <w:rsid w:val="000B0341"/>
    <w:rsid w:val="001030DB"/>
    <w:rsid w:val="001033E2"/>
    <w:rsid w:val="001278B6"/>
    <w:rsid w:val="001606A0"/>
    <w:rsid w:val="001937EF"/>
    <w:rsid w:val="00193F0C"/>
    <w:rsid w:val="001A1334"/>
    <w:rsid w:val="001C7A2C"/>
    <w:rsid w:val="001D6F72"/>
    <w:rsid w:val="001F6037"/>
    <w:rsid w:val="0021293E"/>
    <w:rsid w:val="00257F4A"/>
    <w:rsid w:val="002864C5"/>
    <w:rsid w:val="002A27E4"/>
    <w:rsid w:val="002A34DA"/>
    <w:rsid w:val="002C57D9"/>
    <w:rsid w:val="002E21DD"/>
    <w:rsid w:val="00304BCF"/>
    <w:rsid w:val="003173BD"/>
    <w:rsid w:val="003354C3"/>
    <w:rsid w:val="003377AA"/>
    <w:rsid w:val="003410A6"/>
    <w:rsid w:val="00343C93"/>
    <w:rsid w:val="00347186"/>
    <w:rsid w:val="003511F0"/>
    <w:rsid w:val="00367D6B"/>
    <w:rsid w:val="003873A2"/>
    <w:rsid w:val="003B3973"/>
    <w:rsid w:val="003C262E"/>
    <w:rsid w:val="003D1E14"/>
    <w:rsid w:val="003D2C1A"/>
    <w:rsid w:val="00405C4E"/>
    <w:rsid w:val="0040625B"/>
    <w:rsid w:val="00413F34"/>
    <w:rsid w:val="00473F2C"/>
    <w:rsid w:val="00477862"/>
    <w:rsid w:val="00483B61"/>
    <w:rsid w:val="004A4DF5"/>
    <w:rsid w:val="004B1C58"/>
    <w:rsid w:val="004B3529"/>
    <w:rsid w:val="004C1E7C"/>
    <w:rsid w:val="004C6198"/>
    <w:rsid w:val="004C7082"/>
    <w:rsid w:val="004E3A37"/>
    <w:rsid w:val="00534B13"/>
    <w:rsid w:val="00534E64"/>
    <w:rsid w:val="005476AA"/>
    <w:rsid w:val="00547CB5"/>
    <w:rsid w:val="00563D8E"/>
    <w:rsid w:val="00564B45"/>
    <w:rsid w:val="00571825"/>
    <w:rsid w:val="005A3391"/>
    <w:rsid w:val="005B2B7E"/>
    <w:rsid w:val="005C6075"/>
    <w:rsid w:val="005F0FBD"/>
    <w:rsid w:val="00602424"/>
    <w:rsid w:val="00620690"/>
    <w:rsid w:val="006206E2"/>
    <w:rsid w:val="00625313"/>
    <w:rsid w:val="00627948"/>
    <w:rsid w:val="00637C3D"/>
    <w:rsid w:val="00644870"/>
    <w:rsid w:val="00647CFD"/>
    <w:rsid w:val="0065250C"/>
    <w:rsid w:val="00694FCD"/>
    <w:rsid w:val="006B566A"/>
    <w:rsid w:val="006B5DE6"/>
    <w:rsid w:val="006D7D90"/>
    <w:rsid w:val="006D7EA5"/>
    <w:rsid w:val="0070759F"/>
    <w:rsid w:val="007450C9"/>
    <w:rsid w:val="00751EE0"/>
    <w:rsid w:val="00757486"/>
    <w:rsid w:val="007859B6"/>
    <w:rsid w:val="00813F92"/>
    <w:rsid w:val="00823421"/>
    <w:rsid w:val="00853949"/>
    <w:rsid w:val="0085633F"/>
    <w:rsid w:val="008607BC"/>
    <w:rsid w:val="008A00DE"/>
    <w:rsid w:val="008E26DC"/>
    <w:rsid w:val="008E6DBF"/>
    <w:rsid w:val="008F3EE1"/>
    <w:rsid w:val="008F7A77"/>
    <w:rsid w:val="00900515"/>
    <w:rsid w:val="009234B3"/>
    <w:rsid w:val="00930191"/>
    <w:rsid w:val="009310EF"/>
    <w:rsid w:val="00937F83"/>
    <w:rsid w:val="00997159"/>
    <w:rsid w:val="009A3107"/>
    <w:rsid w:val="009A3552"/>
    <w:rsid w:val="009B1540"/>
    <w:rsid w:val="009B2DEF"/>
    <w:rsid w:val="009B796A"/>
    <w:rsid w:val="009D4132"/>
    <w:rsid w:val="009E07C7"/>
    <w:rsid w:val="009E584E"/>
    <w:rsid w:val="00A51668"/>
    <w:rsid w:val="00A579A7"/>
    <w:rsid w:val="00A703C8"/>
    <w:rsid w:val="00A82420"/>
    <w:rsid w:val="00AB2F1B"/>
    <w:rsid w:val="00AE1972"/>
    <w:rsid w:val="00B178F0"/>
    <w:rsid w:val="00B205FF"/>
    <w:rsid w:val="00B22893"/>
    <w:rsid w:val="00B24248"/>
    <w:rsid w:val="00B55953"/>
    <w:rsid w:val="00B609A6"/>
    <w:rsid w:val="00B63F32"/>
    <w:rsid w:val="00B750FA"/>
    <w:rsid w:val="00B9035A"/>
    <w:rsid w:val="00B90E71"/>
    <w:rsid w:val="00B94F14"/>
    <w:rsid w:val="00BA7EED"/>
    <w:rsid w:val="00BF152B"/>
    <w:rsid w:val="00BF2563"/>
    <w:rsid w:val="00BF35A6"/>
    <w:rsid w:val="00BF3D18"/>
    <w:rsid w:val="00BF4BC1"/>
    <w:rsid w:val="00C07562"/>
    <w:rsid w:val="00C24B08"/>
    <w:rsid w:val="00CB2C09"/>
    <w:rsid w:val="00CC706E"/>
    <w:rsid w:val="00CE4FCC"/>
    <w:rsid w:val="00D011C5"/>
    <w:rsid w:val="00D06225"/>
    <w:rsid w:val="00D2149F"/>
    <w:rsid w:val="00D52E21"/>
    <w:rsid w:val="00D82A2E"/>
    <w:rsid w:val="00D9311D"/>
    <w:rsid w:val="00D95494"/>
    <w:rsid w:val="00DD6C22"/>
    <w:rsid w:val="00DF4525"/>
    <w:rsid w:val="00DF6EA0"/>
    <w:rsid w:val="00E00746"/>
    <w:rsid w:val="00E14E6E"/>
    <w:rsid w:val="00E168CD"/>
    <w:rsid w:val="00E23C2F"/>
    <w:rsid w:val="00E24617"/>
    <w:rsid w:val="00E30862"/>
    <w:rsid w:val="00E30F13"/>
    <w:rsid w:val="00E345BB"/>
    <w:rsid w:val="00E4424F"/>
    <w:rsid w:val="00E52F89"/>
    <w:rsid w:val="00E71333"/>
    <w:rsid w:val="00E923FF"/>
    <w:rsid w:val="00EC4091"/>
    <w:rsid w:val="00EC40B8"/>
    <w:rsid w:val="00ED4C00"/>
    <w:rsid w:val="00EE1C79"/>
    <w:rsid w:val="00EE2360"/>
    <w:rsid w:val="00EF7F13"/>
    <w:rsid w:val="00F03E57"/>
    <w:rsid w:val="00F45D18"/>
    <w:rsid w:val="00F701AB"/>
    <w:rsid w:val="00F80358"/>
    <w:rsid w:val="00F81E61"/>
    <w:rsid w:val="00FA4FEA"/>
    <w:rsid w:val="00FB0421"/>
    <w:rsid w:val="00FB4251"/>
    <w:rsid w:val="00FC5634"/>
    <w:rsid w:val="00FD4C10"/>
    <w:rsid w:val="00FF13DC"/>
    <w:rsid w:val="00FF6D42"/>
    <w:rsid w:val="08647ECB"/>
    <w:rsid w:val="12E34F1A"/>
    <w:rsid w:val="14431276"/>
    <w:rsid w:val="26866DB1"/>
    <w:rsid w:val="2FEA10FB"/>
    <w:rsid w:val="539038E9"/>
    <w:rsid w:val="59CA59DA"/>
    <w:rsid w:val="5ED77E88"/>
    <w:rsid w:val="6A48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widowControl/>
      <w:spacing w:before="240" w:after="60"/>
      <w:jc w:val="left"/>
      <w:outlineLvl w:val="0"/>
    </w:pPr>
    <w:rPr>
      <w:rFonts w:ascii="Calibri Light" w:hAnsi="Calibri Light"/>
      <w:b/>
      <w:bCs/>
      <w:kern w:val="32"/>
      <w:sz w:val="32"/>
      <w:szCs w:val="32"/>
      <w:lang w:eastAsia="en-US" w:bidi="en-US"/>
    </w:rPr>
  </w:style>
  <w:style w:type="character" w:default="1" w:styleId="13">
    <w:name w:val="Default Paragraph Font"/>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4">
    <w:name w:val="Body Text Indent"/>
    <w:basedOn w:val="1"/>
    <w:qFormat/>
    <w:uiPriority w:val="0"/>
    <w:pPr>
      <w:spacing w:after="120"/>
      <w:ind w:left="420" w:leftChars="200"/>
    </w:pPr>
  </w:style>
  <w:style w:type="paragraph" w:styleId="5">
    <w:name w:val="Plain Text"/>
    <w:basedOn w:val="1"/>
    <w:unhideWhenUsed/>
    <w:qFormat/>
    <w:uiPriority w:val="0"/>
    <w:rPr>
      <w:rFonts w:ascii="宋体" w:hAnsi="Courier New" w:cs="Courier New"/>
      <w:szCs w:val="21"/>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2"/>
    <w:basedOn w:val="4"/>
    <w:next w:val="1"/>
    <w:qFormat/>
    <w:uiPriority w:val="0"/>
    <w:pPr>
      <w:ind w:firstLine="420"/>
    </w:pPr>
  </w:style>
  <w:style w:type="character" w:styleId="14">
    <w:name w:val="Strong"/>
    <w:basedOn w:val="13"/>
    <w:qFormat/>
    <w:uiPriority w:val="22"/>
    <w:rPr>
      <w:b/>
      <w:bCs/>
    </w:rPr>
  </w:style>
  <w:style w:type="character" w:customStyle="1" w:styleId="15">
    <w:name w:val="页脚 Char"/>
    <w:basedOn w:val="13"/>
    <w:link w:val="6"/>
    <w:uiPriority w:val="0"/>
    <w:rPr>
      <w:rFonts w:ascii="Calibri" w:hAnsi="Calibri" w:eastAsia="宋体" w:cs="Times New Roman"/>
      <w:sz w:val="18"/>
      <w:szCs w:val="24"/>
    </w:rPr>
  </w:style>
  <w:style w:type="paragraph" w:styleId="16">
    <w:name w:val="List Paragraph"/>
    <w:basedOn w:val="1"/>
    <w:qFormat/>
    <w:uiPriority w:val="34"/>
    <w:pPr>
      <w:ind w:firstLine="420" w:firstLineChars="200"/>
    </w:pPr>
  </w:style>
  <w:style w:type="character" w:customStyle="1" w:styleId="17">
    <w:name w:val="font21"/>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115EA-D92B-4E87-8F1A-B754457A83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5294</Words>
  <Characters>30176</Characters>
  <Lines>251</Lines>
  <Paragraphs>70</Paragraphs>
  <TotalTime>20</TotalTime>
  <ScaleCrop>false</ScaleCrop>
  <LinksUpToDate>false</LinksUpToDate>
  <CharactersWithSpaces>35400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2024-05-21T06:38:00Z</dcterms:created>
  <dc:creator>dell</dc:creator>
  <cp:lastModifiedBy>DELL</cp:lastModifiedBy>
  <dcterms:modified xsi:type="dcterms:W3CDTF">2024-08-22T02:59:28Z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5B3D8087A46541289A0104AAE77BCE0D_12</vt:lpwstr>
  </property>
</Properties>
</file>