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FD58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北京市西城区政务服务管理局2023年政府信息公开工作年度报告</w:t>
      </w:r>
    </w:p>
    <w:p w14:paraId="2DC3D8E8">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14:paraId="331106DA">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31A41B97">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04F06E52">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北京市西城区政务服务管理局以习近平新时代中国特色社会主义思想为指导，全面贯彻党的二十大和中央经济工作会议精神，准确把握习近平总书记对北京一系列重要讲话精神，</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严格对照</w:t>
      </w: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《中华人民共和国政府信息公开条例》和市区两级政务公开工作要点，切实做好政府信息公开工作。</w:t>
      </w:r>
    </w:p>
    <w:p w14:paraId="39B8C0B6">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2023年，</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西城区政务</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服务管理局</w:t>
      </w: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持续强化主动公开。</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在</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区政府门户</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网站公开</w:t>
      </w: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机关职能、机构设置、</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财政预决算等信息</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及时做好局</w:t>
      </w: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重点工作任务相关</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信息</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内容</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更新</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发布</w:t>
      </w:r>
      <w:r>
        <w:rPr>
          <w:rFonts w:hint="eastAsia" w:ascii="仿宋_GB2312" w:hAnsi="宋体" w:eastAsia="仿宋_GB2312" w:cs="宋体"/>
          <w:color w:val="000000" w:themeColor="text1"/>
          <w:spacing w:val="8"/>
          <w:kern w:val="0"/>
          <w:sz w:val="32"/>
          <w:szCs w:val="32"/>
          <w:highlight w:val="none"/>
          <w:lang w:eastAsia="zh-CN"/>
          <w14:textFill>
            <w14:solidFill>
              <w14:schemeClr w14:val="tx1"/>
            </w14:solidFill>
          </w14:textFill>
        </w:rPr>
        <w:t>，</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公开了《</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北京市西城区人民政府办公室关于印发关于印发西城区推广“一业一证” 改革实施方案的通知</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《北京市西城区人民政府办公室关于公布西城区行政许可事项清单（2023年版）的通知》</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等政策文件。</w:t>
      </w:r>
    </w:p>
    <w:p w14:paraId="6148508D">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2023年，</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西城区政务</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服务管理局继续坚持以人民为中心，聚焦企业群众需求，持续提升政府网站综合服务能力，倾力打造开放融合、集约共享、整体联动、高效惠民的服务型网上政府。在区政府网站推出“智能搜索推荐”服务，全面优化“政策文件”栏目，推出“政策+全流程”服务，上线数字人解读新模式，提高政策服务质量和实效。</w:t>
      </w:r>
    </w:p>
    <w:p w14:paraId="0EC0C693">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2023年，</w:t>
      </w:r>
      <w:r>
        <w:rPr>
          <w:rFonts w:hint="eastAsia" w:ascii="仿宋_GB2312" w:hAnsi="宋体" w:eastAsia="仿宋_GB2312" w:cs="宋体"/>
          <w:color w:val="000000" w:themeColor="text1"/>
          <w:spacing w:val="8"/>
          <w:kern w:val="0"/>
          <w:sz w:val="32"/>
          <w:szCs w:val="32"/>
          <w:highlight w:val="none"/>
          <w:lang w:val="en-US" w:eastAsia="zh-Hans"/>
          <w14:textFill>
            <w14:solidFill>
              <w14:schemeClr w14:val="tx1"/>
            </w14:solidFill>
          </w14:textFill>
        </w:rPr>
        <w:t>西城区政务</w:t>
      </w: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服务管理局不断强化牵头意识和沟通协调机制，以全区政府信息与政务公开领导小组成员单位“领头羊”的姿态，定期召开会议，推进落实政务公开重点工作。积极开展政府信息与政务公开工作专题培训，提升政府信息与政务公开工作人员专业素养，提升公开工作的规范性、准确性和及时性。</w:t>
      </w:r>
    </w:p>
    <w:p w14:paraId="77A16386">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2023年，西城区政务服务管理局聚焦政务公开特色亮点，全面提升多渠道信息服务供给能力，积极做强对外宣传工作。聚焦优化营商环境、企业群众关心的热点难点问题，通过“西城e办事”微信公众号发布优质原创内容，进行系列宣传报道，进一步提高利用新媒体渠道开展政务公开工作的实用性。</w:t>
      </w:r>
    </w:p>
    <w:p w14:paraId="56847558">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highlight w:val="none"/>
          <w:lang w:val="en-US" w:eastAsia="zh-CN"/>
          <w14:textFill>
            <w14:solidFill>
              <w14:schemeClr w14:val="tx1"/>
            </w14:solidFill>
          </w14:textFill>
        </w:rPr>
        <w:t>2023年北京市西城区政务服务管理局共受理依申请件0件，无因信息公开答复引发的政府信息公开行政复议、行政诉讼。</w:t>
      </w:r>
    </w:p>
    <w:p w14:paraId="53A72E7C">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14:paraId="29BD72EC">
      <w:pPr>
        <w:pStyle w:val="2"/>
        <w:widowControl/>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5CBAAB3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0CBF22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60B9652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71D7EF7">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4C99EF2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DCD108B">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830A39C">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现行有效件数</w:t>
            </w:r>
          </w:p>
        </w:tc>
      </w:tr>
      <w:tr w14:paraId="68D0190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5E7504F">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05FB0E3">
            <w:pPr>
              <w:keepNext w:val="0"/>
              <w:keepLines w:val="0"/>
              <w:widowControl/>
              <w:suppressLineNumbers w:val="0"/>
              <w:spacing w:before="0" w:beforeAutospacing="0" w:after="0" w:afterAutospacing="0"/>
              <w:ind w:left="0" w:right="0"/>
              <w:jc w:val="left"/>
              <w:rPr>
                <w:rFonts w:hint="eastAsia" w:cs="Times New Roman"/>
                <w:lang w:val="en-US" w:eastAsia="zh-CN"/>
              </w:rPr>
            </w:pPr>
            <w:r>
              <w:rPr>
                <w:rFonts w:hint="eastAsia"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2F264E3">
            <w:pPr>
              <w:keepNext w:val="0"/>
              <w:keepLines w:val="0"/>
              <w:widowControl/>
              <w:suppressLineNumbers w:val="0"/>
              <w:spacing w:before="0" w:beforeAutospacing="0" w:after="0" w:afterAutospacing="0"/>
              <w:ind w:left="0" w:right="0"/>
              <w:jc w:val="left"/>
              <w:rPr>
                <w:rFonts w:hint="eastAsia" w:cs="Times New Roman"/>
                <w:lang w:val="en-US" w:eastAsia="zh-CN"/>
              </w:rPr>
            </w:pPr>
            <w:r>
              <w:rPr>
                <w:rFonts w:hint="eastAsia"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9DCCED0">
            <w:pPr>
              <w:keepNext w:val="0"/>
              <w:keepLines w:val="0"/>
              <w:widowControl/>
              <w:suppressLineNumbers w:val="0"/>
              <w:spacing w:before="0" w:beforeAutospacing="0" w:after="0" w:afterAutospacing="0"/>
              <w:ind w:left="0" w:right="0"/>
              <w:jc w:val="left"/>
              <w:rPr>
                <w:rFonts w:hint="default" w:cs="Times New Roman"/>
                <w:lang w:val="en-US" w:eastAsia="zh-CN"/>
              </w:rPr>
            </w:pPr>
            <w:r>
              <w:rPr>
                <w:rFonts w:hint="eastAsia" w:cs="Times New Roman"/>
                <w:lang w:val="en-US" w:eastAsia="zh-CN"/>
              </w:rPr>
              <w:t>0</w:t>
            </w:r>
          </w:p>
        </w:tc>
      </w:tr>
      <w:tr w14:paraId="7FB0B4F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35FBB75">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DBC1366">
            <w:pPr>
              <w:keepNext w:val="0"/>
              <w:keepLines w:val="0"/>
              <w:widowControl/>
              <w:suppressLineNumbers w:val="0"/>
              <w:spacing w:before="0" w:beforeAutospacing="0" w:after="0" w:afterAutospacing="0"/>
              <w:ind w:left="0" w:right="0"/>
              <w:jc w:val="left"/>
              <w:rPr>
                <w:rFonts w:hint="default" w:cs="Times New Roman"/>
                <w:lang w:val="en-US" w:eastAsia="zh-CN"/>
              </w:rPr>
            </w:pPr>
            <w:r>
              <w:rPr>
                <w:rFonts w:hint="eastAsia"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DF94107">
            <w:pPr>
              <w:keepNext w:val="0"/>
              <w:keepLines w:val="0"/>
              <w:widowControl/>
              <w:suppressLineNumbers w:val="0"/>
              <w:spacing w:before="0" w:beforeAutospacing="0" w:after="0" w:afterAutospacing="0"/>
              <w:ind w:left="0" w:right="0"/>
              <w:jc w:val="left"/>
              <w:rPr>
                <w:rFonts w:hint="default" w:cs="Times New Roman"/>
                <w:lang w:val="en-US" w:eastAsia="zh-CN"/>
              </w:rPr>
            </w:pPr>
            <w:r>
              <w:rPr>
                <w:rFonts w:hint="eastAsia" w:cs="Times New Roman"/>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56B15F3">
            <w:pPr>
              <w:keepNext w:val="0"/>
              <w:keepLines w:val="0"/>
              <w:widowControl/>
              <w:suppressLineNumbers w:val="0"/>
              <w:spacing w:before="0" w:beforeAutospacing="0" w:after="0" w:afterAutospacing="0"/>
              <w:ind w:left="0" w:right="0"/>
              <w:jc w:val="left"/>
              <w:rPr>
                <w:rFonts w:hint="default" w:cs="Times New Roman"/>
                <w:lang w:val="en-US" w:eastAsia="zh-CN"/>
              </w:rPr>
            </w:pPr>
            <w:r>
              <w:rPr>
                <w:rFonts w:hint="eastAsia" w:cs="Times New Roman"/>
                <w:lang w:val="en-US" w:eastAsia="zh-CN"/>
              </w:rPr>
              <w:t>0</w:t>
            </w:r>
          </w:p>
        </w:tc>
      </w:tr>
      <w:tr w14:paraId="06E4B98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FC6A233">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第二十条第（五）项</w:t>
            </w:r>
          </w:p>
        </w:tc>
      </w:tr>
      <w:tr w14:paraId="002C855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66DDD3D">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B53A7A5">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14:paraId="0E17B70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75C9C3A">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2077C20">
            <w:pPr>
              <w:keepNext w:val="0"/>
              <w:keepLines w:val="0"/>
              <w:widowControl/>
              <w:suppressLineNumbers w:val="0"/>
              <w:spacing w:before="0" w:beforeAutospacing="0" w:after="0" w:afterAutospacing="0"/>
              <w:ind w:left="0" w:right="0"/>
              <w:jc w:val="left"/>
              <w:rPr>
                <w:rFonts w:hint="eastAsia" w:eastAsia="宋体" w:cs="Times New Roman"/>
                <w:lang w:val="en-US" w:eastAsia="zh-CN"/>
              </w:rPr>
            </w:pPr>
            <w:r>
              <w:rPr>
                <w:rFonts w:hint="eastAsia" w:cs="Times New Roman"/>
                <w:lang w:val="en-US" w:eastAsia="zh-CN"/>
              </w:rPr>
              <w:t>0</w:t>
            </w:r>
          </w:p>
        </w:tc>
      </w:tr>
      <w:tr w14:paraId="4359AE3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7ADEEAB">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第二十条第（六）项</w:t>
            </w:r>
          </w:p>
        </w:tc>
      </w:tr>
      <w:tr w14:paraId="0A4BED8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A5EF56F">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170DAB0">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14:paraId="094C83F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7B3AFE1">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8B65D7B">
            <w:pPr>
              <w:keepNext w:val="0"/>
              <w:keepLines w:val="0"/>
              <w:widowControl/>
              <w:suppressLineNumbers w:val="0"/>
              <w:spacing w:before="0" w:beforeAutospacing="0" w:after="0" w:afterAutospacing="0"/>
              <w:ind w:left="0" w:right="0"/>
              <w:jc w:val="left"/>
              <w:rPr>
                <w:rFonts w:hint="eastAsia" w:eastAsia="宋体" w:cs="Times New Roman"/>
                <w:lang w:val="en-US" w:eastAsia="zh-CN"/>
              </w:rPr>
            </w:pPr>
            <w:r>
              <w:rPr>
                <w:rFonts w:hint="eastAsia" w:cs="Times New Roman"/>
                <w:lang w:val="en-US" w:eastAsia="zh-CN"/>
              </w:rPr>
              <w:t>0</w:t>
            </w:r>
          </w:p>
        </w:tc>
      </w:tr>
      <w:tr w14:paraId="0BAC081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F5C02E9">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85A710F">
            <w:pPr>
              <w:keepNext w:val="0"/>
              <w:keepLines w:val="0"/>
              <w:widowControl/>
              <w:suppressLineNumbers w:val="0"/>
              <w:spacing w:before="0" w:beforeAutospacing="0" w:after="0" w:afterAutospacing="0"/>
              <w:ind w:left="0" w:right="0"/>
              <w:jc w:val="left"/>
              <w:rPr>
                <w:rFonts w:hint="default" w:eastAsia="宋体" w:cs="Times New Roman"/>
                <w:lang w:val="en-US" w:eastAsia="zh-CN"/>
              </w:rPr>
            </w:pPr>
            <w:r>
              <w:rPr>
                <w:rFonts w:hint="eastAsia" w:cs="Times New Roman"/>
                <w:lang w:val="en-US" w:eastAsia="zh-CN"/>
              </w:rPr>
              <w:t>0</w:t>
            </w:r>
          </w:p>
        </w:tc>
      </w:tr>
      <w:tr w14:paraId="64CF606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4234B55">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第二十条第（八）项</w:t>
            </w:r>
          </w:p>
        </w:tc>
      </w:tr>
      <w:tr w14:paraId="0A1BCBC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19E11C4">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4E63F1F2">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本年收费金额（单位：万元）</w:t>
            </w:r>
          </w:p>
        </w:tc>
      </w:tr>
      <w:tr w14:paraId="0F44E3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81F6EC1">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1FACE53">
            <w:pPr>
              <w:keepNext w:val="0"/>
              <w:keepLines w:val="0"/>
              <w:suppressLineNumbers w:val="0"/>
              <w:spacing w:before="0" w:beforeAutospacing="0" w:after="0" w:afterAutospacing="0"/>
              <w:ind w:left="0" w:right="0"/>
              <w:rPr>
                <w:rFonts w:hint="eastAsia" w:ascii="宋体" w:hAnsi="Times New Roman" w:eastAsia="宋体" w:cs="宋体"/>
                <w:sz w:val="24"/>
                <w:lang w:val="en-US" w:eastAsia="zh-CN"/>
              </w:rPr>
            </w:pPr>
            <w:r>
              <w:rPr>
                <w:rFonts w:hint="eastAsia" w:cs="Times New Roman"/>
                <w:lang w:val="en-US" w:eastAsia="zh-CN"/>
              </w:rPr>
              <w:t>0</w:t>
            </w:r>
          </w:p>
        </w:tc>
      </w:tr>
    </w:tbl>
    <w:p w14:paraId="09BADF41">
      <w:pPr>
        <w:pStyle w:val="2"/>
        <w:widowControl/>
      </w:pPr>
    </w:p>
    <w:p w14:paraId="237443F3">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14:paraId="5C0CED28">
      <w:pPr>
        <w:ind w:left="629"/>
        <w:rPr>
          <w:rFonts w:hint="eastAsia" w:ascii="黑体" w:hAnsi="宋体" w:eastAsia="黑体" w:cs="黑体"/>
          <w:sz w:val="24"/>
        </w:rPr>
      </w:pPr>
    </w:p>
    <w:tbl>
      <w:tblPr>
        <w:tblStyle w:val="6"/>
        <w:tblW w:w="9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68"/>
        <w:gridCol w:w="943"/>
        <w:gridCol w:w="3201"/>
        <w:gridCol w:w="695"/>
        <w:gridCol w:w="689"/>
        <w:gridCol w:w="689"/>
        <w:gridCol w:w="689"/>
        <w:gridCol w:w="689"/>
        <w:gridCol w:w="688"/>
        <w:gridCol w:w="697"/>
      </w:tblGrid>
      <w:tr w14:paraId="64E2B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12" w:type="dxa"/>
            <w:gridSpan w:val="3"/>
            <w:vMerge w:val="restart"/>
            <w:tcBorders>
              <w:tl2br w:val="nil"/>
              <w:tr2bl w:val="nil"/>
            </w:tcBorders>
            <w:shd w:val="clear" w:color="auto" w:fill="9BC2E6"/>
            <w:noWrap w:val="0"/>
            <w:tcMar>
              <w:left w:w="108" w:type="dxa"/>
              <w:right w:w="108" w:type="dxa"/>
            </w:tcMar>
            <w:vAlign w:val="center"/>
          </w:tcPr>
          <w:p w14:paraId="07B1F94B">
            <w:pPr>
              <w:keepNext w:val="0"/>
              <w:keepLines w:val="0"/>
              <w:widowControl/>
              <w:suppressLineNumbers w:val="0"/>
              <w:spacing w:before="0" w:beforeAutospacing="0" w:after="0" w:afterAutospacing="0"/>
              <w:ind w:left="0" w:right="0"/>
              <w:jc w:val="left"/>
              <w:rPr>
                <w:rFonts w:hint="default" w:cs="Times New Roman"/>
              </w:rPr>
            </w:pPr>
            <w:r>
              <w:rPr>
                <w:rFonts w:hint="eastAsia" w:ascii="楷体" w:hAnsi="楷体" w:eastAsia="楷体" w:cs="楷体"/>
                <w:kern w:val="0"/>
                <w:sz w:val="20"/>
                <w:szCs w:val="20"/>
                <w:lang w:bidi="ar"/>
              </w:rPr>
              <w:t>（本列数据的勾稽关系为：第一项加第二项之和，等于第三项加第四项之和）</w:t>
            </w:r>
          </w:p>
        </w:tc>
        <w:tc>
          <w:tcPr>
            <w:tcW w:w="4836" w:type="dxa"/>
            <w:gridSpan w:val="7"/>
            <w:tcBorders>
              <w:tl2br w:val="nil"/>
              <w:tr2bl w:val="nil"/>
            </w:tcBorders>
            <w:shd w:val="clear" w:color="auto" w:fill="9BC2E6"/>
            <w:noWrap w:val="0"/>
            <w:tcMar>
              <w:left w:w="57" w:type="dxa"/>
              <w:right w:w="57" w:type="dxa"/>
            </w:tcMar>
            <w:vAlign w:val="center"/>
          </w:tcPr>
          <w:p w14:paraId="7CD56D6B">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申请人情况</w:t>
            </w:r>
          </w:p>
        </w:tc>
      </w:tr>
      <w:tr w14:paraId="6C26A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12" w:type="dxa"/>
            <w:gridSpan w:val="3"/>
            <w:vMerge w:val="continue"/>
            <w:tcBorders>
              <w:tl2br w:val="nil"/>
              <w:tr2bl w:val="nil"/>
            </w:tcBorders>
            <w:shd w:val="clear" w:color="auto" w:fill="9BC2E6"/>
            <w:noWrap w:val="0"/>
            <w:tcMar>
              <w:left w:w="108" w:type="dxa"/>
              <w:right w:w="108" w:type="dxa"/>
            </w:tcMar>
            <w:vAlign w:val="center"/>
          </w:tcPr>
          <w:p w14:paraId="50DBB5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5" w:type="dxa"/>
            <w:vMerge w:val="restart"/>
            <w:tcBorders>
              <w:tl2br w:val="nil"/>
              <w:tr2bl w:val="nil"/>
            </w:tcBorders>
            <w:shd w:val="clear" w:color="auto" w:fill="9BC2E6"/>
            <w:noWrap w:val="0"/>
            <w:tcMar>
              <w:left w:w="57" w:type="dxa"/>
              <w:right w:w="57" w:type="dxa"/>
            </w:tcMar>
            <w:vAlign w:val="center"/>
          </w:tcPr>
          <w:p w14:paraId="7FC2AD3D">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自然人</w:t>
            </w:r>
          </w:p>
        </w:tc>
        <w:tc>
          <w:tcPr>
            <w:tcW w:w="3444" w:type="dxa"/>
            <w:gridSpan w:val="5"/>
            <w:tcBorders>
              <w:tl2br w:val="nil"/>
              <w:tr2bl w:val="nil"/>
            </w:tcBorders>
            <w:shd w:val="clear" w:color="auto" w:fill="9BC2E6"/>
            <w:noWrap w:val="0"/>
            <w:tcMar>
              <w:left w:w="57" w:type="dxa"/>
              <w:right w:w="57" w:type="dxa"/>
            </w:tcMar>
            <w:vAlign w:val="center"/>
          </w:tcPr>
          <w:p w14:paraId="68F6504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法人或其他组织</w:t>
            </w:r>
          </w:p>
        </w:tc>
        <w:tc>
          <w:tcPr>
            <w:tcW w:w="697" w:type="dxa"/>
            <w:vMerge w:val="restart"/>
            <w:tcBorders>
              <w:tl2br w:val="nil"/>
              <w:tr2bl w:val="nil"/>
            </w:tcBorders>
            <w:shd w:val="clear" w:color="auto" w:fill="9BC2E6"/>
            <w:noWrap w:val="0"/>
            <w:tcMar>
              <w:left w:w="57" w:type="dxa"/>
              <w:right w:w="57" w:type="dxa"/>
            </w:tcMar>
            <w:vAlign w:val="center"/>
          </w:tcPr>
          <w:p w14:paraId="0FECFD6B">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r>
      <w:tr w14:paraId="08D07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4912" w:type="dxa"/>
            <w:gridSpan w:val="3"/>
            <w:vMerge w:val="continue"/>
            <w:tcBorders>
              <w:tl2br w:val="nil"/>
              <w:tr2bl w:val="nil"/>
            </w:tcBorders>
            <w:shd w:val="clear" w:color="auto" w:fill="9BC2E6"/>
            <w:noWrap w:val="0"/>
            <w:tcMar>
              <w:left w:w="108" w:type="dxa"/>
              <w:right w:w="108" w:type="dxa"/>
            </w:tcMar>
            <w:vAlign w:val="center"/>
          </w:tcPr>
          <w:p w14:paraId="3F4A85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5" w:type="dxa"/>
            <w:vMerge w:val="continue"/>
            <w:tcBorders>
              <w:tl2br w:val="nil"/>
              <w:tr2bl w:val="nil"/>
            </w:tcBorders>
            <w:shd w:val="clear" w:color="auto" w:fill="9BC2E6"/>
            <w:noWrap w:val="0"/>
            <w:tcMar>
              <w:left w:w="57" w:type="dxa"/>
              <w:right w:w="57" w:type="dxa"/>
            </w:tcMar>
            <w:vAlign w:val="center"/>
          </w:tcPr>
          <w:p w14:paraId="6205EC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9" w:type="dxa"/>
            <w:tcBorders>
              <w:tl2br w:val="nil"/>
              <w:tr2bl w:val="nil"/>
            </w:tcBorders>
            <w:shd w:val="clear" w:color="auto" w:fill="9BC2E6"/>
            <w:noWrap w:val="0"/>
            <w:tcMar>
              <w:left w:w="57" w:type="dxa"/>
              <w:right w:w="57" w:type="dxa"/>
            </w:tcMar>
            <w:vAlign w:val="center"/>
          </w:tcPr>
          <w:p w14:paraId="73AF7C45">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商业</w:t>
            </w:r>
          </w:p>
          <w:p w14:paraId="2B5752D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企业</w:t>
            </w:r>
          </w:p>
        </w:tc>
        <w:tc>
          <w:tcPr>
            <w:tcW w:w="689" w:type="dxa"/>
            <w:tcBorders>
              <w:tl2br w:val="nil"/>
              <w:tr2bl w:val="nil"/>
            </w:tcBorders>
            <w:shd w:val="clear" w:color="auto" w:fill="9BC2E6"/>
            <w:noWrap w:val="0"/>
            <w:tcMar>
              <w:left w:w="57" w:type="dxa"/>
              <w:right w:w="57" w:type="dxa"/>
            </w:tcMar>
            <w:vAlign w:val="center"/>
          </w:tcPr>
          <w:p w14:paraId="127EB375">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科研</w:t>
            </w:r>
          </w:p>
          <w:p w14:paraId="48CB870F">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机构</w:t>
            </w:r>
          </w:p>
        </w:tc>
        <w:tc>
          <w:tcPr>
            <w:tcW w:w="689" w:type="dxa"/>
            <w:tcBorders>
              <w:tl2br w:val="nil"/>
              <w:tr2bl w:val="nil"/>
            </w:tcBorders>
            <w:shd w:val="clear" w:color="auto" w:fill="9BC2E6"/>
            <w:noWrap w:val="0"/>
            <w:tcMar>
              <w:left w:w="57" w:type="dxa"/>
              <w:right w:w="57" w:type="dxa"/>
            </w:tcMar>
            <w:vAlign w:val="center"/>
          </w:tcPr>
          <w:p w14:paraId="7B9D2040">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社会公益组织</w:t>
            </w:r>
          </w:p>
        </w:tc>
        <w:tc>
          <w:tcPr>
            <w:tcW w:w="689" w:type="dxa"/>
            <w:tcBorders>
              <w:tl2br w:val="nil"/>
              <w:tr2bl w:val="nil"/>
            </w:tcBorders>
            <w:shd w:val="clear" w:color="auto" w:fill="9BC2E6"/>
            <w:noWrap w:val="0"/>
            <w:tcMar>
              <w:left w:w="57" w:type="dxa"/>
              <w:right w:w="57" w:type="dxa"/>
            </w:tcMar>
            <w:vAlign w:val="center"/>
          </w:tcPr>
          <w:p w14:paraId="2D377B5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法律服务机构</w:t>
            </w:r>
          </w:p>
        </w:tc>
        <w:tc>
          <w:tcPr>
            <w:tcW w:w="688" w:type="dxa"/>
            <w:tcBorders>
              <w:tl2br w:val="nil"/>
              <w:tr2bl w:val="nil"/>
            </w:tcBorders>
            <w:shd w:val="clear" w:color="auto" w:fill="9BC2E6"/>
            <w:noWrap w:val="0"/>
            <w:tcMar>
              <w:left w:w="57" w:type="dxa"/>
              <w:right w:w="57" w:type="dxa"/>
            </w:tcMar>
            <w:vAlign w:val="center"/>
          </w:tcPr>
          <w:p w14:paraId="408EF52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p>
        </w:tc>
        <w:tc>
          <w:tcPr>
            <w:tcW w:w="697" w:type="dxa"/>
            <w:vMerge w:val="continue"/>
            <w:tcBorders>
              <w:tl2br w:val="nil"/>
              <w:tr2bl w:val="nil"/>
            </w:tcBorders>
            <w:shd w:val="clear" w:color="auto" w:fill="9BC2E6"/>
            <w:noWrap w:val="0"/>
            <w:tcMar>
              <w:left w:w="57" w:type="dxa"/>
              <w:right w:w="57" w:type="dxa"/>
            </w:tcMar>
            <w:vAlign w:val="center"/>
          </w:tcPr>
          <w:p w14:paraId="30D98B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A65F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12" w:type="dxa"/>
            <w:gridSpan w:val="3"/>
            <w:tcBorders>
              <w:tl2br w:val="nil"/>
              <w:tr2bl w:val="nil"/>
            </w:tcBorders>
            <w:shd w:val="clear" w:color="auto" w:fill="BDD7EE"/>
            <w:noWrap w:val="0"/>
            <w:tcMar>
              <w:left w:w="57" w:type="dxa"/>
              <w:right w:w="57" w:type="dxa"/>
            </w:tcMar>
            <w:vAlign w:val="center"/>
          </w:tcPr>
          <w:p w14:paraId="4C2AE9C9">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一、本年新收政府信息公开申请数量</w:t>
            </w:r>
          </w:p>
        </w:tc>
        <w:tc>
          <w:tcPr>
            <w:tcW w:w="695" w:type="dxa"/>
            <w:tcBorders>
              <w:tl2br w:val="nil"/>
              <w:tr2bl w:val="nil"/>
            </w:tcBorders>
            <w:noWrap w:val="0"/>
            <w:tcMar>
              <w:left w:w="57" w:type="dxa"/>
              <w:right w:w="57" w:type="dxa"/>
            </w:tcMar>
            <w:vAlign w:val="center"/>
          </w:tcPr>
          <w:p w14:paraId="6D172A28">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Calibri"/>
                <w:kern w:val="0"/>
                <w:sz w:val="20"/>
                <w:szCs w:val="20"/>
                <w:lang w:val="en-US" w:eastAsia="zh-CN" w:bidi="ar"/>
              </w:rPr>
              <w:t>0</w:t>
            </w:r>
          </w:p>
        </w:tc>
        <w:tc>
          <w:tcPr>
            <w:tcW w:w="689" w:type="dxa"/>
            <w:tcBorders>
              <w:tl2br w:val="nil"/>
              <w:tr2bl w:val="nil"/>
            </w:tcBorders>
            <w:noWrap w:val="0"/>
            <w:tcMar>
              <w:left w:w="57" w:type="dxa"/>
              <w:right w:w="57" w:type="dxa"/>
            </w:tcMar>
            <w:vAlign w:val="center"/>
          </w:tcPr>
          <w:p w14:paraId="1A988A43">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25C826BB">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1DE4DBE2">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B993D91">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49CCCC3E">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40DF574E">
            <w:pPr>
              <w:keepNext w:val="0"/>
              <w:keepLines w:val="0"/>
              <w:widowControl/>
              <w:suppressLineNumbers w:val="0"/>
              <w:spacing w:before="0" w:beforeAutospacing="0" w:after="0" w:afterAutospacing="0"/>
              <w:ind w:left="0" w:leftChars="0" w:right="0" w:rightChars="0"/>
              <w:jc w:val="center"/>
              <w:rPr>
                <w:rFonts w:hint="default" w:cs="Times New Roman"/>
              </w:rPr>
            </w:pPr>
            <w:r>
              <w:rPr>
                <w:rFonts w:hint="eastAsia" w:cs="Calibri"/>
                <w:kern w:val="0"/>
                <w:sz w:val="20"/>
                <w:szCs w:val="20"/>
                <w:lang w:val="en-US" w:eastAsia="zh-CN" w:bidi="ar"/>
              </w:rPr>
              <w:t>0</w:t>
            </w:r>
          </w:p>
        </w:tc>
      </w:tr>
      <w:tr w14:paraId="26BF5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8" w:hRule="atLeast"/>
          <w:jc w:val="center"/>
        </w:trPr>
        <w:tc>
          <w:tcPr>
            <w:tcW w:w="4912" w:type="dxa"/>
            <w:gridSpan w:val="3"/>
            <w:tcBorders>
              <w:tl2br w:val="nil"/>
              <w:tr2bl w:val="nil"/>
            </w:tcBorders>
            <w:shd w:val="clear" w:color="auto" w:fill="BDD7EE"/>
            <w:noWrap w:val="0"/>
            <w:tcMar>
              <w:left w:w="57" w:type="dxa"/>
              <w:right w:w="57" w:type="dxa"/>
            </w:tcMar>
            <w:vAlign w:val="center"/>
          </w:tcPr>
          <w:p w14:paraId="3B3A3AF8">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二、上年结转政府信息公开申请数量</w:t>
            </w:r>
          </w:p>
        </w:tc>
        <w:tc>
          <w:tcPr>
            <w:tcW w:w="695" w:type="dxa"/>
            <w:tcBorders>
              <w:tl2br w:val="nil"/>
              <w:tr2bl w:val="nil"/>
            </w:tcBorders>
            <w:noWrap w:val="0"/>
            <w:tcMar>
              <w:left w:w="57" w:type="dxa"/>
              <w:right w:w="57" w:type="dxa"/>
            </w:tcMar>
            <w:vAlign w:val="center"/>
          </w:tcPr>
          <w:p w14:paraId="05870091">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2E83390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46A3267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2F049E1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43252DC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3430E7B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777D01A0">
            <w:pPr>
              <w:keepNext w:val="0"/>
              <w:keepLines w:val="0"/>
              <w:widowControl/>
              <w:suppressLineNumbers w:val="0"/>
              <w:spacing w:before="0" w:beforeAutospacing="0" w:after="0" w:afterAutospacing="0"/>
              <w:ind w:left="0" w:leftChars="0" w:right="0" w:rightChars="0"/>
              <w:jc w:val="center"/>
              <w:rPr>
                <w:rFonts w:hint="default" w:cs="Times New Roman"/>
              </w:rPr>
            </w:pPr>
            <w:r>
              <w:rPr>
                <w:rFonts w:hint="eastAsia" w:cs="Times New Roman"/>
                <w:lang w:val="en-US" w:eastAsia="zh-CN"/>
              </w:rPr>
              <w:t>0</w:t>
            </w:r>
          </w:p>
        </w:tc>
      </w:tr>
      <w:tr w14:paraId="200F9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restart"/>
            <w:tcBorders>
              <w:tl2br w:val="nil"/>
              <w:tr2bl w:val="nil"/>
            </w:tcBorders>
            <w:shd w:val="clear" w:color="auto" w:fill="BDD7EE"/>
            <w:noWrap w:val="0"/>
            <w:tcMar>
              <w:left w:w="57" w:type="dxa"/>
              <w:right w:w="57" w:type="dxa"/>
            </w:tcMar>
            <w:vAlign w:val="center"/>
          </w:tcPr>
          <w:p w14:paraId="76B32214">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三、本年度办理结果</w:t>
            </w:r>
          </w:p>
        </w:tc>
        <w:tc>
          <w:tcPr>
            <w:tcW w:w="4144" w:type="dxa"/>
            <w:gridSpan w:val="2"/>
            <w:tcBorders>
              <w:tl2br w:val="nil"/>
              <w:tr2bl w:val="nil"/>
            </w:tcBorders>
            <w:shd w:val="clear" w:color="auto" w:fill="DDEBF7"/>
            <w:noWrap w:val="0"/>
            <w:tcMar>
              <w:left w:w="57" w:type="dxa"/>
              <w:right w:w="57" w:type="dxa"/>
            </w:tcMar>
            <w:vAlign w:val="center"/>
          </w:tcPr>
          <w:p w14:paraId="06D2F640">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（一）予以公开</w:t>
            </w:r>
          </w:p>
        </w:tc>
        <w:tc>
          <w:tcPr>
            <w:tcW w:w="695" w:type="dxa"/>
            <w:tcBorders>
              <w:tl2br w:val="nil"/>
              <w:tr2bl w:val="nil"/>
            </w:tcBorders>
            <w:noWrap w:val="0"/>
            <w:tcMar>
              <w:left w:w="57" w:type="dxa"/>
              <w:right w:w="57" w:type="dxa"/>
            </w:tcMar>
            <w:vAlign w:val="center"/>
          </w:tcPr>
          <w:p w14:paraId="1C748098">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286DF87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1181900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0598CB4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3E98005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37DF5DE3">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412FE252">
            <w:pPr>
              <w:keepNext w:val="0"/>
              <w:keepLines w:val="0"/>
              <w:widowControl/>
              <w:suppressLineNumbers w:val="0"/>
              <w:spacing w:before="0" w:beforeAutospacing="0" w:after="0" w:afterAutospacing="0"/>
              <w:ind w:left="0" w:leftChars="0" w:right="0" w:rightChars="0"/>
              <w:jc w:val="center"/>
              <w:rPr>
                <w:rFonts w:hint="default" w:cs="Times New Roman"/>
              </w:rPr>
            </w:pPr>
            <w:r>
              <w:rPr>
                <w:rFonts w:hint="eastAsia" w:cs="Times New Roman"/>
                <w:lang w:val="en-US" w:eastAsia="zh-CN"/>
              </w:rPr>
              <w:t>0</w:t>
            </w:r>
          </w:p>
        </w:tc>
      </w:tr>
      <w:tr w14:paraId="7A94F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CAFD8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4" w:type="dxa"/>
            <w:gridSpan w:val="2"/>
            <w:tcBorders>
              <w:tl2br w:val="nil"/>
              <w:tr2bl w:val="nil"/>
            </w:tcBorders>
            <w:shd w:val="clear" w:color="auto" w:fill="DDEBF7"/>
            <w:noWrap w:val="0"/>
            <w:tcMar>
              <w:left w:w="57" w:type="dxa"/>
              <w:right w:w="57" w:type="dxa"/>
            </w:tcMar>
            <w:vAlign w:val="center"/>
          </w:tcPr>
          <w:p w14:paraId="067EF44F">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95" w:type="dxa"/>
            <w:tcBorders>
              <w:tl2br w:val="nil"/>
              <w:tr2bl w:val="nil"/>
            </w:tcBorders>
            <w:noWrap w:val="0"/>
            <w:tcMar>
              <w:left w:w="57" w:type="dxa"/>
              <w:right w:w="57" w:type="dxa"/>
            </w:tcMar>
            <w:vAlign w:val="center"/>
          </w:tcPr>
          <w:p w14:paraId="202530E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93D569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013AFFA2">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7BF3D5A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93E19F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48B5F20F">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11DCA03F">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2FF304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4FAA63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l2br w:val="nil"/>
              <w:tr2bl w:val="nil"/>
            </w:tcBorders>
            <w:shd w:val="clear" w:color="auto" w:fill="DDEBF7"/>
            <w:noWrap w:val="0"/>
            <w:tcMar>
              <w:left w:w="57" w:type="dxa"/>
              <w:right w:w="57" w:type="dxa"/>
            </w:tcMar>
            <w:vAlign w:val="center"/>
          </w:tcPr>
          <w:p w14:paraId="5401F405">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（三）不予公开</w:t>
            </w:r>
          </w:p>
        </w:tc>
        <w:tc>
          <w:tcPr>
            <w:tcW w:w="3201" w:type="dxa"/>
            <w:tcBorders>
              <w:tl2br w:val="nil"/>
              <w:tr2bl w:val="nil"/>
            </w:tcBorders>
            <w:shd w:val="clear" w:color="auto" w:fill="DDEBF7"/>
            <w:noWrap w:val="0"/>
            <w:tcMar>
              <w:left w:w="57" w:type="dxa"/>
              <w:right w:w="57" w:type="dxa"/>
            </w:tcMar>
            <w:vAlign w:val="top"/>
          </w:tcPr>
          <w:p w14:paraId="7C49D667">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1.属于国家秘密</w:t>
            </w:r>
          </w:p>
        </w:tc>
        <w:tc>
          <w:tcPr>
            <w:tcW w:w="695" w:type="dxa"/>
            <w:tcBorders>
              <w:tl2br w:val="nil"/>
              <w:tr2bl w:val="nil"/>
            </w:tcBorders>
            <w:noWrap w:val="0"/>
            <w:tcMar>
              <w:left w:w="57" w:type="dxa"/>
              <w:right w:w="57" w:type="dxa"/>
            </w:tcMar>
            <w:vAlign w:val="top"/>
          </w:tcPr>
          <w:p w14:paraId="08AFF57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0522FC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380844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64A47E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ECA471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072369B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60A164F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r>
      <w:tr w14:paraId="531F5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87CBD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0890C7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69FCAB36">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2.其他法律行政法规禁止公开</w:t>
            </w:r>
          </w:p>
        </w:tc>
        <w:tc>
          <w:tcPr>
            <w:tcW w:w="695" w:type="dxa"/>
            <w:tcBorders>
              <w:tl2br w:val="nil"/>
              <w:tr2bl w:val="nil"/>
            </w:tcBorders>
            <w:noWrap w:val="0"/>
            <w:tcMar>
              <w:left w:w="57" w:type="dxa"/>
              <w:right w:w="57" w:type="dxa"/>
            </w:tcMar>
            <w:vAlign w:val="top"/>
          </w:tcPr>
          <w:p w14:paraId="52C5C11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489A33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2C0C7AF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5B561F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0856C8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766E513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1DBB077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r>
      <w:tr w14:paraId="23A44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00859C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F033A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37678E88">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3.危及“三安全一稳定”</w:t>
            </w:r>
          </w:p>
        </w:tc>
        <w:tc>
          <w:tcPr>
            <w:tcW w:w="695" w:type="dxa"/>
            <w:tcBorders>
              <w:tl2br w:val="nil"/>
              <w:tr2bl w:val="nil"/>
            </w:tcBorders>
            <w:noWrap w:val="0"/>
            <w:tcMar>
              <w:left w:w="57" w:type="dxa"/>
              <w:right w:w="57" w:type="dxa"/>
            </w:tcMar>
            <w:vAlign w:val="top"/>
          </w:tcPr>
          <w:p w14:paraId="104241A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21E0E7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E69C50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648E1BC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CA7B2F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1D79A12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3EA5A0E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r>
      <w:tr w14:paraId="2D543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E228F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2ED83B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39288F66">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4.保护第三方合法权益</w:t>
            </w:r>
          </w:p>
        </w:tc>
        <w:tc>
          <w:tcPr>
            <w:tcW w:w="695" w:type="dxa"/>
            <w:tcBorders>
              <w:tl2br w:val="nil"/>
              <w:tr2bl w:val="nil"/>
            </w:tcBorders>
            <w:noWrap w:val="0"/>
            <w:tcMar>
              <w:left w:w="57" w:type="dxa"/>
              <w:right w:w="57" w:type="dxa"/>
            </w:tcMar>
            <w:vAlign w:val="top"/>
          </w:tcPr>
          <w:p w14:paraId="03CF991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89527D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2386A87">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9F13C4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3B8D1A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650F30B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36963F8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r>
      <w:tr w14:paraId="4EA3A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216FEE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7F514E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175DC829">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5.属于三类内部事务信息</w:t>
            </w:r>
          </w:p>
        </w:tc>
        <w:tc>
          <w:tcPr>
            <w:tcW w:w="695" w:type="dxa"/>
            <w:tcBorders>
              <w:tl2br w:val="nil"/>
              <w:tr2bl w:val="nil"/>
            </w:tcBorders>
            <w:noWrap w:val="0"/>
            <w:tcMar>
              <w:left w:w="57" w:type="dxa"/>
              <w:right w:w="57" w:type="dxa"/>
            </w:tcMar>
            <w:vAlign w:val="top"/>
          </w:tcPr>
          <w:p w14:paraId="35CD8D0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2B1472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6F69FB8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FD99F2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8B8AD4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085AF52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15D164F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r>
      <w:tr w14:paraId="388D5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00A3D9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69F3AD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466E7B6B">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6.属于四类过程性信息</w:t>
            </w:r>
          </w:p>
        </w:tc>
        <w:tc>
          <w:tcPr>
            <w:tcW w:w="695" w:type="dxa"/>
            <w:tcBorders>
              <w:tl2br w:val="nil"/>
              <w:tr2bl w:val="nil"/>
            </w:tcBorders>
            <w:noWrap w:val="0"/>
            <w:tcMar>
              <w:left w:w="57" w:type="dxa"/>
              <w:right w:w="57" w:type="dxa"/>
            </w:tcMar>
            <w:vAlign w:val="top"/>
          </w:tcPr>
          <w:p w14:paraId="69D4B86C">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E2B86A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66301F8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A793C9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5AA203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662E903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3D69954E">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r>
      <w:tr w14:paraId="10105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059ADB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817BF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23D65A66">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7.属于行政执法案卷</w:t>
            </w:r>
          </w:p>
        </w:tc>
        <w:tc>
          <w:tcPr>
            <w:tcW w:w="695" w:type="dxa"/>
            <w:tcBorders>
              <w:tl2br w:val="nil"/>
              <w:tr2bl w:val="nil"/>
            </w:tcBorders>
            <w:noWrap w:val="0"/>
            <w:tcMar>
              <w:left w:w="57" w:type="dxa"/>
              <w:right w:w="57" w:type="dxa"/>
            </w:tcMar>
            <w:vAlign w:val="top"/>
          </w:tcPr>
          <w:p w14:paraId="5143C8BB">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1AA3577">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BE97C4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DAC869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ADEC08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22A9B6F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3194ADB8">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5DEDC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0572EA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B897D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67D2515D">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8.属于行政查询事项</w:t>
            </w:r>
          </w:p>
        </w:tc>
        <w:tc>
          <w:tcPr>
            <w:tcW w:w="695" w:type="dxa"/>
            <w:tcBorders>
              <w:tl2br w:val="nil"/>
              <w:tr2bl w:val="nil"/>
            </w:tcBorders>
            <w:noWrap w:val="0"/>
            <w:tcMar>
              <w:left w:w="57" w:type="dxa"/>
              <w:right w:w="57" w:type="dxa"/>
            </w:tcMar>
            <w:vAlign w:val="top"/>
          </w:tcPr>
          <w:p w14:paraId="774269E1">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781C7B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1247C3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6B7CF2B2">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5D315F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38F91947">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56D0578B">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17ED1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261E0B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l2br w:val="nil"/>
              <w:tr2bl w:val="nil"/>
            </w:tcBorders>
            <w:shd w:val="clear" w:color="auto" w:fill="DDEBF7"/>
            <w:noWrap w:val="0"/>
            <w:tcMar>
              <w:left w:w="57" w:type="dxa"/>
              <w:right w:w="57" w:type="dxa"/>
            </w:tcMar>
            <w:vAlign w:val="center"/>
          </w:tcPr>
          <w:p w14:paraId="3C0735BA">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（四）无法提供</w:t>
            </w:r>
          </w:p>
        </w:tc>
        <w:tc>
          <w:tcPr>
            <w:tcW w:w="3201" w:type="dxa"/>
            <w:tcBorders>
              <w:tl2br w:val="nil"/>
              <w:tr2bl w:val="nil"/>
            </w:tcBorders>
            <w:shd w:val="clear" w:color="auto" w:fill="DDEBF7"/>
            <w:noWrap w:val="0"/>
            <w:tcMar>
              <w:left w:w="57" w:type="dxa"/>
              <w:right w:w="57" w:type="dxa"/>
            </w:tcMar>
            <w:vAlign w:val="top"/>
          </w:tcPr>
          <w:p w14:paraId="703EE1B2">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1.本机关不掌握相关政府信息</w:t>
            </w:r>
          </w:p>
        </w:tc>
        <w:tc>
          <w:tcPr>
            <w:tcW w:w="695" w:type="dxa"/>
            <w:tcBorders>
              <w:tl2br w:val="nil"/>
              <w:tr2bl w:val="nil"/>
            </w:tcBorders>
            <w:noWrap w:val="0"/>
            <w:tcMar>
              <w:left w:w="57" w:type="dxa"/>
              <w:right w:w="57" w:type="dxa"/>
            </w:tcMar>
            <w:vAlign w:val="top"/>
          </w:tcPr>
          <w:p w14:paraId="79FD2231">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ED253D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A881A2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A9B3E9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F6769C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12FF83A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798BF3A3">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r>
      <w:tr w14:paraId="2BA6B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1209F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5A3BB4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5ECFF86C">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2.没有现成信息需要另行制作</w:t>
            </w:r>
          </w:p>
        </w:tc>
        <w:tc>
          <w:tcPr>
            <w:tcW w:w="695" w:type="dxa"/>
            <w:tcBorders>
              <w:tl2br w:val="nil"/>
              <w:tr2bl w:val="nil"/>
            </w:tcBorders>
            <w:noWrap w:val="0"/>
            <w:tcMar>
              <w:left w:w="57" w:type="dxa"/>
              <w:right w:w="57" w:type="dxa"/>
            </w:tcMar>
            <w:vAlign w:val="top"/>
          </w:tcPr>
          <w:p w14:paraId="7122180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BB309B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1454C4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C08ADE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2F53545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65295082">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709D5352">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333BB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94DBA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3FAD4E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44F5384A">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3.补正后申请内容仍不明确</w:t>
            </w:r>
          </w:p>
        </w:tc>
        <w:tc>
          <w:tcPr>
            <w:tcW w:w="695" w:type="dxa"/>
            <w:tcBorders>
              <w:tl2br w:val="nil"/>
              <w:tr2bl w:val="nil"/>
            </w:tcBorders>
            <w:noWrap w:val="0"/>
            <w:tcMar>
              <w:left w:w="57" w:type="dxa"/>
              <w:right w:w="57" w:type="dxa"/>
            </w:tcMar>
            <w:vAlign w:val="top"/>
          </w:tcPr>
          <w:p w14:paraId="3AC3773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71301D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01156C8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2A8A60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320AE4C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022BBA8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1DEA78E7">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51B20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A6934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l2br w:val="nil"/>
              <w:tr2bl w:val="nil"/>
            </w:tcBorders>
            <w:shd w:val="clear" w:color="auto" w:fill="DDEBF7"/>
            <w:noWrap w:val="0"/>
            <w:tcMar>
              <w:left w:w="57" w:type="dxa"/>
              <w:right w:w="57" w:type="dxa"/>
            </w:tcMar>
            <w:vAlign w:val="center"/>
          </w:tcPr>
          <w:p w14:paraId="44B1EE06">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（五）不予处理</w:t>
            </w:r>
          </w:p>
        </w:tc>
        <w:tc>
          <w:tcPr>
            <w:tcW w:w="3201" w:type="dxa"/>
            <w:tcBorders>
              <w:tl2br w:val="nil"/>
              <w:tr2bl w:val="nil"/>
            </w:tcBorders>
            <w:shd w:val="clear" w:color="auto" w:fill="DDEBF7"/>
            <w:noWrap w:val="0"/>
            <w:tcMar>
              <w:left w:w="57" w:type="dxa"/>
              <w:right w:w="57" w:type="dxa"/>
            </w:tcMar>
            <w:vAlign w:val="top"/>
          </w:tcPr>
          <w:p w14:paraId="56A4AD00">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1.信访举报投诉类申请</w:t>
            </w:r>
          </w:p>
        </w:tc>
        <w:tc>
          <w:tcPr>
            <w:tcW w:w="695" w:type="dxa"/>
            <w:tcBorders>
              <w:tl2br w:val="nil"/>
              <w:tr2bl w:val="nil"/>
            </w:tcBorders>
            <w:noWrap w:val="0"/>
            <w:tcMar>
              <w:left w:w="57" w:type="dxa"/>
              <w:right w:w="57" w:type="dxa"/>
            </w:tcMar>
            <w:vAlign w:val="top"/>
          </w:tcPr>
          <w:p w14:paraId="73A3D0F3">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6BFE4F1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22290A8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5E88D7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7238A8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2ECCA5A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407855FB">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r>
      <w:tr w14:paraId="78AE1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072FCD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85854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25590A6C">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2.重复申请</w:t>
            </w:r>
          </w:p>
        </w:tc>
        <w:tc>
          <w:tcPr>
            <w:tcW w:w="695" w:type="dxa"/>
            <w:tcBorders>
              <w:tl2br w:val="nil"/>
              <w:tr2bl w:val="nil"/>
            </w:tcBorders>
            <w:noWrap w:val="0"/>
            <w:tcMar>
              <w:left w:w="57" w:type="dxa"/>
              <w:right w:w="57" w:type="dxa"/>
            </w:tcMar>
            <w:vAlign w:val="top"/>
          </w:tcPr>
          <w:p w14:paraId="3A778F9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20878E2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368807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94C7C27">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0BA215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7771EEE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4B883659">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default" w:cs="Times New Roman"/>
                <w:lang w:val="en-US" w:eastAsia="zh-CN"/>
              </w:rPr>
              <w:t>0</w:t>
            </w:r>
          </w:p>
        </w:tc>
      </w:tr>
      <w:tr w14:paraId="37E39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636025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24885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012C3844">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3.要求提供公开出版物</w:t>
            </w:r>
          </w:p>
        </w:tc>
        <w:tc>
          <w:tcPr>
            <w:tcW w:w="695" w:type="dxa"/>
            <w:tcBorders>
              <w:tl2br w:val="nil"/>
              <w:tr2bl w:val="nil"/>
            </w:tcBorders>
            <w:noWrap w:val="0"/>
            <w:tcMar>
              <w:left w:w="57" w:type="dxa"/>
              <w:right w:w="57" w:type="dxa"/>
            </w:tcMar>
            <w:vAlign w:val="top"/>
          </w:tcPr>
          <w:p w14:paraId="5D9ACD1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0F2616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44E822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0AD0A2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75B928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0600EFC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5A7B0ED5">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00A12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3627E3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4CEA50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top"/>
          </w:tcPr>
          <w:p w14:paraId="54443541">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4.无正当理由大量反复申请</w:t>
            </w:r>
          </w:p>
        </w:tc>
        <w:tc>
          <w:tcPr>
            <w:tcW w:w="695" w:type="dxa"/>
            <w:tcBorders>
              <w:tl2br w:val="nil"/>
              <w:tr2bl w:val="nil"/>
            </w:tcBorders>
            <w:noWrap w:val="0"/>
            <w:tcMar>
              <w:left w:w="57" w:type="dxa"/>
              <w:right w:w="57" w:type="dxa"/>
            </w:tcMar>
            <w:vAlign w:val="top"/>
          </w:tcPr>
          <w:p w14:paraId="1DAA15DD">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56A81F6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40A6BB8F">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19131B4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top"/>
          </w:tcPr>
          <w:p w14:paraId="7AB0786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top"/>
          </w:tcPr>
          <w:p w14:paraId="1AC587E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6D17F780">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3F989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9" w:hRule="atLeast"/>
          <w:jc w:val="center"/>
        </w:trPr>
        <w:tc>
          <w:tcPr>
            <w:tcW w:w="768" w:type="dxa"/>
            <w:vMerge w:val="continue"/>
            <w:tcBorders>
              <w:tl2br w:val="nil"/>
              <w:tr2bl w:val="nil"/>
            </w:tcBorders>
            <w:shd w:val="clear" w:color="auto" w:fill="BDD7EE"/>
            <w:noWrap w:val="0"/>
            <w:tcMar>
              <w:left w:w="57" w:type="dxa"/>
              <w:right w:w="57" w:type="dxa"/>
            </w:tcMar>
            <w:vAlign w:val="center"/>
          </w:tcPr>
          <w:p w14:paraId="001517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163898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center"/>
          </w:tcPr>
          <w:p w14:paraId="49B383CD">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5.要求行政机关确认或重新出具已获取信息</w:t>
            </w:r>
          </w:p>
        </w:tc>
        <w:tc>
          <w:tcPr>
            <w:tcW w:w="695" w:type="dxa"/>
            <w:tcBorders>
              <w:tl2br w:val="nil"/>
              <w:tr2bl w:val="nil"/>
            </w:tcBorders>
            <w:noWrap w:val="0"/>
            <w:tcMar>
              <w:left w:w="57" w:type="dxa"/>
              <w:right w:w="57" w:type="dxa"/>
            </w:tcMar>
            <w:vAlign w:val="center"/>
          </w:tcPr>
          <w:p w14:paraId="1ECBBFE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7E69041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1A1BF5A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23E9FB1">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0E59001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39BCDAD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58AFFCEB">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r>
      <w:tr w14:paraId="333A7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7F3F5B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l2br w:val="nil"/>
              <w:tr2bl w:val="nil"/>
            </w:tcBorders>
            <w:shd w:val="clear" w:color="auto" w:fill="DDEBF7"/>
            <w:noWrap w:val="0"/>
            <w:tcMar>
              <w:left w:w="57" w:type="dxa"/>
              <w:right w:w="57" w:type="dxa"/>
            </w:tcMar>
            <w:vAlign w:val="center"/>
          </w:tcPr>
          <w:p w14:paraId="2F20962A">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（六）其他处理</w:t>
            </w:r>
          </w:p>
        </w:tc>
        <w:tc>
          <w:tcPr>
            <w:tcW w:w="3201" w:type="dxa"/>
            <w:tcBorders>
              <w:tl2br w:val="nil"/>
              <w:tr2bl w:val="nil"/>
            </w:tcBorders>
            <w:shd w:val="clear" w:color="auto" w:fill="DDEBF7"/>
            <w:noWrap w:val="0"/>
            <w:tcMar>
              <w:left w:w="57" w:type="dxa"/>
              <w:right w:w="57" w:type="dxa"/>
            </w:tcMar>
            <w:vAlign w:val="center"/>
          </w:tcPr>
          <w:p w14:paraId="1367631C">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1.申请人无正当理由逾期不补正、行政机关不再处理其政府信息公开申请</w:t>
            </w:r>
          </w:p>
        </w:tc>
        <w:tc>
          <w:tcPr>
            <w:tcW w:w="695" w:type="dxa"/>
            <w:tcBorders>
              <w:tl2br w:val="nil"/>
              <w:tr2bl w:val="nil"/>
            </w:tcBorders>
            <w:noWrap w:val="0"/>
            <w:tcMar>
              <w:left w:w="57" w:type="dxa"/>
              <w:right w:w="57" w:type="dxa"/>
            </w:tcMar>
            <w:vAlign w:val="center"/>
          </w:tcPr>
          <w:p w14:paraId="7D640F1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EADF873">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0FB71C8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13AFBF80">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A85883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20F360B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755A0775">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r>
      <w:tr w14:paraId="7ECB7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208873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767496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center"/>
          </w:tcPr>
          <w:p w14:paraId="56B401D2">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2.申请人逾期未按收费通知要求缴纳费用、行政机关不再处理其政府信息公开申请</w:t>
            </w:r>
          </w:p>
        </w:tc>
        <w:tc>
          <w:tcPr>
            <w:tcW w:w="695" w:type="dxa"/>
            <w:tcBorders>
              <w:tl2br w:val="nil"/>
              <w:tr2bl w:val="nil"/>
            </w:tcBorders>
            <w:noWrap w:val="0"/>
            <w:tcMar>
              <w:left w:w="57" w:type="dxa"/>
              <w:right w:w="57" w:type="dxa"/>
            </w:tcMar>
            <w:vAlign w:val="center"/>
          </w:tcPr>
          <w:p w14:paraId="7A09BD64">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78DBA529">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BDDD24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43B58AC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9DE8D3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03C27DEC">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center"/>
          </w:tcPr>
          <w:p w14:paraId="47AEF8A5">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r>
      <w:tr w14:paraId="2F562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4040F8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l2br w:val="nil"/>
              <w:tr2bl w:val="nil"/>
            </w:tcBorders>
            <w:shd w:val="clear" w:color="auto" w:fill="DDEBF7"/>
            <w:noWrap w:val="0"/>
            <w:tcMar>
              <w:left w:w="57" w:type="dxa"/>
              <w:right w:w="57" w:type="dxa"/>
            </w:tcMar>
            <w:vAlign w:val="center"/>
          </w:tcPr>
          <w:p w14:paraId="3D0396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01" w:type="dxa"/>
            <w:tcBorders>
              <w:tl2br w:val="nil"/>
              <w:tr2bl w:val="nil"/>
            </w:tcBorders>
            <w:shd w:val="clear" w:color="auto" w:fill="DDEBF7"/>
            <w:noWrap w:val="0"/>
            <w:tcMar>
              <w:left w:w="57" w:type="dxa"/>
              <w:right w:w="57" w:type="dxa"/>
            </w:tcMar>
            <w:vAlign w:val="center"/>
          </w:tcPr>
          <w:p w14:paraId="49D0C647">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3.其他</w:t>
            </w:r>
          </w:p>
        </w:tc>
        <w:tc>
          <w:tcPr>
            <w:tcW w:w="695" w:type="dxa"/>
            <w:tcBorders>
              <w:tl2br w:val="nil"/>
              <w:tr2bl w:val="nil"/>
            </w:tcBorders>
            <w:noWrap w:val="0"/>
            <w:tcMar>
              <w:left w:w="57" w:type="dxa"/>
              <w:right w:w="57" w:type="dxa"/>
            </w:tcMar>
            <w:vAlign w:val="center"/>
          </w:tcPr>
          <w:p w14:paraId="0A532CF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09E574F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707E7C7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5FFE586">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214F65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291C534B">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5749E455">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r>
      <w:tr w14:paraId="4C4BE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shd w:val="clear" w:color="auto" w:fill="BDD7EE"/>
            <w:noWrap w:val="0"/>
            <w:tcMar>
              <w:left w:w="57" w:type="dxa"/>
              <w:right w:w="57" w:type="dxa"/>
            </w:tcMar>
            <w:vAlign w:val="center"/>
          </w:tcPr>
          <w:p w14:paraId="249335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4" w:type="dxa"/>
            <w:gridSpan w:val="2"/>
            <w:tcBorders>
              <w:tl2br w:val="nil"/>
              <w:tr2bl w:val="nil"/>
            </w:tcBorders>
            <w:shd w:val="clear" w:color="auto" w:fill="DDEBF7"/>
            <w:noWrap w:val="0"/>
            <w:tcMar>
              <w:left w:w="57" w:type="dxa"/>
              <w:right w:w="57" w:type="dxa"/>
            </w:tcMar>
            <w:vAlign w:val="center"/>
          </w:tcPr>
          <w:p w14:paraId="19EEC923">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（七）总计</w:t>
            </w:r>
          </w:p>
        </w:tc>
        <w:tc>
          <w:tcPr>
            <w:tcW w:w="695" w:type="dxa"/>
            <w:tcBorders>
              <w:tl2br w:val="nil"/>
              <w:tr2bl w:val="nil"/>
            </w:tcBorders>
            <w:noWrap w:val="0"/>
            <w:tcMar>
              <w:left w:w="57" w:type="dxa"/>
              <w:right w:w="57" w:type="dxa"/>
            </w:tcMar>
            <w:vAlign w:val="center"/>
          </w:tcPr>
          <w:p w14:paraId="66E93214">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79983D5">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27E61F38">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61C5AF6E">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9" w:type="dxa"/>
            <w:tcBorders>
              <w:tl2br w:val="nil"/>
              <w:tr2bl w:val="nil"/>
            </w:tcBorders>
            <w:noWrap w:val="0"/>
            <w:tcMar>
              <w:left w:w="57" w:type="dxa"/>
              <w:right w:w="57" w:type="dxa"/>
            </w:tcMar>
            <w:vAlign w:val="center"/>
          </w:tcPr>
          <w:p w14:paraId="5FC4BC62">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88" w:type="dxa"/>
            <w:tcBorders>
              <w:tl2br w:val="nil"/>
              <w:tr2bl w:val="nil"/>
            </w:tcBorders>
            <w:noWrap w:val="0"/>
            <w:tcMar>
              <w:left w:w="57" w:type="dxa"/>
              <w:right w:w="57" w:type="dxa"/>
            </w:tcMar>
            <w:vAlign w:val="center"/>
          </w:tcPr>
          <w:p w14:paraId="771E690A">
            <w:pPr>
              <w:keepNext w:val="0"/>
              <w:keepLines w:val="0"/>
              <w:widowControl/>
              <w:suppressLineNumbers w:val="0"/>
              <w:spacing w:before="0" w:beforeAutospacing="0" w:after="0" w:afterAutospacing="0"/>
              <w:ind w:left="0" w:right="0"/>
              <w:jc w:val="center"/>
              <w:rPr>
                <w:rFonts w:hint="default" w:cs="Times New Roman"/>
              </w:rPr>
            </w:pPr>
            <w:r>
              <w:rPr>
                <w:rFonts w:hint="eastAsia" w:cs="Times New Roman"/>
                <w:lang w:val="en-US" w:eastAsia="zh-CN"/>
              </w:rPr>
              <w:t>0</w:t>
            </w:r>
          </w:p>
        </w:tc>
        <w:tc>
          <w:tcPr>
            <w:tcW w:w="697" w:type="dxa"/>
            <w:tcBorders>
              <w:tl2br w:val="nil"/>
              <w:tr2bl w:val="nil"/>
            </w:tcBorders>
            <w:noWrap w:val="0"/>
            <w:tcMar>
              <w:left w:w="57" w:type="dxa"/>
              <w:right w:w="57" w:type="dxa"/>
            </w:tcMar>
            <w:vAlign w:val="top"/>
          </w:tcPr>
          <w:p w14:paraId="52938019">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r>
      <w:tr w14:paraId="42486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12" w:type="dxa"/>
            <w:gridSpan w:val="3"/>
            <w:tcBorders>
              <w:tl2br w:val="nil"/>
              <w:tr2bl w:val="nil"/>
            </w:tcBorders>
            <w:shd w:val="clear" w:color="auto" w:fill="BDD7EE"/>
            <w:noWrap w:val="0"/>
            <w:tcMar>
              <w:left w:w="57" w:type="dxa"/>
              <w:right w:w="57" w:type="dxa"/>
            </w:tcMar>
            <w:vAlign w:val="center"/>
          </w:tcPr>
          <w:p w14:paraId="20897B24">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四、结转下年度继续办理</w:t>
            </w:r>
          </w:p>
        </w:tc>
        <w:tc>
          <w:tcPr>
            <w:tcW w:w="0" w:type="auto"/>
            <w:tcBorders>
              <w:tl2br w:val="nil"/>
              <w:tr2bl w:val="nil"/>
            </w:tcBorders>
            <w:noWrap w:val="0"/>
            <w:vAlign w:val="center"/>
          </w:tcPr>
          <w:p w14:paraId="70B6DF4C">
            <w:pPr>
              <w:keepNext w:val="0"/>
              <w:keepLines w:val="0"/>
              <w:widowControl/>
              <w:suppressLineNumbers w:val="0"/>
              <w:spacing w:before="0" w:beforeAutospacing="0" w:after="0" w:afterAutospacing="0"/>
              <w:ind w:left="0" w:right="0"/>
              <w:jc w:val="center"/>
              <w:rPr>
                <w:rFonts w:hint="default" w:cs="Times New Roman"/>
                <w:lang w:val="en-US" w:eastAsia="zh-CN"/>
              </w:rPr>
            </w:pPr>
            <w:r>
              <w:rPr>
                <w:rFonts w:hint="eastAsia" w:cs="Times New Roman"/>
                <w:lang w:val="en-US" w:eastAsia="zh-CN"/>
              </w:rPr>
              <w:t xml:space="preserve"> 0</w:t>
            </w:r>
          </w:p>
        </w:tc>
        <w:tc>
          <w:tcPr>
            <w:tcW w:w="0" w:type="auto"/>
            <w:tcBorders>
              <w:tl2br w:val="nil"/>
              <w:tr2bl w:val="nil"/>
            </w:tcBorders>
            <w:noWrap w:val="0"/>
            <w:vAlign w:val="center"/>
          </w:tcPr>
          <w:p w14:paraId="02DA6470">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0" w:type="auto"/>
            <w:tcBorders>
              <w:tl2br w:val="nil"/>
              <w:tr2bl w:val="nil"/>
            </w:tcBorders>
            <w:noWrap w:val="0"/>
            <w:vAlign w:val="center"/>
          </w:tcPr>
          <w:p w14:paraId="647C85DC">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0" w:type="auto"/>
            <w:tcBorders>
              <w:tl2br w:val="nil"/>
              <w:tr2bl w:val="nil"/>
            </w:tcBorders>
            <w:noWrap w:val="0"/>
            <w:vAlign w:val="center"/>
          </w:tcPr>
          <w:p w14:paraId="4C9F9D05">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689" w:type="dxa"/>
            <w:tcBorders>
              <w:tl2br w:val="nil"/>
              <w:tr2bl w:val="nil"/>
            </w:tcBorders>
            <w:noWrap w:val="0"/>
            <w:vAlign w:val="center"/>
          </w:tcPr>
          <w:p w14:paraId="55FB3DB5">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688" w:type="dxa"/>
            <w:tcBorders>
              <w:tl2br w:val="nil"/>
              <w:tr2bl w:val="nil"/>
            </w:tcBorders>
            <w:noWrap w:val="0"/>
            <w:vAlign w:val="center"/>
          </w:tcPr>
          <w:p w14:paraId="6856D459">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0" w:type="auto"/>
            <w:tcBorders>
              <w:tl2br w:val="nil"/>
              <w:tr2bl w:val="nil"/>
            </w:tcBorders>
            <w:noWrap w:val="0"/>
            <w:vAlign w:val="center"/>
          </w:tcPr>
          <w:p w14:paraId="54287CC6">
            <w:pPr>
              <w:keepNext w:val="0"/>
              <w:keepLines w:val="0"/>
              <w:widowControl/>
              <w:suppressLineNumbers w:val="0"/>
              <w:spacing w:before="0" w:beforeAutospacing="0" w:after="0" w:afterAutospacing="0"/>
              <w:ind w:left="0" w:right="0"/>
              <w:jc w:val="center"/>
              <w:rPr>
                <w:rFonts w:hint="default" w:cs="Times New Roman"/>
                <w:lang w:val="en-US" w:eastAsia="zh-CN"/>
              </w:rPr>
            </w:pPr>
            <w:r>
              <w:rPr>
                <w:rFonts w:hint="eastAsia" w:cs="Times New Roman"/>
                <w:lang w:val="en-US" w:eastAsia="zh-CN"/>
              </w:rPr>
              <w:t>0</w:t>
            </w:r>
          </w:p>
        </w:tc>
      </w:tr>
    </w:tbl>
    <w:p w14:paraId="3A04DD5E">
      <w:pPr>
        <w:pStyle w:val="2"/>
        <w:widowControl/>
        <w:ind w:left="420" w:leftChars="200"/>
      </w:pPr>
    </w:p>
    <w:p w14:paraId="5E47F1C7">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14:paraId="0011F4F3">
      <w:pPr>
        <w:widowControl/>
        <w:jc w:val="center"/>
      </w:pP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C386B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7BA2DC2">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052ACF8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行政诉讼</w:t>
            </w:r>
          </w:p>
        </w:tc>
      </w:tr>
      <w:tr w14:paraId="685844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8897996">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3D29A8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431AA14">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B3634C7">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62E5691">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3B827BB5">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7C4F70F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复议后起诉</w:t>
            </w:r>
          </w:p>
        </w:tc>
      </w:tr>
      <w:tr w14:paraId="12D2E7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D6DE1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8A97B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37F1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7DC2B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D1FA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5CBBE8">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325DB2">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8E2C58">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41B9CA">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079C1E">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A299AE">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165C70">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E75016">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F6AB1F">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83DCC9">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r>
      <w:tr w14:paraId="514187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137C07">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BEE7CB">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980C6C">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02257B">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C31283">
            <w:pPr>
              <w:keepNext w:val="0"/>
              <w:keepLines w:val="0"/>
              <w:widowControl/>
              <w:suppressLineNumbers w:val="0"/>
              <w:spacing w:before="0" w:beforeAutospacing="0" w:after="0" w:afterAutospacing="0"/>
              <w:ind w:left="0" w:right="0"/>
              <w:jc w:val="center"/>
              <w:rPr>
                <w:rFonts w:hint="default"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F5318C">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3D1F76">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B44193">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E438DF">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179C13">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4B507E">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5927DB">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42A595">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3D8342">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8FCCCB">
            <w:pPr>
              <w:keepNext w:val="0"/>
              <w:keepLines w:val="0"/>
              <w:widowControl/>
              <w:suppressLineNumbers w:val="0"/>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r>
    </w:tbl>
    <w:p w14:paraId="0EAE0935">
      <w:pPr>
        <w:widowControl/>
        <w:jc w:val="left"/>
      </w:pPr>
    </w:p>
    <w:p w14:paraId="307AA6B5">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14:paraId="567C2561">
      <w:pPr>
        <w:pStyle w:val="2"/>
        <w:widowControl/>
        <w:spacing w:line="560" w:lineRule="exact"/>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eastAsia="zh-CN" w:bidi="ar"/>
        </w:rPr>
        <w:t>存在问题：一是</w:t>
      </w:r>
      <w:r>
        <w:rPr>
          <w:rFonts w:hint="eastAsia" w:ascii="仿宋_GB2312" w:hAnsi="宋体" w:eastAsia="仿宋_GB2312" w:cs="宋体"/>
          <w:spacing w:val="8"/>
          <w:kern w:val="0"/>
          <w:sz w:val="32"/>
          <w:szCs w:val="32"/>
          <w:lang w:val="en-US" w:eastAsia="zh-CN" w:bidi="ar"/>
        </w:rPr>
        <w:t>行政机关对政府信息的公开程度与群众的期待相比还有一定差距，全区各部门依申请公开的水平参差不齐，有待进一步加强。二是主动公开内容范围仍需进一步深化拓展，公开质量需进一步提升。</w:t>
      </w:r>
    </w:p>
    <w:p w14:paraId="65521F0F">
      <w:pPr>
        <w:pStyle w:val="2"/>
        <w:widowControl/>
        <w:spacing w:line="560" w:lineRule="exact"/>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eastAsia="zh-CN" w:bidi="ar"/>
        </w:rPr>
        <w:t>改进情况：一是</w:t>
      </w:r>
      <w:r>
        <w:rPr>
          <w:rFonts w:hint="eastAsia" w:ascii="仿宋_GB2312" w:hAnsi="宋体" w:eastAsia="仿宋_GB2312" w:cs="宋体"/>
          <w:spacing w:val="8"/>
          <w:kern w:val="0"/>
          <w:sz w:val="32"/>
          <w:szCs w:val="32"/>
          <w:lang w:val="en-US" w:eastAsia="zh-CN" w:bidi="ar"/>
        </w:rPr>
        <w:t>持续加强对全区各部门信息公开工作人员的培训力度，进一步提升工作人员信息公开业务的水平。二是进一步深化拓展主动公开内容，丰富公开形式，</w:t>
      </w:r>
      <w:r>
        <w:rPr>
          <w:rFonts w:hint="eastAsia" w:ascii="仿宋_GB2312" w:hAnsi="宋体" w:eastAsia="仿宋_GB2312" w:cs="宋体"/>
          <w:spacing w:val="8"/>
          <w:kern w:val="0"/>
          <w:sz w:val="32"/>
          <w:szCs w:val="32"/>
          <w:lang w:val="en-US" w:eastAsia="zh-Hans" w:bidi="ar"/>
        </w:rPr>
        <w:t>提升公开质量，着眼群众需求，做好</w:t>
      </w:r>
      <w:r>
        <w:rPr>
          <w:rFonts w:hint="eastAsia" w:ascii="仿宋_GB2312" w:hAnsi="宋体" w:eastAsia="仿宋_GB2312" w:cs="宋体"/>
          <w:spacing w:val="8"/>
          <w:kern w:val="0"/>
          <w:sz w:val="32"/>
          <w:szCs w:val="32"/>
          <w:lang w:val="en-US" w:eastAsia="zh-CN" w:bidi="ar"/>
        </w:rPr>
        <w:t>与群众切身利益</w:t>
      </w:r>
      <w:r>
        <w:rPr>
          <w:rFonts w:hint="eastAsia" w:ascii="仿宋_GB2312" w:hAnsi="仿宋_GB2312" w:eastAsia="仿宋_GB2312" w:cs="仿宋_GB2312"/>
          <w:color w:val="000000" w:themeColor="text1"/>
          <w:sz w:val="32"/>
          <w:szCs w:val="32"/>
          <w14:textFill>
            <w14:solidFill>
              <w14:schemeClr w14:val="tx1"/>
            </w14:solidFill>
          </w14:textFill>
        </w:rPr>
        <w:t>密切相关</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群众</w:t>
      </w:r>
      <w:r>
        <w:rPr>
          <w:rFonts w:hint="eastAsia" w:ascii="仿宋_GB2312" w:hAnsi="仿宋_GB2312" w:eastAsia="仿宋_GB2312" w:cs="仿宋_GB2312"/>
          <w:color w:val="000000" w:themeColor="text1"/>
          <w:sz w:val="32"/>
          <w:szCs w:val="32"/>
          <w:lang w:eastAsia="zh-Hans"/>
          <w14:textFill>
            <w14:solidFill>
              <w14:schemeClr w14:val="tx1"/>
            </w14:solidFill>
          </w14:textFill>
        </w:rPr>
        <w:t>最为</w:t>
      </w:r>
      <w:r>
        <w:rPr>
          <w:rFonts w:hint="eastAsia" w:ascii="仿宋_GB2312" w:hAnsi="仿宋_GB2312" w:eastAsia="仿宋_GB2312" w:cs="仿宋_GB2312"/>
          <w:color w:val="000000" w:themeColor="text1"/>
          <w:sz w:val="32"/>
          <w:szCs w:val="32"/>
          <w14:textFill>
            <w14:solidFill>
              <w14:schemeClr w14:val="tx1"/>
            </w14:solidFill>
          </w14:textFill>
        </w:rPr>
        <w:t>关心</w:t>
      </w:r>
      <w:r>
        <w:rPr>
          <w:rFonts w:hint="eastAsia" w:ascii="仿宋_GB2312" w:hAnsi="仿宋_GB2312" w:eastAsia="仿宋_GB2312" w:cs="仿宋_GB2312"/>
          <w:color w:val="000000" w:themeColor="text1"/>
          <w:sz w:val="32"/>
          <w:szCs w:val="32"/>
          <w:lang w:eastAsia="zh-Hans"/>
          <w14:textFill>
            <w14:solidFill>
              <w14:schemeClr w14:val="tx1"/>
            </w14:solidFill>
          </w14:textFill>
        </w:rPr>
        <w:t>的政府信息公开</w:t>
      </w:r>
      <w:r>
        <w:rPr>
          <w:rFonts w:hint="eastAsia" w:ascii="仿宋_GB2312" w:hAnsi="仿宋_GB2312" w:eastAsia="仿宋_GB2312" w:cs="仿宋_GB2312"/>
          <w:color w:val="000000" w:themeColor="text1"/>
          <w:sz w:val="32"/>
          <w:szCs w:val="32"/>
          <w14:textFill>
            <w14:solidFill>
              <w14:schemeClr w14:val="tx1"/>
            </w14:solidFill>
          </w14:textFill>
        </w:rPr>
        <w:t>。</w:t>
      </w:r>
    </w:p>
    <w:p w14:paraId="70A47B0C">
      <w:pPr>
        <w:pStyle w:val="2"/>
        <w:widowControl/>
        <w:spacing w:line="560" w:lineRule="exact"/>
        <w:ind w:firstLine="672" w:firstLineChars="200"/>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六、其他需要报告的事项</w:t>
      </w:r>
    </w:p>
    <w:p w14:paraId="208F2B81">
      <w:pPr>
        <w:pStyle w:val="2"/>
        <w:widowControl/>
        <w:spacing w:line="560" w:lineRule="exact"/>
        <w:rPr>
          <w:rFonts w:hint="default" w:ascii="仿宋_GB2312" w:hAnsi="宋体" w:eastAsia="仿宋_GB2312" w:cs="宋体"/>
          <w:spacing w:val="8"/>
          <w:kern w:val="0"/>
          <w:sz w:val="32"/>
          <w:szCs w:val="32"/>
          <w:lang w:val="en-US" w:eastAsia="zh-CN" w:bidi="ar"/>
        </w:rPr>
      </w:pPr>
      <w:r>
        <w:rPr>
          <w:rFonts w:ascii="微软雅黑" w:hAnsi="微软雅黑" w:eastAsia="微软雅黑" w:cs="宋体"/>
          <w:color w:val="404040"/>
          <w:kern w:val="0"/>
          <w:sz w:val="32"/>
          <w:szCs w:val="32"/>
        </w:rPr>
        <w:t xml:space="preserve"> </w:t>
      </w:r>
      <w:r>
        <w:rPr>
          <w:rFonts w:hint="eastAsia" w:ascii="微软雅黑" w:hAnsi="微软雅黑" w:eastAsia="微软雅黑" w:cs="宋体"/>
          <w:color w:val="404040"/>
          <w:kern w:val="0"/>
          <w:sz w:val="32"/>
          <w:szCs w:val="32"/>
          <w:lang w:val="en-US" w:eastAsia="zh-CN"/>
        </w:rPr>
        <w:t xml:space="preserve">   </w:t>
      </w:r>
      <w:r>
        <w:rPr>
          <w:rFonts w:hint="eastAsia" w:ascii="仿宋_GB2312" w:hAnsi="宋体" w:eastAsia="仿宋_GB2312" w:cs="宋体"/>
          <w:spacing w:val="8"/>
          <w:kern w:val="0"/>
          <w:sz w:val="32"/>
          <w:szCs w:val="32"/>
          <w:lang w:val="en-US" w:eastAsia="zh-CN" w:bidi="ar"/>
        </w:rPr>
        <w:t>2023年度本机关未收取信息处理费。发出收费通知的件数和总金额，以及实际收取的总金额均为0。</w:t>
      </w:r>
    </w:p>
    <w:p w14:paraId="74EA4C78">
      <w:pPr>
        <w:spacing w:line="560" w:lineRule="exact"/>
        <w:rPr>
          <w:rFonts w:hint="eastAsia" w:ascii="黑体" w:hAnsi="宋体" w:eastAsia="黑体" w:cs="黑体"/>
          <w:color w:val="000000"/>
          <w:sz w:val="32"/>
          <w:szCs w:val="32"/>
        </w:rPr>
      </w:pPr>
    </w:p>
    <w:p w14:paraId="4D36748A">
      <w:pPr>
        <w:spacing w:line="560" w:lineRule="exact"/>
        <w:rPr>
          <w:rFonts w:hint="eastAsia" w:ascii="黑体" w:hAnsi="宋体" w:eastAsia="黑体" w:cs="黑体"/>
          <w:color w:val="000000"/>
          <w:sz w:val="32"/>
          <w:szCs w:val="32"/>
        </w:rPr>
      </w:pPr>
    </w:p>
    <w:p w14:paraId="44B23AE3">
      <w:pPr>
        <w:spacing w:line="560" w:lineRule="exact"/>
        <w:rPr>
          <w:rFonts w:hint="eastAsia" w:ascii="黑体" w:hAnsi="宋体" w:eastAsia="黑体" w:cs="黑体"/>
          <w:color w:val="000000"/>
          <w:sz w:val="32"/>
          <w:szCs w:val="32"/>
        </w:rPr>
      </w:pPr>
    </w:p>
    <w:p w14:paraId="74182E57">
      <w:pPr>
        <w:spacing w:line="560" w:lineRule="exact"/>
        <w:rPr>
          <w:rFonts w:hint="eastAsia" w:ascii="黑体" w:hAnsi="宋体" w:eastAsia="黑体" w:cs="黑体"/>
          <w:color w:val="000000"/>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jA2YTY2OGNlZTNjOTUyZDg3MTc4MzFhMmQzNmYifQ=="/>
  </w:docVars>
  <w:rsids>
    <w:rsidRoot w:val="492F49D6"/>
    <w:rsid w:val="001F4812"/>
    <w:rsid w:val="004B2FB0"/>
    <w:rsid w:val="0060134E"/>
    <w:rsid w:val="006045DF"/>
    <w:rsid w:val="00691938"/>
    <w:rsid w:val="0092311A"/>
    <w:rsid w:val="009B6313"/>
    <w:rsid w:val="00D9317F"/>
    <w:rsid w:val="00FA09A7"/>
    <w:rsid w:val="0172565B"/>
    <w:rsid w:val="028A4B1C"/>
    <w:rsid w:val="0343052F"/>
    <w:rsid w:val="04D9445B"/>
    <w:rsid w:val="054E41D5"/>
    <w:rsid w:val="07D76C52"/>
    <w:rsid w:val="09531351"/>
    <w:rsid w:val="0C8F5146"/>
    <w:rsid w:val="0DA8654E"/>
    <w:rsid w:val="0E267CBA"/>
    <w:rsid w:val="0E74527E"/>
    <w:rsid w:val="0F190503"/>
    <w:rsid w:val="0F6C3E90"/>
    <w:rsid w:val="110A1410"/>
    <w:rsid w:val="12955D8D"/>
    <w:rsid w:val="13083D84"/>
    <w:rsid w:val="13BF0BA5"/>
    <w:rsid w:val="14132743"/>
    <w:rsid w:val="142963F0"/>
    <w:rsid w:val="15BB2E65"/>
    <w:rsid w:val="164E2C3A"/>
    <w:rsid w:val="17A7437B"/>
    <w:rsid w:val="182946B0"/>
    <w:rsid w:val="195D0E45"/>
    <w:rsid w:val="1D911516"/>
    <w:rsid w:val="1F16797C"/>
    <w:rsid w:val="1F7E2F27"/>
    <w:rsid w:val="1F875A10"/>
    <w:rsid w:val="1FA30C1B"/>
    <w:rsid w:val="20183E4D"/>
    <w:rsid w:val="20BC526D"/>
    <w:rsid w:val="2273501E"/>
    <w:rsid w:val="235C5492"/>
    <w:rsid w:val="23E94174"/>
    <w:rsid w:val="24C03A6E"/>
    <w:rsid w:val="24E60F5F"/>
    <w:rsid w:val="26A216AF"/>
    <w:rsid w:val="272F2A43"/>
    <w:rsid w:val="27AA5D09"/>
    <w:rsid w:val="28965AB8"/>
    <w:rsid w:val="298C0DC5"/>
    <w:rsid w:val="2AFF3E13"/>
    <w:rsid w:val="2B1B7E8A"/>
    <w:rsid w:val="2B9721B6"/>
    <w:rsid w:val="2BA216BA"/>
    <w:rsid w:val="2DA749D4"/>
    <w:rsid w:val="2EB12DD0"/>
    <w:rsid w:val="2FC72E70"/>
    <w:rsid w:val="2FF47C78"/>
    <w:rsid w:val="30C568F8"/>
    <w:rsid w:val="32C2038A"/>
    <w:rsid w:val="33F511B9"/>
    <w:rsid w:val="35961C7F"/>
    <w:rsid w:val="35EC5F82"/>
    <w:rsid w:val="38BA719F"/>
    <w:rsid w:val="38C86C52"/>
    <w:rsid w:val="39B04ED1"/>
    <w:rsid w:val="39F226AE"/>
    <w:rsid w:val="3B257B15"/>
    <w:rsid w:val="3CBC762B"/>
    <w:rsid w:val="3E484AEC"/>
    <w:rsid w:val="3E870DD4"/>
    <w:rsid w:val="3FCB35ED"/>
    <w:rsid w:val="41967339"/>
    <w:rsid w:val="42491E6C"/>
    <w:rsid w:val="43CB511F"/>
    <w:rsid w:val="45A16866"/>
    <w:rsid w:val="46D21D3A"/>
    <w:rsid w:val="477F51BA"/>
    <w:rsid w:val="48574942"/>
    <w:rsid w:val="492F49D6"/>
    <w:rsid w:val="49560DE7"/>
    <w:rsid w:val="4A4A59A3"/>
    <w:rsid w:val="4B4C6E6B"/>
    <w:rsid w:val="4CA9447D"/>
    <w:rsid w:val="4E8E3028"/>
    <w:rsid w:val="4EE34282"/>
    <w:rsid w:val="4EF1094F"/>
    <w:rsid w:val="4F1847B1"/>
    <w:rsid w:val="4F551934"/>
    <w:rsid w:val="4FFD182B"/>
    <w:rsid w:val="509D090C"/>
    <w:rsid w:val="591C41D4"/>
    <w:rsid w:val="59E43BBD"/>
    <w:rsid w:val="5ACF61D3"/>
    <w:rsid w:val="5B201693"/>
    <w:rsid w:val="5B773857"/>
    <w:rsid w:val="5BDC4BB8"/>
    <w:rsid w:val="5C4539A1"/>
    <w:rsid w:val="5D0073F7"/>
    <w:rsid w:val="5D0A0818"/>
    <w:rsid w:val="5DAA3F5F"/>
    <w:rsid w:val="5E266C3D"/>
    <w:rsid w:val="617F495D"/>
    <w:rsid w:val="62BE0F80"/>
    <w:rsid w:val="62E052C0"/>
    <w:rsid w:val="65E2182C"/>
    <w:rsid w:val="680072BF"/>
    <w:rsid w:val="68280AF7"/>
    <w:rsid w:val="69BC5F4D"/>
    <w:rsid w:val="6DE77776"/>
    <w:rsid w:val="6E9C0989"/>
    <w:rsid w:val="72710403"/>
    <w:rsid w:val="72D553D8"/>
    <w:rsid w:val="78DB1347"/>
    <w:rsid w:val="7ABB42C1"/>
    <w:rsid w:val="7C610597"/>
    <w:rsid w:val="7E6F0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unhideWhenUsed/>
    <w:qFormat/>
    <w:uiPriority w:val="1"/>
    <w:rPr>
      <w:rFonts w:ascii="Tahoma" w:hAnsi="Tahoma"/>
      <w:sz w:val="24"/>
      <w:szCs w:val="20"/>
    </w:rPr>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pPr>
      <w:keepNext w:val="0"/>
      <w:keepLines w:val="0"/>
      <w:widowControl w:val="0"/>
      <w:suppressLineNumbers w:val="0"/>
      <w:spacing w:before="0" w:beforeAutospacing="0" w:after="0" w:afterAutospacing="0"/>
      <w:ind w:left="0" w:right="0"/>
      <w:jc w:val="both"/>
    </w:pPr>
    <w:rPr>
      <w:rFonts w:hint="eastAsia" w:ascii="等线" w:hAnsi="Courier New" w:eastAsia="等线" w:cs="Courier New"/>
      <w:kern w:val="2"/>
      <w:sz w:val="21"/>
      <w:szCs w:val="24"/>
      <w:lang w:val="en-US" w:eastAsia="zh-CN" w:bidi="ar"/>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 Char Char1"/>
    <w:basedOn w:val="1"/>
    <w:link w:val="8"/>
    <w:qFormat/>
    <w:uiPriority w:val="0"/>
    <w:rPr>
      <w:rFonts w:ascii="Tahoma" w:hAnsi="Tahoma"/>
      <w:sz w:val="24"/>
      <w:szCs w:val="20"/>
    </w:rPr>
  </w:style>
  <w:style w:type="character" w:styleId="10">
    <w:name w:val="Hyperlink"/>
    <w:basedOn w:val="8"/>
    <w:unhideWhenUsed/>
    <w:qFormat/>
    <w:uiPriority w:val="0"/>
    <w:rPr>
      <w:color w:val="000000"/>
      <w:u w:val="none"/>
    </w:rPr>
  </w:style>
  <w:style w:type="character" w:customStyle="1" w:styleId="11">
    <w:name w:val="纯文本 字符"/>
    <w:link w:val="2"/>
    <w:qFormat/>
    <w:uiPriority w:val="0"/>
    <w:rPr>
      <w:rFonts w:hint="eastAsia" w:ascii="等线" w:hAnsi="Courier New" w:eastAsia="等线" w:cs="Courier New"/>
      <w:kern w:val="2"/>
      <w:sz w:val="21"/>
      <w:szCs w:val="24"/>
    </w:rPr>
  </w:style>
  <w:style w:type="character" w:customStyle="1" w:styleId="12">
    <w:name w:val="页脚 字符1"/>
    <w:link w:val="3"/>
    <w:qFormat/>
    <w:uiPriority w:val="0"/>
    <w:rPr>
      <w:rFonts w:ascii="Calibri" w:hAnsi="Calibri" w:eastAsia="宋体" w:cs="Times New Roman"/>
      <w:kern w:val="2"/>
      <w:sz w:val="18"/>
      <w:szCs w:val="18"/>
    </w:rPr>
  </w:style>
  <w:style w:type="character" w:customStyle="1" w:styleId="13">
    <w:name w:val="页眉 字符"/>
    <w:link w:val="4"/>
    <w:qFormat/>
    <w:uiPriority w:val="0"/>
    <w:rPr>
      <w:rFonts w:ascii="Calibri" w:hAnsi="Calibri" w:eastAsia="宋体" w:cs="Times New Roman"/>
      <w:kern w:val="2"/>
      <w:sz w:val="18"/>
      <w:szCs w:val="18"/>
    </w:rPr>
  </w:style>
  <w:style w:type="character" w:customStyle="1" w:styleId="14">
    <w:name w:val="页脚 字符"/>
    <w:link w:val="3"/>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审改处</Company>
  <Pages>5</Pages>
  <Words>1052</Words>
  <Characters>1073</Characters>
  <Lines>56</Lines>
  <Paragraphs>15</Paragraphs>
  <TotalTime>4</TotalTime>
  <ScaleCrop>false</ScaleCrop>
  <LinksUpToDate>false</LinksUpToDate>
  <CharactersWithSpaces>1080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2019-10-14T01:35:00Z</dcterms:created>
  <dc:creator>thinkpad</dc:creator>
  <cp:lastModifiedBy>capinfo</cp:lastModifiedBy>
  <cp:lastPrinted>2024-01-24T06:25:00Z</cp:lastPrinted>
  <dcterms:modified xsi:type="dcterms:W3CDTF">2024-11-29T05:54:12Z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3B18B4614EF24D939190EC99C5D7909A_13</vt:lpwstr>
  </property>
</Properties>
</file>