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9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456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08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16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widowControl/>
        <w:tabs>
          <w:tab w:val="left" w:pos="7513"/>
        </w:tabs>
        <w:spacing w:line="560" w:lineRule="exact"/>
        <w:jc w:val="left"/>
      </w:pPr>
    </w:p>
    <w:sectPr>
      <w:footerReference r:id="rId6" w:type="default"/>
      <w:footerReference r:id="rId7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80"/>
      <w:jc w:val="left"/>
      <w:rPr>
        <w:rFonts w:eastAsia="宋体"/>
        <w:sz w:val="18"/>
        <w:szCs w:val="18"/>
      </w:rPr>
    </w:pPr>
    <w:r>
      <w:rPr>
        <w:rStyle w:val="12"/>
        <w:rFonts w:ascii="Calibri" w:hAnsi="Calibri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ascii="Calibri" w:hAnsi="Calibri" w:eastAsia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JjYTMxZDNiMDg3OWYyZTYyNmZiYzdiZDMyYjYifQ=="/>
    <w:docVar w:name="KGWebUrl" w:val="http://172.26.80.117:80/seeyon/officeservlet"/>
  </w:docVars>
  <w:rsids>
    <w:rsidRoot w:val="16E401CC"/>
    <w:rsid w:val="001A1FC5"/>
    <w:rsid w:val="00383B43"/>
    <w:rsid w:val="00847EAF"/>
    <w:rsid w:val="00C32795"/>
    <w:rsid w:val="01856881"/>
    <w:rsid w:val="064F0082"/>
    <w:rsid w:val="068F00E1"/>
    <w:rsid w:val="0B1F5E83"/>
    <w:rsid w:val="10BF0005"/>
    <w:rsid w:val="14123C2A"/>
    <w:rsid w:val="16E401CC"/>
    <w:rsid w:val="1AB04D0D"/>
    <w:rsid w:val="1BC752FA"/>
    <w:rsid w:val="1F5F4F7E"/>
    <w:rsid w:val="22491C56"/>
    <w:rsid w:val="29907C3F"/>
    <w:rsid w:val="2BE412CA"/>
    <w:rsid w:val="2BF77F01"/>
    <w:rsid w:val="2D827D1E"/>
    <w:rsid w:val="2DA03BFD"/>
    <w:rsid w:val="303005C8"/>
    <w:rsid w:val="342560BC"/>
    <w:rsid w:val="34EC4C37"/>
    <w:rsid w:val="352B24C3"/>
    <w:rsid w:val="36FC9BE7"/>
    <w:rsid w:val="38A8133A"/>
    <w:rsid w:val="39DB03B0"/>
    <w:rsid w:val="3A325BDD"/>
    <w:rsid w:val="3C207A22"/>
    <w:rsid w:val="3D5E0C45"/>
    <w:rsid w:val="3E8527A2"/>
    <w:rsid w:val="412C782A"/>
    <w:rsid w:val="42277FF1"/>
    <w:rsid w:val="42BD3C4A"/>
    <w:rsid w:val="445D3057"/>
    <w:rsid w:val="454C021D"/>
    <w:rsid w:val="45E55DAC"/>
    <w:rsid w:val="46CF1AB8"/>
    <w:rsid w:val="47A8519E"/>
    <w:rsid w:val="492905A3"/>
    <w:rsid w:val="49F8204D"/>
    <w:rsid w:val="4A015677"/>
    <w:rsid w:val="4DAF4C6A"/>
    <w:rsid w:val="514F07F2"/>
    <w:rsid w:val="5429480C"/>
    <w:rsid w:val="55D02E25"/>
    <w:rsid w:val="56461D11"/>
    <w:rsid w:val="581D2F60"/>
    <w:rsid w:val="599315A9"/>
    <w:rsid w:val="5AEB7ABE"/>
    <w:rsid w:val="5E0F1B60"/>
    <w:rsid w:val="613E2453"/>
    <w:rsid w:val="637F5A87"/>
    <w:rsid w:val="65B55A82"/>
    <w:rsid w:val="6D717C1E"/>
    <w:rsid w:val="6E59691F"/>
    <w:rsid w:val="7430760E"/>
    <w:rsid w:val="759F3666"/>
    <w:rsid w:val="75DB226C"/>
    <w:rsid w:val="761958C7"/>
    <w:rsid w:val="77842F43"/>
    <w:rsid w:val="78EE5834"/>
    <w:rsid w:val="79AC5FC4"/>
    <w:rsid w:val="7B1240D2"/>
    <w:rsid w:val="7C661737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  <w:szCs w:val="20"/>
    </w:rPr>
  </w:style>
  <w:style w:type="paragraph" w:styleId="6">
    <w:name w:val="Date"/>
    <w:basedOn w:val="1"/>
    <w:next w:val="1"/>
    <w:unhideWhenUsed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大标题"/>
    <w:next w:val="1"/>
    <w:qFormat/>
    <w:uiPriority w:val="0"/>
    <w:pPr>
      <w:widowControl w:val="0"/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10912</Words>
  <Characters>11364</Characters>
  <Lines>2</Lines>
  <Paragraphs>1</Paragraphs>
  <TotalTime>1</TotalTime>
  <ScaleCrop>false</ScaleCrop>
  <LinksUpToDate>false</LinksUpToDate>
  <CharactersWithSpaces>12072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2022-06-20T05:36:00Z</dcterms:created>
  <dc:creator>Administrator</dc:creator>
  <cp:lastModifiedBy>DSSFS006</cp:lastModifiedBy>
  <dcterms:modified xsi:type="dcterms:W3CDTF">2024-12-02T02:08:27Z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8023C4787FBE427398B05B8949CBD825</vt:lpwstr>
  </property>
</Properties>
</file>