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仿宋" w:hAnsi="仿宋" w:eastAsia="仿宋"/>
          <w:sz w:val="44"/>
          <w:szCs w:val="44"/>
        </w:rPr>
      </w:pPr>
      <w:bookmarkStart w:id="54" w:name="_GoBack"/>
      <w:bookmarkEnd w:id="54"/>
    </w:p>
    <w:p>
      <w:pPr>
        <w:ind w:firstLine="1120"/>
        <w:rPr>
          <w:rFonts w:ascii="仿宋" w:hAnsi="仿宋" w:eastAsia="仿宋"/>
          <w:sz w:val="56"/>
          <w:szCs w:val="52"/>
        </w:rPr>
      </w:pPr>
    </w:p>
    <w:p>
      <w:pPr>
        <w:ind w:firstLine="0" w:firstLineChars="0"/>
        <w:jc w:val="center"/>
        <w:rPr>
          <w:rFonts w:ascii="仿宋" w:hAnsi="仿宋" w:eastAsia="仿宋"/>
          <w:b/>
          <w:sz w:val="56"/>
          <w:szCs w:val="52"/>
        </w:rPr>
      </w:pPr>
      <w:r>
        <w:rPr>
          <w:rFonts w:hint="eastAsia" w:ascii="仿宋" w:hAnsi="仿宋" w:eastAsia="仿宋"/>
          <w:b/>
          <w:sz w:val="56"/>
          <w:szCs w:val="52"/>
        </w:rPr>
        <w:t>西城区</w:t>
      </w:r>
      <w:r>
        <w:rPr>
          <w:rFonts w:ascii="仿宋" w:hAnsi="仿宋" w:eastAsia="仿宋"/>
          <w:b/>
          <w:sz w:val="56"/>
          <w:szCs w:val="52"/>
        </w:rPr>
        <w:t>“</w:t>
      </w:r>
      <w:r>
        <w:rPr>
          <w:rFonts w:hint="eastAsia" w:ascii="仿宋" w:hAnsi="仿宋" w:eastAsia="仿宋"/>
          <w:b/>
          <w:sz w:val="56"/>
          <w:szCs w:val="52"/>
        </w:rPr>
        <w:t>十四五</w:t>
      </w:r>
      <w:r>
        <w:rPr>
          <w:rFonts w:ascii="仿宋" w:hAnsi="仿宋" w:eastAsia="仿宋"/>
          <w:b/>
          <w:sz w:val="56"/>
          <w:szCs w:val="52"/>
        </w:rPr>
        <w:t>”</w:t>
      </w:r>
      <w:r>
        <w:rPr>
          <w:rFonts w:hint="eastAsia" w:ascii="仿宋" w:hAnsi="仿宋" w:eastAsia="仿宋"/>
          <w:b/>
          <w:sz w:val="56"/>
          <w:szCs w:val="52"/>
        </w:rPr>
        <w:t>时期</w:t>
      </w:r>
      <w:r>
        <w:rPr>
          <w:rFonts w:ascii="仿宋" w:hAnsi="仿宋" w:eastAsia="仿宋"/>
          <w:b/>
          <w:sz w:val="56"/>
          <w:szCs w:val="52"/>
        </w:rPr>
        <w:br w:type="textWrapping"/>
      </w:r>
      <w:r>
        <w:rPr>
          <w:rFonts w:ascii="仿宋" w:hAnsi="仿宋" w:eastAsia="仿宋"/>
          <w:b/>
          <w:sz w:val="56"/>
          <w:szCs w:val="52"/>
        </w:rPr>
        <w:t>城市管理发展规划</w:t>
      </w:r>
    </w:p>
    <w:p>
      <w:pPr>
        <w:ind w:firstLine="0" w:firstLineChars="0"/>
        <w:jc w:val="center"/>
        <w:rPr>
          <w:rFonts w:ascii="仿宋" w:hAnsi="仿宋" w:eastAsia="仿宋"/>
          <w:b/>
          <w:sz w:val="56"/>
          <w:szCs w:val="52"/>
        </w:rPr>
      </w:pPr>
    </w:p>
    <w:p>
      <w:pPr>
        <w:ind w:firstLine="1124"/>
        <w:jc w:val="center"/>
        <w:rPr>
          <w:rFonts w:ascii="仿宋" w:hAnsi="仿宋" w:eastAsia="仿宋"/>
          <w:b/>
          <w:sz w:val="56"/>
          <w:szCs w:val="52"/>
        </w:rPr>
      </w:pPr>
    </w:p>
    <w:p>
      <w:pPr>
        <w:ind w:firstLine="1124"/>
        <w:jc w:val="center"/>
        <w:rPr>
          <w:rFonts w:ascii="仿宋" w:hAnsi="仿宋" w:eastAsia="仿宋"/>
          <w:b/>
          <w:sz w:val="56"/>
          <w:szCs w:val="52"/>
        </w:rPr>
      </w:pPr>
    </w:p>
    <w:p>
      <w:pPr>
        <w:ind w:firstLine="1124"/>
        <w:jc w:val="center"/>
        <w:rPr>
          <w:rFonts w:ascii="仿宋" w:hAnsi="仿宋" w:eastAsia="仿宋"/>
          <w:b/>
          <w:sz w:val="56"/>
          <w:szCs w:val="52"/>
        </w:rPr>
      </w:pPr>
    </w:p>
    <w:p>
      <w:pPr>
        <w:ind w:firstLine="1124"/>
        <w:jc w:val="center"/>
        <w:rPr>
          <w:rFonts w:ascii="仿宋" w:hAnsi="仿宋" w:eastAsia="仿宋"/>
          <w:b/>
          <w:sz w:val="56"/>
          <w:szCs w:val="52"/>
        </w:rPr>
      </w:pPr>
    </w:p>
    <w:p>
      <w:pPr>
        <w:ind w:firstLine="1124"/>
        <w:jc w:val="center"/>
        <w:rPr>
          <w:rFonts w:ascii="仿宋" w:hAnsi="仿宋" w:eastAsia="仿宋"/>
          <w:b/>
          <w:sz w:val="56"/>
          <w:szCs w:val="52"/>
        </w:rPr>
      </w:pPr>
    </w:p>
    <w:p>
      <w:pPr>
        <w:ind w:firstLine="1124"/>
        <w:jc w:val="center"/>
        <w:rPr>
          <w:rFonts w:ascii="仿宋" w:hAnsi="仿宋" w:eastAsia="仿宋"/>
          <w:b/>
          <w:sz w:val="56"/>
          <w:szCs w:val="52"/>
        </w:rPr>
      </w:pPr>
    </w:p>
    <w:p>
      <w:pPr>
        <w:ind w:firstLine="0" w:firstLineChars="0"/>
        <w:jc w:val="center"/>
        <w:rPr>
          <w:rFonts w:ascii="仿宋" w:hAnsi="仿宋" w:eastAsia="仿宋"/>
          <w:sz w:val="36"/>
          <w:szCs w:val="36"/>
        </w:rPr>
      </w:pPr>
      <w:r>
        <w:rPr>
          <w:rFonts w:hint="eastAsia" w:ascii="仿宋" w:hAnsi="仿宋" w:eastAsia="仿宋"/>
          <w:sz w:val="36"/>
          <w:szCs w:val="36"/>
        </w:rPr>
        <w:t>北京市西城区</w:t>
      </w:r>
      <w:r>
        <w:rPr>
          <w:rFonts w:ascii="仿宋" w:hAnsi="仿宋" w:eastAsia="仿宋"/>
          <w:sz w:val="36"/>
          <w:szCs w:val="36"/>
        </w:rPr>
        <w:t>城市管理委员会</w:t>
      </w:r>
    </w:p>
    <w:p>
      <w:pPr>
        <w:ind w:firstLine="0" w:firstLineChars="0"/>
        <w:jc w:val="center"/>
        <w:rPr>
          <w:rFonts w:ascii="仿宋" w:hAnsi="仿宋" w:eastAsia="仿宋"/>
          <w:sz w:val="36"/>
          <w:szCs w:val="36"/>
        </w:rPr>
      </w:pPr>
      <w:r>
        <w:rPr>
          <w:rFonts w:hint="eastAsia" w:ascii="仿宋" w:hAnsi="仿宋" w:eastAsia="仿宋"/>
          <w:sz w:val="36"/>
          <w:szCs w:val="36"/>
        </w:rPr>
        <w:t>2020年1</w:t>
      </w:r>
      <w:r>
        <w:rPr>
          <w:rFonts w:ascii="仿宋" w:hAnsi="仿宋" w:eastAsia="仿宋"/>
          <w:sz w:val="36"/>
          <w:szCs w:val="36"/>
        </w:rPr>
        <w:t>2</w:t>
      </w:r>
      <w:r>
        <w:rPr>
          <w:rFonts w:hint="eastAsia" w:ascii="仿宋" w:hAnsi="仿宋" w:eastAsia="仿宋"/>
          <w:sz w:val="36"/>
          <w:szCs w:val="36"/>
        </w:rPr>
        <w:t>月</w:t>
      </w:r>
      <w:r>
        <w:rPr>
          <w:rFonts w:ascii="仿宋" w:hAnsi="仿宋" w:eastAsia="仿宋"/>
          <w:sz w:val="36"/>
          <w:szCs w:val="36"/>
        </w:rPr>
        <w:br w:type="page"/>
      </w:r>
    </w:p>
    <w:sdt>
      <w:sdtPr>
        <w:rPr>
          <w:rFonts w:ascii="仿宋" w:hAnsi="仿宋" w:eastAsia="仿宋"/>
          <w:sz w:val="21"/>
          <w:lang w:val="zh-CN"/>
        </w:rPr>
        <w:id w:val="1310899305"/>
        <w:docPartObj>
          <w:docPartGallery w:val="Table of Contents"/>
          <w:docPartUnique/>
        </w:docPartObj>
      </w:sdtPr>
      <w:sdtEndPr>
        <w:rPr>
          <w:rFonts w:ascii="仿宋" w:hAnsi="仿宋" w:eastAsia="仿宋"/>
          <w:b/>
          <w:bCs/>
          <w:sz w:val="21"/>
          <w:szCs w:val="21"/>
          <w:lang w:val="zh-CN"/>
        </w:rPr>
      </w:sdtEndPr>
      <w:sdtContent>
        <w:p>
          <w:pPr>
            <w:widowControl/>
            <w:ind w:firstLine="0" w:firstLineChars="0"/>
            <w:jc w:val="center"/>
            <w:rPr>
              <w:rFonts w:ascii="仿宋" w:hAnsi="仿宋" w:eastAsia="仿宋"/>
              <w:b/>
              <w:sz w:val="40"/>
            </w:rPr>
          </w:pPr>
          <w:r>
            <w:rPr>
              <w:rFonts w:ascii="仿宋" w:hAnsi="仿宋" w:eastAsia="仿宋"/>
              <w:b/>
            </w:rPr>
            <w:t>目</w:t>
          </w:r>
          <w:r>
            <w:rPr>
              <w:rFonts w:hint="eastAsia" w:ascii="仿宋" w:hAnsi="仿宋" w:eastAsia="仿宋"/>
              <w:b/>
            </w:rPr>
            <w:t xml:space="preserve"> </w:t>
          </w:r>
          <w:r>
            <w:rPr>
              <w:rFonts w:ascii="仿宋" w:hAnsi="仿宋" w:eastAsia="仿宋"/>
              <w:b/>
            </w:rPr>
            <w:t xml:space="preserve"> 录</w:t>
          </w:r>
        </w:p>
        <w:p>
          <w:pPr>
            <w:pStyle w:val="12"/>
            <w:ind w:firstLine="0" w:firstLineChars="0"/>
            <w:rPr>
              <w:sz w:val="21"/>
            </w:rPr>
          </w:pPr>
          <w:r>
            <w:rPr>
              <w:rFonts w:ascii="仿宋" w:hAnsi="仿宋" w:eastAsia="仿宋"/>
              <w:b/>
              <w:bCs/>
              <w:sz w:val="20"/>
              <w:szCs w:val="20"/>
              <w:lang w:val="zh-CN"/>
            </w:rPr>
            <w:fldChar w:fldCharType="begin"/>
          </w:r>
          <w:r>
            <w:rPr>
              <w:rFonts w:ascii="仿宋" w:hAnsi="仿宋" w:eastAsia="仿宋"/>
              <w:b/>
              <w:bCs/>
              <w:sz w:val="20"/>
              <w:szCs w:val="20"/>
              <w:lang w:val="zh-CN"/>
            </w:rPr>
            <w:instrText xml:space="preserve"> TOC \o "1-2" \h \z \u </w:instrText>
          </w:r>
          <w:r>
            <w:rPr>
              <w:rFonts w:ascii="仿宋" w:hAnsi="仿宋" w:eastAsia="仿宋"/>
              <w:b/>
              <w:bCs/>
              <w:sz w:val="20"/>
              <w:szCs w:val="20"/>
              <w:lang w:val="zh-CN"/>
            </w:rPr>
            <w:fldChar w:fldCharType="separate"/>
          </w:r>
          <w:r>
            <w:fldChar w:fldCharType="begin"/>
          </w:r>
          <w:r>
            <w:instrText xml:space="preserve"> HYPERLINK \l "_Toc58491493" </w:instrText>
          </w:r>
          <w:r>
            <w:fldChar w:fldCharType="separate"/>
          </w:r>
          <w:r>
            <w:rPr>
              <w:rStyle w:val="19"/>
              <w:rFonts w:hint="eastAsia" w:ascii="仿宋" w:hAnsi="仿宋" w:eastAsia="仿宋"/>
              <w:b/>
            </w:rPr>
            <w:t>序</w:t>
          </w:r>
          <w:r>
            <w:rPr>
              <w:rStyle w:val="19"/>
              <w:rFonts w:ascii="仿宋" w:hAnsi="仿宋" w:eastAsia="仿宋"/>
              <w:b/>
            </w:rPr>
            <w:t xml:space="preserve"> </w:t>
          </w:r>
          <w:r>
            <w:rPr>
              <w:rStyle w:val="19"/>
              <w:rFonts w:hint="eastAsia" w:ascii="仿宋" w:hAnsi="仿宋" w:eastAsia="仿宋"/>
              <w:b/>
            </w:rPr>
            <w:t>言</w:t>
          </w:r>
          <w:r>
            <w:tab/>
          </w:r>
          <w:r>
            <w:fldChar w:fldCharType="begin"/>
          </w:r>
          <w:r>
            <w:instrText xml:space="preserve"> PAGEREF _Toc58491493 \h </w:instrText>
          </w:r>
          <w:r>
            <w:fldChar w:fldCharType="separate"/>
          </w:r>
          <w:r>
            <w:t>1</w:t>
          </w:r>
          <w:r>
            <w:fldChar w:fldCharType="end"/>
          </w:r>
          <w:r>
            <w:fldChar w:fldCharType="end"/>
          </w:r>
        </w:p>
        <w:p>
          <w:pPr>
            <w:pStyle w:val="12"/>
            <w:ind w:firstLine="0" w:firstLineChars="0"/>
            <w:rPr>
              <w:sz w:val="21"/>
            </w:rPr>
          </w:pPr>
          <w:r>
            <w:fldChar w:fldCharType="begin"/>
          </w:r>
          <w:r>
            <w:instrText xml:space="preserve"> HYPERLINK \l "_Toc58491494" </w:instrText>
          </w:r>
          <w:r>
            <w:fldChar w:fldCharType="separate"/>
          </w:r>
          <w:r>
            <w:rPr>
              <w:rStyle w:val="19"/>
              <w:rFonts w:hint="eastAsia" w:ascii="仿宋" w:hAnsi="仿宋" w:eastAsia="仿宋"/>
              <w:b/>
            </w:rPr>
            <w:t>第一章</w:t>
          </w:r>
          <w:r>
            <w:rPr>
              <w:rStyle w:val="19"/>
              <w:rFonts w:ascii="仿宋" w:hAnsi="仿宋" w:eastAsia="仿宋"/>
              <w:b/>
            </w:rPr>
            <w:t xml:space="preserve"> </w:t>
          </w:r>
          <w:r>
            <w:rPr>
              <w:rStyle w:val="19"/>
              <w:rFonts w:hint="eastAsia" w:ascii="仿宋" w:hAnsi="仿宋" w:eastAsia="仿宋"/>
              <w:b/>
            </w:rPr>
            <w:t>“十三五”时期工作回顾</w:t>
          </w:r>
          <w:r>
            <w:tab/>
          </w:r>
          <w:r>
            <w:fldChar w:fldCharType="begin"/>
          </w:r>
          <w:r>
            <w:instrText xml:space="preserve"> PAGEREF _Toc58491494 \h </w:instrText>
          </w:r>
          <w:r>
            <w:fldChar w:fldCharType="separate"/>
          </w:r>
          <w:r>
            <w:t>3</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"_Toc58491495" </w:instrText>
          </w:r>
          <w:r>
            <w:fldChar w:fldCharType="separate"/>
          </w:r>
          <w:r>
            <w:rPr>
              <w:rStyle w:val="19"/>
              <w:rFonts w:hint="eastAsia" w:ascii="仿宋" w:hAnsi="仿宋" w:eastAsia="仿宋"/>
            </w:rPr>
            <w:t>一、发展成就</w:t>
          </w:r>
          <w:r>
            <w:tab/>
          </w:r>
          <w:r>
            <w:fldChar w:fldCharType="begin"/>
          </w:r>
          <w:r>
            <w:instrText xml:space="preserve"> PAGEREF _Toc58491495 \h </w:instrText>
          </w:r>
          <w:r>
            <w:fldChar w:fldCharType="separate"/>
          </w:r>
          <w:r>
            <w:t>3</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"_Toc58491496" </w:instrText>
          </w:r>
          <w:r>
            <w:fldChar w:fldCharType="separate"/>
          </w:r>
          <w:r>
            <w:rPr>
              <w:rStyle w:val="19"/>
              <w:rFonts w:hint="eastAsia" w:ascii="仿宋" w:hAnsi="仿宋" w:eastAsia="仿宋"/>
            </w:rPr>
            <w:t>二、主要问题</w:t>
          </w:r>
          <w:r>
            <w:tab/>
          </w:r>
          <w:r>
            <w:fldChar w:fldCharType="begin"/>
          </w:r>
          <w:r>
            <w:instrText xml:space="preserve"> PAGEREF _Toc58491496 \h </w:instrText>
          </w:r>
          <w:r>
            <w:fldChar w:fldCharType="separate"/>
          </w:r>
          <w:r>
            <w:t>11</w:t>
          </w:r>
          <w:r>
            <w:fldChar w:fldCharType="end"/>
          </w:r>
          <w:r>
            <w:fldChar w:fldCharType="end"/>
          </w:r>
        </w:p>
        <w:p>
          <w:pPr>
            <w:pStyle w:val="12"/>
            <w:ind w:firstLine="0" w:firstLineChars="0"/>
            <w:rPr>
              <w:sz w:val="21"/>
            </w:rPr>
          </w:pPr>
          <w:r>
            <w:fldChar w:fldCharType="begin"/>
          </w:r>
          <w:r>
            <w:instrText xml:space="preserve"> HYPERLINK \l "_Toc58491497" </w:instrText>
          </w:r>
          <w:r>
            <w:fldChar w:fldCharType="separate"/>
          </w:r>
          <w:r>
            <w:rPr>
              <w:rStyle w:val="19"/>
              <w:rFonts w:hint="eastAsia" w:ascii="仿宋" w:hAnsi="仿宋" w:eastAsia="仿宋"/>
              <w:b/>
            </w:rPr>
            <w:t>第二章</w:t>
          </w:r>
          <w:r>
            <w:rPr>
              <w:rStyle w:val="19"/>
              <w:rFonts w:ascii="仿宋" w:hAnsi="仿宋" w:eastAsia="仿宋"/>
              <w:b/>
            </w:rPr>
            <w:t xml:space="preserve"> </w:t>
          </w:r>
          <w:r>
            <w:rPr>
              <w:rStyle w:val="19"/>
              <w:rFonts w:hint="eastAsia" w:ascii="仿宋" w:hAnsi="仿宋" w:eastAsia="仿宋"/>
              <w:b/>
            </w:rPr>
            <w:t>发展形势与挑战</w:t>
          </w:r>
          <w:r>
            <w:tab/>
          </w:r>
          <w:r>
            <w:fldChar w:fldCharType="begin"/>
          </w:r>
          <w:r>
            <w:instrText xml:space="preserve"> PAGEREF _Toc58491497 \h </w:instrText>
          </w:r>
          <w:r>
            <w:fldChar w:fldCharType="separate"/>
          </w:r>
          <w:r>
            <w:t>14</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"_Toc58491498" </w:instrText>
          </w:r>
          <w:r>
            <w:fldChar w:fldCharType="separate"/>
          </w:r>
          <w:r>
            <w:rPr>
              <w:rStyle w:val="19"/>
              <w:rFonts w:hint="eastAsia" w:ascii="仿宋" w:hAnsi="仿宋" w:eastAsia="仿宋"/>
            </w:rPr>
            <w:t>一、西城区作为首都功能核心区迎来历史性新起点</w:t>
          </w:r>
          <w:r>
            <w:tab/>
          </w:r>
          <w:r>
            <w:fldChar w:fldCharType="begin"/>
          </w:r>
          <w:r>
            <w:instrText xml:space="preserve"> PAGEREF _Toc58491498 \h </w:instrText>
          </w:r>
          <w:r>
            <w:fldChar w:fldCharType="separate"/>
          </w:r>
          <w:r>
            <w:t>14</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"_Toc58491499" </w:instrText>
          </w:r>
          <w:r>
            <w:fldChar w:fldCharType="separate"/>
          </w:r>
          <w:r>
            <w:rPr>
              <w:rStyle w:val="19"/>
              <w:rFonts w:hint="eastAsia" w:ascii="仿宋" w:hAnsi="仿宋" w:eastAsia="仿宋"/>
            </w:rPr>
            <w:t>二、满足人民日益增长的美好生活需要成为核心任务</w:t>
          </w:r>
          <w:r>
            <w:tab/>
          </w:r>
          <w:r>
            <w:fldChar w:fldCharType="begin"/>
          </w:r>
          <w:r>
            <w:instrText xml:space="preserve"> PAGEREF _Toc58491499 \h </w:instrText>
          </w:r>
          <w:r>
            <w:fldChar w:fldCharType="separate"/>
          </w:r>
          <w:r>
            <w:t>14</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"_Toc58491500" </w:instrText>
          </w:r>
          <w:r>
            <w:fldChar w:fldCharType="separate"/>
          </w:r>
          <w:r>
            <w:rPr>
              <w:rStyle w:val="19"/>
              <w:rFonts w:hint="eastAsia" w:ascii="仿宋" w:hAnsi="仿宋" w:eastAsia="仿宋"/>
            </w:rPr>
            <w:t>三、与新一代信息技术深度融合成为治理现代化的重要着力点</w:t>
          </w:r>
          <w:r>
            <w:tab/>
          </w:r>
          <w:r>
            <w:fldChar w:fldCharType="begin"/>
          </w:r>
          <w:r>
            <w:instrText xml:space="preserve"> PAGEREF _Toc58491500 \h </w:instrText>
          </w:r>
          <w:r>
            <w:fldChar w:fldCharType="separate"/>
          </w:r>
          <w:r>
            <w:t>15</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"_Toc58491501" </w:instrText>
          </w:r>
          <w:r>
            <w:fldChar w:fldCharType="separate"/>
          </w:r>
          <w:r>
            <w:rPr>
              <w:rStyle w:val="19"/>
              <w:rFonts w:hint="eastAsia" w:ascii="仿宋" w:hAnsi="仿宋" w:eastAsia="仿宋"/>
            </w:rPr>
            <w:t>四、防范化解重大风险是迈向高质量发展必须跨越的关口</w:t>
          </w:r>
          <w:r>
            <w:tab/>
          </w:r>
          <w:r>
            <w:fldChar w:fldCharType="begin"/>
          </w:r>
          <w:r>
            <w:instrText xml:space="preserve"> PAGEREF _Toc58491501 \h </w:instrText>
          </w:r>
          <w:r>
            <w:fldChar w:fldCharType="separate"/>
          </w:r>
          <w:r>
            <w:t>15</w:t>
          </w:r>
          <w:r>
            <w:fldChar w:fldCharType="end"/>
          </w:r>
          <w:r>
            <w:fldChar w:fldCharType="end"/>
          </w:r>
        </w:p>
        <w:p>
          <w:pPr>
            <w:pStyle w:val="12"/>
            <w:ind w:firstLine="0" w:firstLineChars="0"/>
            <w:rPr>
              <w:sz w:val="21"/>
            </w:rPr>
          </w:pPr>
          <w:r>
            <w:fldChar w:fldCharType="begin"/>
          </w:r>
          <w:r>
            <w:instrText xml:space="preserve"> HYPERLINK \l "_Toc58491502" </w:instrText>
          </w:r>
          <w:r>
            <w:fldChar w:fldCharType="separate"/>
          </w:r>
          <w:r>
            <w:rPr>
              <w:rStyle w:val="19"/>
              <w:rFonts w:hint="eastAsia" w:ascii="仿宋" w:hAnsi="仿宋" w:eastAsia="仿宋"/>
              <w:b/>
            </w:rPr>
            <w:t>第三章</w:t>
          </w:r>
          <w:r>
            <w:rPr>
              <w:rStyle w:val="19"/>
              <w:rFonts w:ascii="仿宋" w:hAnsi="仿宋" w:eastAsia="仿宋"/>
              <w:b/>
            </w:rPr>
            <w:t xml:space="preserve"> </w:t>
          </w:r>
          <w:r>
            <w:rPr>
              <w:rStyle w:val="19"/>
              <w:rFonts w:hint="eastAsia" w:ascii="仿宋" w:hAnsi="仿宋" w:eastAsia="仿宋"/>
              <w:b/>
            </w:rPr>
            <w:t>发展思路与发展目标</w:t>
          </w:r>
          <w:r>
            <w:tab/>
          </w:r>
          <w:r>
            <w:fldChar w:fldCharType="begin"/>
          </w:r>
          <w:r>
            <w:instrText xml:space="preserve"> PAGEREF _Toc58491502 \h </w:instrText>
          </w:r>
          <w:r>
            <w:fldChar w:fldCharType="separate"/>
          </w:r>
          <w:r>
            <w:t>17</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"_Toc58491503" </w:instrText>
          </w:r>
          <w:r>
            <w:fldChar w:fldCharType="separate"/>
          </w:r>
          <w:r>
            <w:rPr>
              <w:rStyle w:val="19"/>
              <w:rFonts w:hint="eastAsia" w:ascii="仿宋" w:hAnsi="仿宋" w:eastAsia="仿宋"/>
            </w:rPr>
            <w:t>一、指导思想</w:t>
          </w:r>
          <w:r>
            <w:tab/>
          </w:r>
          <w:r>
            <w:fldChar w:fldCharType="begin"/>
          </w:r>
          <w:r>
            <w:instrText xml:space="preserve"> PAGEREF _Toc58491503 \h </w:instrText>
          </w:r>
          <w:r>
            <w:fldChar w:fldCharType="separate"/>
          </w:r>
          <w:r>
            <w:t>17</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"_Toc58491504" </w:instrText>
          </w:r>
          <w:r>
            <w:fldChar w:fldCharType="separate"/>
          </w:r>
          <w:r>
            <w:rPr>
              <w:rStyle w:val="19"/>
              <w:rFonts w:hint="eastAsia" w:ascii="仿宋" w:hAnsi="仿宋" w:eastAsia="仿宋"/>
            </w:rPr>
            <w:t>二、指导原则</w:t>
          </w:r>
          <w:r>
            <w:tab/>
          </w:r>
          <w:r>
            <w:fldChar w:fldCharType="begin"/>
          </w:r>
          <w:r>
            <w:instrText xml:space="preserve"> PAGEREF _Toc58491504 \h </w:instrText>
          </w:r>
          <w:r>
            <w:fldChar w:fldCharType="separate"/>
          </w:r>
          <w:r>
            <w:t>17</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"_Toc58491505" </w:instrText>
          </w:r>
          <w:r>
            <w:fldChar w:fldCharType="separate"/>
          </w:r>
          <w:r>
            <w:rPr>
              <w:rStyle w:val="19"/>
              <w:rFonts w:hint="eastAsia" w:ascii="仿宋" w:hAnsi="仿宋" w:eastAsia="仿宋"/>
            </w:rPr>
            <w:t>三、规划范围与期限</w:t>
          </w:r>
          <w:r>
            <w:tab/>
          </w:r>
          <w:r>
            <w:fldChar w:fldCharType="begin"/>
          </w:r>
          <w:r>
            <w:instrText xml:space="preserve"> PAGEREF _Toc58491505 \h </w:instrText>
          </w:r>
          <w:r>
            <w:fldChar w:fldCharType="separate"/>
          </w:r>
          <w:r>
            <w:t>18</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"_Toc58491506" </w:instrText>
          </w:r>
          <w:r>
            <w:fldChar w:fldCharType="separate"/>
          </w:r>
          <w:r>
            <w:rPr>
              <w:rStyle w:val="19"/>
              <w:rFonts w:hint="eastAsia" w:ascii="仿宋" w:hAnsi="仿宋" w:eastAsia="仿宋"/>
            </w:rPr>
            <w:t>四、发展目标</w:t>
          </w:r>
          <w:r>
            <w:tab/>
          </w:r>
          <w:r>
            <w:fldChar w:fldCharType="begin"/>
          </w:r>
          <w:r>
            <w:instrText xml:space="preserve"> PAGEREF _Toc58491506 \h </w:instrText>
          </w:r>
          <w:r>
            <w:fldChar w:fldCharType="separate"/>
          </w:r>
          <w:r>
            <w:t>18</w:t>
          </w:r>
          <w:r>
            <w:fldChar w:fldCharType="end"/>
          </w:r>
          <w:r>
            <w:fldChar w:fldCharType="end"/>
          </w:r>
        </w:p>
        <w:p>
          <w:pPr>
            <w:pStyle w:val="13"/>
            <w:tabs>
              <w:tab w:val="right" w:leader="dot" w:pos="8296"/>
            </w:tabs>
            <w:ind w:left="0" w:leftChars="0" w:firstLine="0" w:firstLineChars="0"/>
            <w:rPr>
              <w:sz w:val="21"/>
            </w:rPr>
          </w:pPr>
          <w:r>
            <w:fldChar w:fldCharType="begin"/>
          </w:r>
          <w:r>
            <w:instrText xml:space="preserve"> HYPERLINK \l "_Toc58491507" </w:instrText>
          </w:r>
          <w:r>
            <w:fldChar w:fldCharType="separate"/>
          </w:r>
          <w:r>
            <w:rPr>
              <w:rStyle w:val="19"/>
              <w:rFonts w:hint="eastAsia" w:ascii="仿宋" w:hAnsi="仿宋" w:eastAsia="仿宋"/>
            </w:rPr>
            <w:t>五、工作思路</w:t>
          </w:r>
          <w:r>
            <w:tab/>
          </w:r>
          <w:r>
            <w:fldChar w:fldCharType="begin"/>
          </w:r>
          <w:r>
            <w:instrText xml:space="preserve"> PAGEREF _Toc58491507 \h </w:instrText>
          </w:r>
          <w:r>
            <w:fldChar w:fldCharType="separate"/>
          </w:r>
          <w:r>
            <w:t>19</w:t>
          </w:r>
          <w:r>
            <w:fldChar w:fldCharType="end"/>
          </w:r>
          <w:r>
            <w:fldChar w:fldCharType="end"/>
          </w:r>
        </w:p>
        <w:p>
          <w:pPr>
            <w:pStyle w:val="12"/>
            <w:ind w:firstLine="0" w:firstLineChars="0"/>
            <w:rPr>
              <w:rFonts w:hint="eastAsia" w:eastAsiaTheme="minorEastAsia"/>
              <w:sz w:val="21"/>
              <w:lang w:val="en-US" w:eastAsia="zh-CN"/>
            </w:rPr>
          </w:pPr>
          <w:r>
            <w:fldChar w:fldCharType="begin"/>
          </w:r>
          <w:r>
            <w:instrText xml:space="preserve"> HYPERLINK \l "_Toc58491509" </w:instrText>
          </w:r>
          <w:r>
            <w:fldChar w:fldCharType="separate"/>
          </w:r>
          <w:r>
            <w:rPr>
              <w:rStyle w:val="19"/>
              <w:rFonts w:hint="eastAsia" w:ascii="仿宋" w:hAnsi="仿宋" w:eastAsia="仿宋"/>
              <w:b/>
            </w:rPr>
            <w:t>第四章</w:t>
          </w:r>
          <w:r>
            <w:rPr>
              <w:rStyle w:val="19"/>
              <w:rFonts w:ascii="仿宋" w:hAnsi="仿宋" w:eastAsia="仿宋"/>
              <w:b/>
            </w:rPr>
            <w:t xml:space="preserve"> </w:t>
          </w:r>
          <w:r>
            <w:rPr>
              <w:rStyle w:val="19"/>
              <w:rFonts w:hint="eastAsia" w:ascii="仿宋" w:hAnsi="仿宋" w:eastAsia="仿宋"/>
              <w:b/>
            </w:rPr>
            <w:t>“十四五”时期重点任务</w:t>
          </w:r>
          <w:r>
            <w:tab/>
          </w:r>
          <w:r>
            <w:fldChar w:fldCharType="begin"/>
          </w:r>
          <w:r>
            <w:instrText xml:space="preserve"> PAGEREF _Toc58491509 \h </w:instrText>
          </w:r>
          <w:r>
            <w:fldChar w:fldCharType="separate"/>
          </w:r>
          <w:r>
            <w:t>21</w:t>
          </w:r>
          <w:r>
            <w:fldChar w:fldCharType="end"/>
          </w:r>
          <w:r>
            <w:fldChar w:fldCharType="end"/>
          </w:r>
        </w:p>
        <w:p>
          <w:pPr>
            <w:pStyle w:val="13"/>
            <w:tabs>
              <w:tab w:val="right" w:leader="dot" w:pos="8296"/>
            </w:tabs>
            <w:ind w:left="0" w:leftChars="0" w:firstLine="0" w:firstLineChars="0"/>
            <w:rPr>
              <w:rFonts w:hint="eastAsia" w:eastAsiaTheme="minorEastAsia"/>
              <w:sz w:val="21"/>
              <w:lang w:val="en-US" w:eastAsia="zh-CN"/>
            </w:rPr>
          </w:pPr>
          <w:r>
            <w:fldChar w:fldCharType="begin"/>
          </w:r>
          <w:r>
            <w:instrText xml:space="preserve"> HYPERLINK \l "_Toc58491510" </w:instrText>
          </w:r>
          <w:r>
            <w:fldChar w:fldCharType="separate"/>
          </w:r>
          <w:r>
            <w:rPr>
              <w:rStyle w:val="19"/>
              <w:rFonts w:hint="eastAsia" w:ascii="仿宋" w:hAnsi="仿宋" w:eastAsia="仿宋"/>
            </w:rPr>
            <w:t>一、构建精准响应的城市精细化治理新模式</w:t>
          </w:r>
          <w:r>
            <w:tab/>
          </w:r>
          <w:r>
            <w:fldChar w:fldCharType="begin"/>
          </w:r>
          <w:r>
            <w:instrText xml:space="preserve"> PAGEREF _Toc58491510 \h </w:instrText>
          </w:r>
          <w:r>
            <w:fldChar w:fldCharType="separate"/>
          </w:r>
          <w:r>
            <w:t>21</w:t>
          </w:r>
          <w:r>
            <w:fldChar w:fldCharType="end"/>
          </w:r>
          <w:r>
            <w:fldChar w:fldCharType="end"/>
          </w:r>
        </w:p>
        <w:p>
          <w:pPr>
            <w:pStyle w:val="13"/>
            <w:tabs>
              <w:tab w:val="right" w:leader="dot" w:pos="8296"/>
            </w:tabs>
            <w:ind w:left="0" w:leftChars="0" w:firstLine="0" w:firstLineChars="0"/>
            <w:rPr>
              <w:rFonts w:hint="default" w:eastAsiaTheme="minorEastAsia"/>
              <w:sz w:val="21"/>
              <w:lang w:val="en-US" w:eastAsia="zh-CN"/>
            </w:rPr>
          </w:pPr>
          <w:r>
            <w:fldChar w:fldCharType="begin"/>
          </w:r>
          <w:r>
            <w:instrText xml:space="preserve"> HYPERLINK \l "_Toc58491511" </w:instrText>
          </w:r>
          <w:r>
            <w:fldChar w:fldCharType="separate"/>
          </w:r>
          <w:r>
            <w:rPr>
              <w:rStyle w:val="19"/>
              <w:rFonts w:hint="eastAsia" w:ascii="仿宋" w:hAnsi="仿宋" w:eastAsia="仿宋"/>
            </w:rPr>
            <w:t>二、加强市政设施建设与安全运行保障</w:t>
          </w:r>
          <w:r>
            <w:tab/>
          </w:r>
          <w:r>
            <w:fldChar w:fldCharType="end"/>
          </w:r>
          <w:r>
            <w:rPr>
              <w:rFonts w:hint="eastAsia"/>
              <w:lang w:val="en-US" w:eastAsia="zh-CN"/>
            </w:rPr>
            <w:t>28</w:t>
          </w:r>
        </w:p>
        <w:p>
          <w:pPr>
            <w:pStyle w:val="13"/>
            <w:tabs>
              <w:tab w:val="right" w:leader="dot" w:pos="8296"/>
            </w:tabs>
            <w:ind w:left="0" w:leftChars="0" w:firstLine="0" w:firstLineChars="0"/>
            <w:rPr>
              <w:rFonts w:hint="eastAsia" w:eastAsiaTheme="minorEastAsia"/>
              <w:sz w:val="21"/>
              <w:lang w:val="en-US" w:eastAsia="zh-CN"/>
            </w:rPr>
          </w:pPr>
          <w:r>
            <w:fldChar w:fldCharType="begin"/>
          </w:r>
          <w:r>
            <w:instrText xml:space="preserve"> HYPERLINK \l "_Toc58491512" </w:instrText>
          </w:r>
          <w:r>
            <w:fldChar w:fldCharType="separate"/>
          </w:r>
          <w:r>
            <w:rPr>
              <w:rStyle w:val="19"/>
              <w:rFonts w:hint="eastAsia" w:ascii="仿宋" w:hAnsi="仿宋" w:eastAsia="仿宋"/>
            </w:rPr>
            <w:t>三、提升城市综合环境品质</w:t>
          </w:r>
          <w:r>
            <w:tab/>
          </w:r>
          <w:r>
            <w:fldChar w:fldCharType="begin"/>
          </w:r>
          <w:r>
            <w:instrText xml:space="preserve"> PAGEREF _Toc58491512 \h </w:instrText>
          </w:r>
          <w:r>
            <w:fldChar w:fldCharType="separate"/>
          </w:r>
          <w:r>
            <w:t>32</w:t>
          </w:r>
          <w:r>
            <w:fldChar w:fldCharType="end"/>
          </w:r>
          <w:r>
            <w:fldChar w:fldCharType="end"/>
          </w:r>
        </w:p>
        <w:p>
          <w:pPr>
            <w:pStyle w:val="13"/>
            <w:tabs>
              <w:tab w:val="right" w:leader="dot" w:pos="8296"/>
            </w:tabs>
            <w:ind w:left="0" w:leftChars="0" w:firstLine="0" w:firstLineChars="0"/>
            <w:rPr>
              <w:rFonts w:hint="default" w:eastAsiaTheme="minorEastAsia"/>
              <w:sz w:val="21"/>
              <w:lang w:val="en-US" w:eastAsia="zh-CN"/>
            </w:rPr>
          </w:pPr>
          <w:r>
            <w:fldChar w:fldCharType="begin"/>
          </w:r>
          <w:r>
            <w:instrText xml:space="preserve"> HYPERLINK \l "_Toc58491513" </w:instrText>
          </w:r>
          <w:r>
            <w:fldChar w:fldCharType="separate"/>
          </w:r>
          <w:r>
            <w:rPr>
              <w:rStyle w:val="19"/>
              <w:rFonts w:hint="eastAsia" w:ascii="仿宋" w:hAnsi="仿宋" w:eastAsia="仿宋"/>
            </w:rPr>
            <w:t>四、积极推进强制垃圾分类及源头减量</w:t>
          </w:r>
          <w:r>
            <w:tab/>
          </w:r>
          <w:r>
            <w:fldChar w:fldCharType="end"/>
          </w:r>
          <w:r>
            <w:rPr>
              <w:rFonts w:hint="eastAsia"/>
              <w:lang w:val="en-US" w:eastAsia="zh-CN"/>
            </w:rPr>
            <w:t>37</w:t>
          </w:r>
        </w:p>
        <w:p>
          <w:pPr>
            <w:pStyle w:val="13"/>
            <w:tabs>
              <w:tab w:val="right" w:leader="dot" w:pos="8296"/>
            </w:tabs>
            <w:ind w:left="0" w:leftChars="0" w:firstLine="0" w:firstLineChars="0"/>
            <w:rPr>
              <w:rFonts w:hint="eastAsia" w:eastAsiaTheme="minorEastAsia"/>
              <w:sz w:val="21"/>
              <w:lang w:val="en-US" w:eastAsia="zh-CN"/>
            </w:rPr>
          </w:pPr>
          <w:r>
            <w:fldChar w:fldCharType="begin"/>
          </w:r>
          <w:r>
            <w:instrText xml:space="preserve"> HYPERLINK \l "_Toc58491514" </w:instrText>
          </w:r>
          <w:r>
            <w:fldChar w:fldCharType="separate"/>
          </w:r>
          <w:r>
            <w:rPr>
              <w:rStyle w:val="19"/>
              <w:rFonts w:hint="eastAsia" w:ascii="仿宋" w:hAnsi="仿宋" w:eastAsia="仿宋"/>
            </w:rPr>
            <w:t>五、打造首善之区节水示范及“幸福河湖”新名片</w:t>
          </w:r>
          <w:r>
            <w:tab/>
          </w:r>
          <w:r>
            <w:fldChar w:fldCharType="begin"/>
          </w:r>
          <w:r>
            <w:instrText xml:space="preserve"> PAGEREF _Toc58491514 \h </w:instrText>
          </w:r>
          <w:r>
            <w:fldChar w:fldCharType="separate"/>
          </w:r>
          <w:r>
            <w:t>41</w:t>
          </w:r>
          <w:r>
            <w:fldChar w:fldCharType="end"/>
          </w:r>
          <w:r>
            <w:fldChar w:fldCharType="end"/>
          </w:r>
        </w:p>
        <w:p>
          <w:pPr>
            <w:pStyle w:val="13"/>
            <w:tabs>
              <w:tab w:val="right" w:leader="dot" w:pos="8296"/>
            </w:tabs>
            <w:ind w:left="0" w:leftChars="0" w:firstLine="0" w:firstLineChars="0"/>
            <w:rPr>
              <w:rFonts w:hint="default" w:eastAsiaTheme="minorEastAsia"/>
              <w:sz w:val="21"/>
              <w:lang w:val="en-US" w:eastAsia="zh-CN"/>
            </w:rPr>
          </w:pPr>
          <w:r>
            <w:fldChar w:fldCharType="begin"/>
          </w:r>
          <w:r>
            <w:instrText xml:space="preserve"> HYPERLINK \l "_Toc58491515" </w:instrText>
          </w:r>
          <w:r>
            <w:fldChar w:fldCharType="separate"/>
          </w:r>
          <w:r>
            <w:rPr>
              <w:rStyle w:val="19"/>
              <w:rFonts w:hint="eastAsia" w:ascii="仿宋" w:hAnsi="仿宋" w:eastAsia="仿宋"/>
            </w:rPr>
            <w:t>六、创建高效便捷、绿色友好的出行环境</w:t>
          </w:r>
          <w:r>
            <w:tab/>
          </w:r>
          <w:r>
            <w:fldChar w:fldCharType="end"/>
          </w:r>
          <w:r>
            <w:rPr>
              <w:rFonts w:hint="eastAsia"/>
              <w:lang w:val="en-US" w:eastAsia="zh-CN"/>
            </w:rPr>
            <w:t>45</w:t>
          </w:r>
        </w:p>
        <w:p>
          <w:pPr>
            <w:pStyle w:val="13"/>
            <w:tabs>
              <w:tab w:val="right" w:leader="dot" w:pos="8296"/>
            </w:tabs>
            <w:ind w:left="0" w:leftChars="0" w:firstLine="0" w:firstLineChars="0"/>
            <w:rPr>
              <w:rFonts w:hint="default" w:eastAsiaTheme="minorEastAsia"/>
              <w:sz w:val="21"/>
              <w:lang w:val="en-US" w:eastAsia="zh-CN"/>
            </w:rPr>
          </w:pPr>
          <w:r>
            <w:fldChar w:fldCharType="begin"/>
          </w:r>
          <w:r>
            <w:instrText xml:space="preserve"> HYPERLINK \l "_Toc58491516" </w:instrText>
          </w:r>
          <w:r>
            <w:fldChar w:fldCharType="separate"/>
          </w:r>
          <w:r>
            <w:rPr>
              <w:rStyle w:val="19"/>
              <w:rFonts w:hint="eastAsia" w:ascii="仿宋" w:hAnsi="仿宋" w:eastAsia="仿宋"/>
            </w:rPr>
            <w:t>七、加强综合应急保障能力建设</w:t>
          </w:r>
          <w:r>
            <w:tab/>
          </w:r>
          <w:r>
            <w:fldChar w:fldCharType="end"/>
          </w:r>
          <w:r>
            <w:rPr>
              <w:rFonts w:hint="eastAsia"/>
              <w:lang w:val="en-US" w:eastAsia="zh-CN"/>
            </w:rPr>
            <w:t>49</w:t>
          </w:r>
        </w:p>
        <w:p>
          <w:pPr>
            <w:pStyle w:val="13"/>
            <w:tabs>
              <w:tab w:val="right" w:leader="dot" w:pos="8296"/>
            </w:tabs>
            <w:ind w:left="0" w:leftChars="0" w:firstLine="0" w:firstLineChars="0"/>
            <w:rPr>
              <w:sz w:val="21"/>
            </w:rPr>
          </w:pPr>
          <w:r>
            <w:fldChar w:fldCharType="begin"/>
          </w:r>
          <w:r>
            <w:instrText xml:space="preserve"> HYPERLINK \l "_Toc58491517" </w:instrText>
          </w:r>
          <w:r>
            <w:fldChar w:fldCharType="separate"/>
          </w:r>
          <w:r>
            <w:rPr>
              <w:rStyle w:val="19"/>
              <w:rFonts w:hint="eastAsia" w:ascii="仿宋" w:hAnsi="仿宋" w:eastAsia="仿宋"/>
            </w:rPr>
            <w:t>八、着力推进城市管理智慧化建设</w:t>
          </w:r>
          <w:r>
            <w:tab/>
          </w:r>
          <w:r>
            <w:fldChar w:fldCharType="begin"/>
          </w:r>
          <w:r>
            <w:instrText xml:space="preserve"> PAGEREF _Toc58491517 \h </w:instrText>
          </w:r>
          <w:r>
            <w:fldChar w:fldCharType="separate"/>
          </w:r>
          <w:r>
            <w:t>51</w:t>
          </w:r>
          <w:r>
            <w:fldChar w:fldCharType="end"/>
          </w:r>
          <w:r>
            <w:fldChar w:fldCharType="end"/>
          </w:r>
        </w:p>
        <w:p>
          <w:pPr>
            <w:pStyle w:val="12"/>
            <w:ind w:firstLine="0" w:firstLineChars="0"/>
            <w:rPr>
              <w:rFonts w:hint="default" w:eastAsiaTheme="minorEastAsia"/>
              <w:sz w:val="21"/>
              <w:lang w:val="en-US" w:eastAsia="zh-CN"/>
            </w:rPr>
          </w:pPr>
          <w:r>
            <w:fldChar w:fldCharType="begin"/>
          </w:r>
          <w:r>
            <w:instrText xml:space="preserve"> HYPERLINK \l "_Toc58491518" </w:instrText>
          </w:r>
          <w:r>
            <w:fldChar w:fldCharType="separate"/>
          </w:r>
          <w:r>
            <w:rPr>
              <w:rStyle w:val="19"/>
              <w:rFonts w:hint="eastAsia" w:ascii="仿宋" w:hAnsi="仿宋" w:eastAsia="仿宋"/>
              <w:b/>
            </w:rPr>
            <w:t>第五章</w:t>
          </w:r>
          <w:r>
            <w:rPr>
              <w:rStyle w:val="19"/>
              <w:rFonts w:ascii="仿宋" w:hAnsi="仿宋" w:eastAsia="仿宋"/>
              <w:b/>
            </w:rPr>
            <w:t xml:space="preserve"> </w:t>
          </w:r>
          <w:r>
            <w:rPr>
              <w:rStyle w:val="19"/>
              <w:rFonts w:hint="eastAsia" w:ascii="仿宋" w:hAnsi="仿宋" w:eastAsia="仿宋"/>
              <w:b/>
            </w:rPr>
            <w:t>规划实施保障</w:t>
          </w:r>
          <w:r>
            <w:tab/>
          </w:r>
          <w:r>
            <w:fldChar w:fldCharType="end"/>
          </w:r>
          <w:r>
            <w:rPr>
              <w:rFonts w:hint="eastAsia"/>
              <w:lang w:val="en-US" w:eastAsia="zh-CN"/>
            </w:rPr>
            <w:t>57</w:t>
          </w:r>
        </w:p>
        <w:p>
          <w:pPr>
            <w:pStyle w:val="13"/>
            <w:tabs>
              <w:tab w:val="right" w:leader="dot" w:pos="8296"/>
            </w:tabs>
            <w:ind w:left="0" w:leftChars="0" w:firstLine="0" w:firstLineChars="0"/>
            <w:rPr>
              <w:rFonts w:hint="eastAsia" w:eastAsiaTheme="minorEastAsia"/>
              <w:sz w:val="21"/>
              <w:lang w:val="en-US" w:eastAsia="zh-CN"/>
            </w:rPr>
          </w:pPr>
          <w:r>
            <w:fldChar w:fldCharType="begin"/>
          </w:r>
          <w:r>
            <w:instrText xml:space="preserve"> HYPERLINK \l "_Toc58491519" </w:instrText>
          </w:r>
          <w:r>
            <w:fldChar w:fldCharType="separate"/>
          </w:r>
          <w:r>
            <w:rPr>
              <w:rStyle w:val="19"/>
              <w:rFonts w:hint="eastAsia" w:ascii="仿宋" w:hAnsi="仿宋" w:eastAsia="仿宋"/>
            </w:rPr>
            <w:t>一、加强规划衔接与统筹协调</w:t>
          </w:r>
          <w:r>
            <w:tab/>
          </w:r>
          <w:r>
            <w:rPr>
              <w:rFonts w:hint="eastAsia"/>
              <w:lang w:val="en-US" w:eastAsia="zh-CN"/>
            </w:rPr>
            <w:t>5</w:t>
          </w:r>
          <w:r>
            <w:fldChar w:fldCharType="end"/>
          </w:r>
          <w:r>
            <w:rPr>
              <w:rFonts w:hint="eastAsia"/>
              <w:lang w:val="en-US" w:eastAsia="zh-CN"/>
            </w:rPr>
            <w:t>7</w:t>
          </w:r>
        </w:p>
        <w:p>
          <w:pPr>
            <w:pStyle w:val="13"/>
            <w:tabs>
              <w:tab w:val="right" w:leader="dot" w:pos="8296"/>
            </w:tabs>
            <w:ind w:left="0" w:leftChars="0" w:firstLine="0" w:firstLineChars="0"/>
            <w:rPr>
              <w:rFonts w:hint="default" w:eastAsiaTheme="minorEastAsia"/>
              <w:sz w:val="21"/>
              <w:lang w:val="en-US" w:eastAsia="zh-CN"/>
            </w:rPr>
          </w:pPr>
          <w:r>
            <w:fldChar w:fldCharType="begin"/>
          </w:r>
          <w:r>
            <w:instrText xml:space="preserve"> HYPERLINK \l "_Toc58491520" </w:instrText>
          </w:r>
          <w:r>
            <w:fldChar w:fldCharType="separate"/>
          </w:r>
          <w:r>
            <w:rPr>
              <w:rStyle w:val="19"/>
              <w:rFonts w:hint="eastAsia" w:ascii="仿宋" w:hAnsi="仿宋" w:eastAsia="仿宋"/>
            </w:rPr>
            <w:t>二、明确建设时序与重点任务</w:t>
          </w:r>
          <w:r>
            <w:tab/>
          </w:r>
          <w:r>
            <w:fldChar w:fldCharType="end"/>
          </w:r>
          <w:r>
            <w:rPr>
              <w:rFonts w:hint="eastAsia"/>
              <w:lang w:val="en-US" w:eastAsia="zh-CN"/>
            </w:rPr>
            <w:t>58</w:t>
          </w:r>
        </w:p>
        <w:p>
          <w:pPr>
            <w:pStyle w:val="13"/>
            <w:tabs>
              <w:tab w:val="right" w:leader="dot" w:pos="8296"/>
            </w:tabs>
            <w:ind w:left="0" w:leftChars="0" w:firstLine="0" w:firstLineChars="0"/>
            <w:rPr>
              <w:rFonts w:hint="default" w:eastAsiaTheme="minorEastAsia"/>
              <w:sz w:val="21"/>
              <w:lang w:val="en-US" w:eastAsia="zh-CN"/>
            </w:rPr>
          </w:pPr>
          <w:r>
            <w:fldChar w:fldCharType="begin"/>
          </w:r>
          <w:r>
            <w:instrText xml:space="preserve"> HYPERLINK \l "_Toc58491521" </w:instrText>
          </w:r>
          <w:r>
            <w:fldChar w:fldCharType="separate"/>
          </w:r>
          <w:r>
            <w:rPr>
              <w:rStyle w:val="19"/>
              <w:rFonts w:hint="eastAsia" w:ascii="仿宋" w:hAnsi="仿宋" w:eastAsia="仿宋"/>
            </w:rPr>
            <w:t>三、强化规划动态评估与更新</w:t>
          </w:r>
          <w:r>
            <w:tab/>
          </w:r>
          <w:r>
            <w:fldChar w:fldCharType="end"/>
          </w:r>
          <w:r>
            <w:rPr>
              <w:rFonts w:hint="eastAsia"/>
              <w:lang w:val="en-US" w:eastAsia="zh-CN"/>
            </w:rPr>
            <w:t>59</w:t>
          </w:r>
        </w:p>
        <w:p>
          <w:pPr>
            <w:pStyle w:val="13"/>
            <w:tabs>
              <w:tab w:val="right" w:leader="dot" w:pos="8296"/>
            </w:tabs>
            <w:ind w:left="0" w:leftChars="0" w:firstLine="0" w:firstLineChars="0"/>
            <w:rPr>
              <w:rFonts w:hint="eastAsia" w:eastAsiaTheme="minorEastAsia"/>
              <w:sz w:val="21"/>
              <w:lang w:val="en-US" w:eastAsia="zh-CN"/>
            </w:rPr>
          </w:pPr>
          <w:r>
            <w:fldChar w:fldCharType="begin"/>
          </w:r>
          <w:r>
            <w:instrText xml:space="preserve"> HYPERLINK \l "_Toc58491522" </w:instrText>
          </w:r>
          <w:r>
            <w:fldChar w:fldCharType="separate"/>
          </w:r>
          <w:r>
            <w:rPr>
              <w:rStyle w:val="19"/>
              <w:rFonts w:hint="eastAsia" w:ascii="仿宋" w:hAnsi="仿宋" w:eastAsia="仿宋"/>
            </w:rPr>
            <w:t>四、加强宣传引导与人才保障</w:t>
          </w:r>
          <w:r>
            <w:tab/>
          </w:r>
          <w:r>
            <w:fldChar w:fldCharType="end"/>
          </w:r>
          <w:r>
            <w:rPr>
              <w:rFonts w:hint="eastAsia"/>
              <w:lang w:val="en-US" w:eastAsia="zh-CN"/>
            </w:rPr>
            <w:t>61</w:t>
          </w:r>
        </w:p>
        <w:p>
          <w:pPr>
            <w:ind w:firstLine="0" w:firstLineChars="0"/>
            <w:rPr>
              <w:rFonts w:ascii="仿宋" w:hAnsi="仿宋" w:eastAsia="仿宋"/>
              <w:b/>
              <w:bCs/>
              <w:sz w:val="21"/>
              <w:szCs w:val="21"/>
              <w:lang w:val="zh-CN"/>
            </w:rPr>
          </w:pPr>
          <w:r>
            <w:rPr>
              <w:rFonts w:ascii="仿宋" w:hAnsi="仿宋" w:eastAsia="仿宋"/>
              <w:bCs/>
              <w:sz w:val="24"/>
              <w:szCs w:val="20"/>
              <w:lang w:val="zh-CN"/>
            </w:rPr>
            <w:fldChar w:fldCharType="end"/>
          </w:r>
        </w:p>
      </w:sdtContent>
    </w:sdt>
    <w:p>
      <w:pPr>
        <w:pStyle w:val="2"/>
        <w:ind w:firstLine="199" w:firstLineChars="55"/>
        <w:rPr>
          <w:rFonts w:ascii="仿宋" w:hAnsi="仿宋" w:eastAsia="仿宋"/>
        </w:rPr>
      </w:pPr>
      <w:r>
        <w:rPr>
          <w:rFonts w:ascii="仿宋" w:hAnsi="仿宋" w:eastAsia="仿宋"/>
        </w:rPr>
        <w:br w:type="page"/>
      </w:r>
    </w:p>
    <w:p>
      <w:pPr>
        <w:pStyle w:val="2"/>
        <w:ind w:firstLine="199" w:firstLineChars="55"/>
        <w:rPr>
          <w:rFonts w:ascii="仿宋" w:hAnsi="仿宋" w:eastAsia="仿宋"/>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ind w:firstLine="199" w:firstLineChars="55"/>
        <w:jc w:val="center"/>
        <w:rPr>
          <w:rFonts w:ascii="仿宋" w:hAnsi="仿宋" w:eastAsia="仿宋"/>
        </w:rPr>
      </w:pPr>
      <w:bookmarkStart w:id="0" w:name="_Toc58491493"/>
      <w:r>
        <w:rPr>
          <w:rFonts w:hint="eastAsia" w:ascii="仿宋" w:hAnsi="仿宋" w:eastAsia="仿宋"/>
        </w:rPr>
        <w:t>序</w:t>
      </w:r>
      <w:r>
        <w:rPr>
          <w:rFonts w:ascii="仿宋" w:hAnsi="仿宋" w:eastAsia="仿宋"/>
        </w:rPr>
        <w:t xml:space="preserve"> </w:t>
      </w:r>
      <w:r>
        <w:rPr>
          <w:rFonts w:hint="eastAsia" w:ascii="仿宋" w:hAnsi="仿宋" w:eastAsia="仿宋"/>
        </w:rPr>
        <w:t>言</w:t>
      </w:r>
      <w:bookmarkEnd w:id="0"/>
    </w:p>
    <w:p>
      <w:pPr>
        <w:ind w:firstLine="560"/>
        <w:rPr>
          <w:rFonts w:ascii="仿宋" w:hAnsi="仿宋" w:eastAsia="仿宋"/>
          <w:szCs w:val="28"/>
        </w:rPr>
      </w:pPr>
      <w:r>
        <w:rPr>
          <w:rFonts w:hint="eastAsia" w:ascii="仿宋" w:hAnsi="仿宋" w:eastAsia="仿宋"/>
          <w:szCs w:val="28"/>
        </w:rPr>
        <w:t>“十四五”时期是我国全面</w:t>
      </w:r>
      <w:r>
        <w:rPr>
          <w:rFonts w:ascii="仿宋" w:hAnsi="仿宋" w:eastAsia="仿宋"/>
          <w:szCs w:val="28"/>
        </w:rPr>
        <w:t>建成小康社会</w:t>
      </w:r>
      <w:r>
        <w:rPr>
          <w:rFonts w:hint="eastAsia" w:ascii="仿宋" w:hAnsi="仿宋" w:eastAsia="仿宋"/>
          <w:szCs w:val="28"/>
        </w:rPr>
        <w:t>、</w:t>
      </w:r>
      <w:r>
        <w:rPr>
          <w:rFonts w:ascii="仿宋" w:hAnsi="仿宋" w:eastAsia="仿宋"/>
          <w:szCs w:val="28"/>
        </w:rPr>
        <w:t>实现第一个百年奋斗</w:t>
      </w:r>
      <w:r>
        <w:rPr>
          <w:rFonts w:hint="eastAsia" w:ascii="仿宋" w:hAnsi="仿宋" w:eastAsia="仿宋"/>
          <w:szCs w:val="28"/>
        </w:rPr>
        <w:t>目标</w:t>
      </w:r>
      <w:r>
        <w:rPr>
          <w:rFonts w:ascii="仿宋" w:hAnsi="仿宋" w:eastAsia="仿宋"/>
          <w:szCs w:val="28"/>
        </w:rPr>
        <w:t>之后，乘势而上开启全面建设社会主义现代化国家新征程、向第二个百年奋斗目标进军的第一个五年，</w:t>
      </w:r>
      <w:r>
        <w:rPr>
          <w:rFonts w:hint="eastAsia" w:ascii="仿宋" w:hAnsi="仿宋" w:eastAsia="仿宋"/>
          <w:szCs w:val="28"/>
        </w:rPr>
        <w:t>是</w:t>
      </w:r>
      <w:r>
        <w:rPr>
          <w:rFonts w:ascii="仿宋" w:hAnsi="仿宋" w:eastAsia="仿宋"/>
          <w:szCs w:val="28"/>
        </w:rPr>
        <w:t>落实《</w:t>
      </w:r>
      <w:r>
        <w:rPr>
          <w:rFonts w:hint="eastAsia" w:ascii="仿宋" w:hAnsi="仿宋" w:eastAsia="仿宋"/>
          <w:szCs w:val="28"/>
        </w:rPr>
        <w:t>北京</w:t>
      </w:r>
      <w:r>
        <w:rPr>
          <w:rFonts w:ascii="仿宋" w:hAnsi="仿宋" w:eastAsia="仿宋"/>
          <w:szCs w:val="28"/>
        </w:rPr>
        <w:t>城市总体规划（</w:t>
      </w:r>
      <w:r>
        <w:rPr>
          <w:rFonts w:hint="eastAsia" w:ascii="仿宋" w:hAnsi="仿宋" w:eastAsia="仿宋"/>
          <w:szCs w:val="28"/>
        </w:rPr>
        <w:t>2016-2035）</w:t>
      </w:r>
      <w:r>
        <w:rPr>
          <w:rFonts w:ascii="仿宋" w:hAnsi="仿宋" w:eastAsia="仿宋"/>
          <w:szCs w:val="28"/>
        </w:rPr>
        <w:t>》</w:t>
      </w:r>
      <w:r>
        <w:rPr>
          <w:rFonts w:hint="eastAsia" w:ascii="仿宋" w:hAnsi="仿宋" w:eastAsia="仿宋"/>
          <w:szCs w:val="28"/>
        </w:rPr>
        <w:t>所提出</w:t>
      </w:r>
      <w:r>
        <w:rPr>
          <w:rFonts w:ascii="仿宋" w:hAnsi="仿宋" w:eastAsia="仿宋"/>
          <w:szCs w:val="28"/>
        </w:rPr>
        <w:t>的城市发展新要求的关键时期，</w:t>
      </w:r>
      <w:r>
        <w:rPr>
          <w:rFonts w:hint="eastAsia" w:ascii="仿宋" w:hAnsi="仿宋" w:eastAsia="仿宋"/>
          <w:szCs w:val="28"/>
        </w:rPr>
        <w:t>具有新的时代特征和继往开来的里程碑意义。面对</w:t>
      </w:r>
      <w:r>
        <w:rPr>
          <w:rFonts w:ascii="仿宋" w:hAnsi="仿宋" w:eastAsia="仿宋"/>
          <w:szCs w:val="28"/>
        </w:rPr>
        <w:t>新的发展要求和更高的发展标准，</w:t>
      </w:r>
      <w:r>
        <w:rPr>
          <w:rFonts w:hint="eastAsia" w:ascii="仿宋" w:hAnsi="仿宋" w:eastAsia="仿宋"/>
          <w:szCs w:val="28"/>
        </w:rPr>
        <w:t>西城区作为全国政治中心、文化中心、国际交往中心的核心承载区，编制</w:t>
      </w:r>
      <w:r>
        <w:rPr>
          <w:rFonts w:ascii="仿宋" w:hAnsi="仿宋" w:eastAsia="仿宋"/>
          <w:szCs w:val="28"/>
        </w:rPr>
        <w:t>《</w:t>
      </w:r>
      <w:r>
        <w:rPr>
          <w:rFonts w:hint="eastAsia" w:ascii="仿宋" w:hAnsi="仿宋" w:eastAsia="仿宋"/>
          <w:szCs w:val="28"/>
        </w:rPr>
        <w:t>西城区“十四五”时期</w:t>
      </w:r>
      <w:r>
        <w:rPr>
          <w:rFonts w:ascii="仿宋" w:hAnsi="仿宋" w:eastAsia="仿宋"/>
          <w:szCs w:val="28"/>
        </w:rPr>
        <w:t>城市</w:t>
      </w:r>
      <w:r>
        <w:rPr>
          <w:rFonts w:hint="eastAsia" w:ascii="仿宋" w:hAnsi="仿宋" w:eastAsia="仿宋"/>
          <w:szCs w:val="28"/>
        </w:rPr>
        <w:t>管理</w:t>
      </w:r>
      <w:r>
        <w:rPr>
          <w:rFonts w:ascii="仿宋" w:hAnsi="仿宋" w:eastAsia="仿宋"/>
          <w:szCs w:val="28"/>
        </w:rPr>
        <w:t>发展规划》</w:t>
      </w:r>
      <w:r>
        <w:rPr>
          <w:rFonts w:hint="eastAsia" w:ascii="仿宋" w:hAnsi="仿宋" w:eastAsia="仿宋"/>
          <w:szCs w:val="28"/>
        </w:rPr>
        <w:t>（以下</w:t>
      </w:r>
      <w:r>
        <w:rPr>
          <w:rFonts w:ascii="仿宋" w:hAnsi="仿宋" w:eastAsia="仿宋"/>
          <w:szCs w:val="28"/>
        </w:rPr>
        <w:t>简称规划</w:t>
      </w:r>
      <w:r>
        <w:rPr>
          <w:rFonts w:hint="eastAsia" w:ascii="仿宋" w:hAnsi="仿宋" w:eastAsia="仿宋"/>
          <w:szCs w:val="28"/>
        </w:rPr>
        <w:t>），以满足新时期建设国际一流和谐宜居之都首善之区的高标准要求，全面</w:t>
      </w:r>
      <w:r>
        <w:rPr>
          <w:rFonts w:ascii="仿宋" w:hAnsi="仿宋" w:eastAsia="仿宋"/>
          <w:szCs w:val="28"/>
        </w:rPr>
        <w:t>提高</w:t>
      </w:r>
      <w:r>
        <w:rPr>
          <w:rFonts w:hint="eastAsia" w:ascii="仿宋" w:hAnsi="仿宋" w:eastAsia="仿宋"/>
          <w:szCs w:val="28"/>
        </w:rPr>
        <w:t>西城区</w:t>
      </w:r>
      <w:r>
        <w:rPr>
          <w:rFonts w:ascii="仿宋" w:hAnsi="仿宋" w:eastAsia="仿宋"/>
          <w:szCs w:val="28"/>
        </w:rPr>
        <w:t>城市</w:t>
      </w:r>
      <w:r>
        <w:rPr>
          <w:rFonts w:hint="eastAsia" w:ascii="仿宋" w:hAnsi="仿宋" w:eastAsia="仿宋"/>
          <w:szCs w:val="28"/>
        </w:rPr>
        <w:t>精细化和智慧化管理</w:t>
      </w:r>
      <w:r>
        <w:rPr>
          <w:rFonts w:ascii="仿宋" w:hAnsi="仿宋" w:eastAsia="仿宋"/>
          <w:szCs w:val="28"/>
        </w:rPr>
        <w:t>服务水平</w:t>
      </w:r>
      <w:r>
        <w:rPr>
          <w:rFonts w:hint="eastAsia" w:ascii="仿宋" w:hAnsi="仿宋" w:eastAsia="仿宋"/>
          <w:szCs w:val="28"/>
        </w:rPr>
        <w:t>。</w:t>
      </w:r>
    </w:p>
    <w:p>
      <w:pPr>
        <w:ind w:firstLine="560"/>
        <w:rPr>
          <w:rFonts w:ascii="仿宋" w:hAnsi="仿宋" w:eastAsia="仿宋"/>
          <w:szCs w:val="28"/>
        </w:rPr>
      </w:pPr>
      <w:r>
        <w:rPr>
          <w:rFonts w:hint="eastAsia" w:ascii="仿宋" w:hAnsi="仿宋" w:eastAsia="仿宋"/>
          <w:szCs w:val="28"/>
        </w:rPr>
        <w:t>规划编制</w:t>
      </w:r>
      <w:r>
        <w:rPr>
          <w:rFonts w:ascii="仿宋" w:hAnsi="仿宋" w:eastAsia="仿宋"/>
          <w:szCs w:val="28"/>
        </w:rPr>
        <w:t>的主要依据为</w:t>
      </w:r>
      <w:r>
        <w:rPr>
          <w:rFonts w:hint="eastAsia" w:ascii="仿宋" w:hAnsi="仿宋" w:eastAsia="仿宋"/>
          <w:szCs w:val="28"/>
        </w:rPr>
        <w:t>《中共中央关于制定国民经济和社会发展第十四个五年规划和二〇三五年远景目标的建议》、《中共北京市委关于制定北京市国民经济和社会发展第十四个五年规划和二〇三五年远景目标的建议》、《北京城市总体规划（2016年-2035年）》、《首都功能核心区控制性详细规划（街区层面）（2018年-2035年）》、《中共北京市委 北京市人民政府关于加强城市精细化管理工作的意见（2019年1月9日）》、《推动</w:t>
      </w:r>
      <w:r>
        <w:rPr>
          <w:rFonts w:ascii="仿宋" w:hAnsi="仿宋" w:eastAsia="仿宋"/>
          <w:szCs w:val="28"/>
        </w:rPr>
        <w:t>首都高质量发展</w:t>
      </w:r>
      <w:r>
        <w:rPr>
          <w:rFonts w:hint="eastAsia" w:ascii="仿宋" w:hAnsi="仿宋" w:eastAsia="仿宋"/>
          <w:szCs w:val="28"/>
        </w:rPr>
        <w:t>标准</w:t>
      </w:r>
      <w:r>
        <w:rPr>
          <w:rFonts w:ascii="仿宋" w:hAnsi="仿宋" w:eastAsia="仿宋"/>
          <w:szCs w:val="28"/>
        </w:rPr>
        <w:t>体系建设实施方案</w:t>
      </w:r>
      <w:r>
        <w:rPr>
          <w:rFonts w:hint="eastAsia" w:ascii="仿宋" w:hAnsi="仿宋" w:eastAsia="仿宋"/>
          <w:szCs w:val="28"/>
        </w:rPr>
        <w:t>》、《北京市生活垃圾管理条例》、《北京市物业管理条例》、《北京市</w:t>
      </w:r>
      <w:r>
        <w:rPr>
          <w:rFonts w:ascii="仿宋" w:hAnsi="仿宋" w:eastAsia="仿宋"/>
          <w:szCs w:val="28"/>
        </w:rPr>
        <w:t>西城区国民经济和社会发展第十四个五年规划纲要</w:t>
      </w:r>
      <w:r>
        <w:rPr>
          <w:rFonts w:hint="eastAsia" w:ascii="仿宋" w:hAnsi="仿宋" w:eastAsia="仿宋"/>
          <w:szCs w:val="28"/>
        </w:rPr>
        <w:t>》、</w:t>
      </w:r>
      <w:bookmarkStart w:id="1" w:name="OLE_LINK15"/>
      <w:r>
        <w:rPr>
          <w:rFonts w:hint="eastAsia" w:ascii="仿宋" w:hAnsi="仿宋" w:eastAsia="仿宋"/>
          <w:szCs w:val="28"/>
        </w:rPr>
        <w:t>《北京市西城区人民政府关于加强城市精细化管理工作的方案》</w:t>
      </w:r>
      <w:bookmarkEnd w:id="1"/>
      <w:r>
        <w:rPr>
          <w:rFonts w:hint="eastAsia" w:ascii="仿宋" w:hAnsi="仿宋" w:eastAsia="仿宋"/>
          <w:szCs w:val="28"/>
        </w:rPr>
        <w:t>等</w:t>
      </w:r>
      <w:r>
        <w:rPr>
          <w:rFonts w:ascii="仿宋" w:hAnsi="仿宋" w:eastAsia="仿宋"/>
          <w:szCs w:val="28"/>
        </w:rPr>
        <w:t>文件</w:t>
      </w:r>
      <w:r>
        <w:rPr>
          <w:rFonts w:hint="eastAsia" w:ascii="仿宋" w:hAnsi="仿宋" w:eastAsia="仿宋"/>
          <w:szCs w:val="28"/>
        </w:rPr>
        <w:t>。</w:t>
      </w:r>
    </w:p>
    <w:p>
      <w:pPr>
        <w:ind w:firstLine="560"/>
        <w:rPr>
          <w:rFonts w:ascii="仿宋" w:hAnsi="仿宋" w:eastAsia="仿宋"/>
          <w:szCs w:val="28"/>
        </w:rPr>
      </w:pPr>
      <w:r>
        <w:rPr>
          <w:rFonts w:hint="eastAsia" w:ascii="仿宋" w:hAnsi="仿宋" w:eastAsia="仿宋"/>
          <w:szCs w:val="28"/>
        </w:rPr>
        <w:t>规划对西城区“十三五”期间城市管理工作进行了全面回顾，分析未来五年西城城市管理工作面临的形势与</w:t>
      </w:r>
      <w:r>
        <w:rPr>
          <w:rFonts w:ascii="仿宋" w:hAnsi="仿宋" w:eastAsia="仿宋"/>
          <w:szCs w:val="28"/>
        </w:rPr>
        <w:t>挑战</w:t>
      </w:r>
      <w:r>
        <w:rPr>
          <w:rFonts w:hint="eastAsia" w:ascii="仿宋" w:hAnsi="仿宋" w:eastAsia="仿宋"/>
          <w:szCs w:val="28"/>
        </w:rPr>
        <w:t>，并提出“十四五”时期</w:t>
      </w:r>
      <w:r>
        <w:rPr>
          <w:rFonts w:ascii="仿宋" w:hAnsi="仿宋" w:eastAsia="仿宋"/>
          <w:szCs w:val="28"/>
        </w:rPr>
        <w:t>的</w:t>
      </w:r>
      <w:r>
        <w:rPr>
          <w:rFonts w:hint="eastAsia" w:ascii="仿宋" w:hAnsi="仿宋" w:eastAsia="仿宋"/>
          <w:szCs w:val="28"/>
        </w:rPr>
        <w:t>指导原则、工作思路、发展目标和重点任务等，将作为西城区“十四五”时期城市管理工作的重要指导文件。</w:t>
      </w:r>
      <w:r>
        <w:rPr>
          <w:rFonts w:ascii="仿宋" w:hAnsi="仿宋" w:eastAsia="仿宋"/>
          <w:sz w:val="36"/>
          <w:szCs w:val="36"/>
        </w:rPr>
        <w:br w:type="page"/>
      </w:r>
    </w:p>
    <w:p>
      <w:pPr>
        <w:pStyle w:val="2"/>
        <w:ind w:firstLine="0" w:firstLineChars="0"/>
        <w:jc w:val="center"/>
        <w:rPr>
          <w:rFonts w:ascii="仿宋" w:hAnsi="仿宋" w:eastAsia="仿宋"/>
        </w:rPr>
      </w:pPr>
      <w:bookmarkStart w:id="2" w:name="_Toc58491494"/>
      <w:r>
        <w:rPr>
          <w:rFonts w:hint="eastAsia" w:ascii="仿宋" w:hAnsi="仿宋" w:eastAsia="仿宋"/>
        </w:rPr>
        <w:t>第一章</w:t>
      </w:r>
      <w:r>
        <w:rPr>
          <w:rFonts w:ascii="仿宋" w:hAnsi="仿宋" w:eastAsia="仿宋"/>
        </w:rPr>
        <w:t xml:space="preserve"> </w:t>
      </w:r>
      <w:r>
        <w:rPr>
          <w:rFonts w:hint="eastAsia" w:ascii="仿宋" w:hAnsi="仿宋" w:eastAsia="仿宋"/>
        </w:rPr>
        <w:t>“十三五”时期工作回顾</w:t>
      </w:r>
      <w:bookmarkEnd w:id="2"/>
    </w:p>
    <w:p>
      <w:pPr>
        <w:pStyle w:val="3"/>
        <w:rPr>
          <w:rFonts w:ascii="仿宋" w:hAnsi="仿宋" w:eastAsia="仿宋"/>
        </w:rPr>
      </w:pPr>
      <w:bookmarkStart w:id="3" w:name="_Toc58491495"/>
      <w:r>
        <w:rPr>
          <w:rFonts w:hint="eastAsia" w:ascii="仿宋" w:hAnsi="仿宋" w:eastAsia="仿宋"/>
        </w:rPr>
        <w:t>一、发展成就</w:t>
      </w:r>
      <w:bookmarkEnd w:id="3"/>
    </w:p>
    <w:p>
      <w:pPr>
        <w:pStyle w:val="4"/>
        <w:numPr>
          <w:ilvl w:val="0"/>
          <w:numId w:val="2"/>
        </w:numPr>
        <w:rPr>
          <w:rFonts w:ascii="仿宋" w:hAnsi="仿宋" w:eastAsia="仿宋"/>
        </w:rPr>
      </w:pPr>
      <w:bookmarkStart w:id="4" w:name="_Toc45033596"/>
      <w:bookmarkStart w:id="5" w:name="_Toc44427751"/>
      <w:bookmarkStart w:id="6" w:name="_Toc44427975"/>
      <w:bookmarkStart w:id="7" w:name="_Toc45036215"/>
      <w:bookmarkStart w:id="8" w:name="_Toc45036219"/>
      <w:bookmarkStart w:id="9" w:name="_Toc41164400"/>
      <w:r>
        <w:rPr>
          <w:rFonts w:hint="eastAsia" w:ascii="仿宋" w:hAnsi="仿宋" w:eastAsia="仿宋"/>
        </w:rPr>
        <w:t>城市管理体制机制不断完善，</w:t>
      </w:r>
      <w:bookmarkEnd w:id="4"/>
      <w:bookmarkEnd w:id="5"/>
      <w:bookmarkEnd w:id="6"/>
      <w:r>
        <w:rPr>
          <w:rFonts w:hint="eastAsia" w:ascii="仿宋" w:hAnsi="仿宋" w:eastAsia="仿宋"/>
        </w:rPr>
        <w:t>城市管理效能稳步增强</w:t>
      </w:r>
    </w:p>
    <w:p>
      <w:pPr>
        <w:ind w:firstLine="560"/>
        <w:rPr>
          <w:rFonts w:ascii="仿宋" w:hAnsi="仿宋" w:eastAsia="仿宋"/>
        </w:rPr>
      </w:pPr>
      <w:r>
        <w:rPr>
          <w:rFonts w:hint="eastAsia" w:ascii="仿宋" w:hAnsi="仿宋" w:eastAsia="仿宋"/>
        </w:rPr>
        <w:t>“十三五”时期，西城区持续推进区级综合管理体制改革和街道“大部制”改革，城市管理的统筹协调能力不断提升，管理效果持续改善。综合行政执法管理体制改革不断深化，执法重心有序下移，并建立和完善了区、街两级综合行政执法指挥长效机制，执法水平得到显著提升。深入探索社会参与城市治理的有效路径，初步形成了以“街巷长”为轴心的背街小巷长效管理机制，社会单位和个人参与城市治理的积极性明显提升。与此同时，深化推进“街乡吹哨、部门报到”工作，严格落实“接诉即办”工作制度，城市管理效率和居民满意度进一步提升。城市管理的责任机制、沟通机制、协作机制、信息共享机制、监督保障机制等相关工作推进机制得到进一步健全。</w:t>
      </w:r>
    </w:p>
    <w:p>
      <w:pPr>
        <w:pStyle w:val="4"/>
        <w:rPr>
          <w:rFonts w:ascii="仿宋" w:hAnsi="仿宋" w:eastAsia="仿宋"/>
        </w:rPr>
      </w:pPr>
      <w:r>
        <w:rPr>
          <w:rFonts w:hint="eastAsia" w:ascii="仿宋" w:hAnsi="仿宋" w:eastAsia="仿宋"/>
        </w:rPr>
        <w:t>圆满完成重大活动保障任务，中央政务服务能力持续增强</w:t>
      </w:r>
    </w:p>
    <w:p>
      <w:pPr>
        <w:ind w:firstLine="560"/>
        <w:rPr>
          <w:rFonts w:ascii="仿宋" w:hAnsi="仿宋" w:eastAsia="仿宋"/>
        </w:rPr>
      </w:pPr>
      <w:r>
        <w:rPr>
          <w:rFonts w:hint="eastAsia" w:ascii="仿宋" w:hAnsi="仿宋" w:eastAsia="仿宋"/>
        </w:rPr>
        <w:t>高水平完成了党的十九大、中非论坛、建国68周年、建国70周年、第一届、第二届“一带一路”高峰论坛、亚洲文明对话大会等一系列国际、国内重大活动的保障任务，赢得了国内外高度评价和广泛赞誉。全面落实了重大活动的市容市貌、环境卫生、公共服务、景观照明、市政设施安全运行等服务保障任务，确保重大活动期间市容环境干净整洁、公用服务优质高效。其中，在建国7</w:t>
      </w:r>
      <w:r>
        <w:rPr>
          <w:rFonts w:ascii="仿宋" w:hAnsi="仿宋" w:eastAsia="仿宋"/>
        </w:rPr>
        <w:t>0</w:t>
      </w:r>
      <w:r>
        <w:rPr>
          <w:rFonts w:hint="eastAsia" w:ascii="仿宋" w:hAnsi="仿宋" w:eastAsia="仿宋"/>
        </w:rPr>
        <w:t>周年庆祝活动中，先后协调1</w:t>
      </w:r>
      <w:r>
        <w:rPr>
          <w:rFonts w:ascii="仿宋" w:hAnsi="仿宋" w:eastAsia="仿宋"/>
        </w:rPr>
        <w:t>0</w:t>
      </w:r>
      <w:r>
        <w:rPr>
          <w:rFonts w:hint="eastAsia" w:ascii="仿宋" w:hAnsi="仿宋" w:eastAsia="仿宋"/>
        </w:rPr>
        <w:t>万余人次参与，确保城市运行、交通、环卫和街景管理、3</w:t>
      </w:r>
      <w:r>
        <w:rPr>
          <w:rFonts w:ascii="仿宋" w:hAnsi="仿宋" w:eastAsia="仿宋"/>
        </w:rPr>
        <w:t>5</w:t>
      </w:r>
      <w:r>
        <w:rPr>
          <w:rFonts w:hint="eastAsia" w:ascii="仿宋" w:hAnsi="仿宋" w:eastAsia="仿宋"/>
        </w:rPr>
        <w:t>方阵集散疏导等工作“零差错”，充分展示了大国首都的风采。通过重大活动引领，高标准实施了重点区域的环境综合整治，解决了一批突出的城市环境问题，进一步带动了城市管理各项工作水平的全面提高。</w:t>
      </w:r>
    </w:p>
    <w:p>
      <w:pPr>
        <w:pStyle w:val="4"/>
        <w:rPr>
          <w:rFonts w:ascii="仿宋" w:hAnsi="仿宋" w:eastAsia="仿宋"/>
        </w:rPr>
      </w:pPr>
      <w:r>
        <w:rPr>
          <w:rFonts w:hint="eastAsia" w:ascii="仿宋" w:hAnsi="仿宋" w:eastAsia="仿宋"/>
        </w:rPr>
        <w:t>持续</w:t>
      </w:r>
      <w:r>
        <w:rPr>
          <w:rFonts w:ascii="仿宋" w:hAnsi="仿宋" w:eastAsia="仿宋"/>
        </w:rPr>
        <w:t>推进城市环境综合整治，市容环境品质</w:t>
      </w:r>
      <w:r>
        <w:rPr>
          <w:rFonts w:hint="eastAsia" w:ascii="仿宋" w:hAnsi="仿宋" w:eastAsia="仿宋"/>
        </w:rPr>
        <w:t>稳步提升</w:t>
      </w:r>
    </w:p>
    <w:p>
      <w:pPr>
        <w:ind w:firstLine="562"/>
        <w:rPr>
          <w:rFonts w:ascii="仿宋" w:hAnsi="仿宋" w:eastAsia="仿宋"/>
        </w:rPr>
      </w:pPr>
      <w:r>
        <w:rPr>
          <w:rFonts w:hint="eastAsia" w:ascii="仿宋" w:hAnsi="仿宋" w:eastAsia="仿宋"/>
          <w:b/>
          <w:bCs/>
        </w:rPr>
        <w:t>推进重点区域的环境综合整治，城市风貌明显改善。</w:t>
      </w:r>
      <w:r>
        <w:rPr>
          <w:rFonts w:hint="eastAsia" w:ascii="仿宋" w:hAnsi="仿宋" w:eastAsia="仿宋"/>
        </w:rPr>
        <w:t>“十三五”期间实施了</w:t>
      </w:r>
      <w:r>
        <w:rPr>
          <w:rFonts w:ascii="仿宋" w:hAnsi="仿宋" w:eastAsia="仿宋" w:cs="Times New Roman"/>
          <w:szCs w:val="24"/>
        </w:rPr>
        <w:t>展览路南片、护国寺片区、陶然亭片区、月坛北片</w:t>
      </w:r>
      <w:r>
        <w:rPr>
          <w:rFonts w:hint="eastAsia" w:ascii="仿宋" w:hAnsi="仿宋" w:eastAsia="仿宋"/>
        </w:rPr>
        <w:t>4个区域的环境综合提升项目，西城区环境水平得到提升；开展了25所学校周边的环境综合整治及1</w:t>
      </w:r>
      <w:r>
        <w:rPr>
          <w:rFonts w:ascii="仿宋" w:hAnsi="仿宋" w:eastAsia="仿宋"/>
        </w:rPr>
        <w:t>5</w:t>
      </w:r>
      <w:r>
        <w:rPr>
          <w:rFonts w:hint="eastAsia" w:ascii="仿宋" w:hAnsi="仿宋" w:eastAsia="仿宋"/>
        </w:rPr>
        <w:t>条市区级达标道路的整治，城市风貌得到明显改善。</w:t>
      </w:r>
    </w:p>
    <w:p>
      <w:pPr>
        <w:ind w:firstLine="562"/>
        <w:rPr>
          <w:rFonts w:ascii="仿宋" w:hAnsi="仿宋" w:eastAsia="仿宋"/>
        </w:rPr>
      </w:pPr>
      <w:r>
        <w:rPr>
          <w:rFonts w:hint="eastAsia" w:ascii="仿宋" w:hAnsi="仿宋" w:eastAsia="仿宋"/>
          <w:b/>
          <w:bCs/>
        </w:rPr>
        <w:t>全面开展环境秩序建设，环境执法力度持续增强。</w:t>
      </w:r>
      <w:r>
        <w:rPr>
          <w:rFonts w:hint="eastAsia" w:ascii="仿宋" w:hAnsi="仿宋" w:eastAsia="仿宋" w:cs="Times New Roman"/>
          <w:szCs w:val="24"/>
        </w:rPr>
        <w:t>“十三五”时期共</w:t>
      </w:r>
      <w:r>
        <w:rPr>
          <w:rFonts w:hint="eastAsia" w:ascii="仿宋" w:hAnsi="仿宋" w:eastAsia="仿宋"/>
        </w:rPr>
        <w:t>拆除违法建设13872宗、约52万平方米，</w:t>
      </w:r>
      <w:r>
        <w:rPr>
          <w:rFonts w:ascii="仿宋" w:hAnsi="仿宋" w:eastAsia="仿宋" w:cs="Times New Roman"/>
          <w:szCs w:val="24"/>
        </w:rPr>
        <w:t>以“零容忍”的态度和高压态势保持了新生违法建设“零增长”</w:t>
      </w:r>
      <w:r>
        <w:rPr>
          <w:rFonts w:hint="eastAsia" w:ascii="仿宋" w:hAnsi="仿宋" w:eastAsia="仿宋" w:cs="Times New Roman"/>
          <w:szCs w:val="24"/>
        </w:rPr>
        <w:t>，</w:t>
      </w:r>
      <w:r>
        <w:rPr>
          <w:rFonts w:hint="eastAsia" w:ascii="仿宋" w:hAnsi="仿宋" w:eastAsia="仿宋"/>
        </w:rPr>
        <w:t>治理“开墙打洞”825条街、8022户；治理占道经营264处、市级脏乱点1000余宗；拔除废弃电线杆206根，规范治理占用公共空间的商亭27处、宣传栏30处；取缔非法再生资源网点94处，规范洗车、修车点29处，关停5处；清理私设地桩地锁4189个、占道“僵尸车”226辆、废弃非机动车4.4万辆。</w:t>
      </w:r>
    </w:p>
    <w:p>
      <w:pPr>
        <w:ind w:firstLine="562"/>
        <w:rPr>
          <w:rFonts w:ascii="仿宋" w:hAnsi="仿宋" w:eastAsia="仿宋"/>
        </w:rPr>
      </w:pPr>
      <w:r>
        <w:rPr>
          <w:rFonts w:hint="eastAsia" w:ascii="仿宋" w:hAnsi="仿宋" w:eastAsia="仿宋" w:cs="Times New Roman"/>
          <w:b/>
          <w:bCs/>
          <w:szCs w:val="24"/>
        </w:rPr>
        <w:t>背街小巷环境精细化整治工作有序推进，环境提升效果显著</w:t>
      </w:r>
      <w:r>
        <w:rPr>
          <w:rFonts w:hint="eastAsia" w:ascii="仿宋" w:hAnsi="仿宋" w:eastAsia="仿宋"/>
        </w:rPr>
        <w:t>。累计完成1331条背街小巷环境提升目标。</w:t>
      </w:r>
      <w:r>
        <w:rPr>
          <w:rFonts w:ascii="仿宋" w:hAnsi="仿宋" w:eastAsia="仿宋" w:cs="Times New Roman"/>
          <w:szCs w:val="24"/>
        </w:rPr>
        <w:t>共任命街巷长1392名，招募“小巷管家”6902名，结合实际情况组织进行了11290人次的培训，已上岗“小巷管家”累计巡访334227小时，共处理各类事件45871件。管城理事志愿者总计34389名，发布志愿者服务项目845项，其中区级活动4次，累计活动时长997530小时</w:t>
      </w:r>
      <w:r>
        <w:rPr>
          <w:rFonts w:hint="eastAsia" w:ascii="仿宋" w:hAnsi="仿宋" w:eastAsia="仿宋" w:cs="Times New Roman"/>
          <w:szCs w:val="24"/>
        </w:rPr>
        <w:t>。</w:t>
      </w:r>
    </w:p>
    <w:p>
      <w:pPr>
        <w:ind w:firstLine="562"/>
        <w:rPr>
          <w:rFonts w:ascii="仿宋" w:hAnsi="仿宋" w:eastAsia="仿宋"/>
        </w:rPr>
      </w:pPr>
      <w:r>
        <w:rPr>
          <w:rFonts w:hint="eastAsia" w:ascii="仿宋" w:hAnsi="仿宋" w:eastAsia="仿宋" w:cs="Times New Roman"/>
          <w:b/>
          <w:bCs/>
          <w:szCs w:val="24"/>
        </w:rPr>
        <w:t>市容管理水平逐步提高，城市景观环境品质显著提升。</w:t>
      </w:r>
      <w:r>
        <w:rPr>
          <w:rFonts w:hint="eastAsia" w:ascii="仿宋" w:hAnsi="仿宋" w:eastAsia="仿宋"/>
        </w:rPr>
        <w:t>完成了对辖区“有路无灯”、“有灯不亮”道路的逐一摸排，开展了金融街夜景照明提升工程</w:t>
      </w:r>
      <w:r>
        <w:rPr>
          <w:rFonts w:hint="eastAsia" w:ascii="仿宋" w:hAnsi="仿宋" w:eastAsia="仿宋" w:cs="Times New Roman"/>
          <w:szCs w:val="24"/>
        </w:rPr>
        <w:t>和夜景照明设施的摸排，</w:t>
      </w:r>
      <w:r>
        <w:rPr>
          <w:rFonts w:hint="eastAsia" w:ascii="仿宋" w:hAnsi="仿宋" w:eastAsia="仿宋"/>
        </w:rPr>
        <w:t>提高了城市亮化水平；完成了42个老旧小区、3400间平房翻建修缮、9503平方米建筑物立面整饰、174处牌匾规范和14564平方米地面整修，增加5处公共服务设施；清理堆物堆料6467吨，清理小广告61117张。</w:t>
      </w:r>
    </w:p>
    <w:p>
      <w:pPr>
        <w:ind w:firstLine="562"/>
        <w:rPr>
          <w:rFonts w:ascii="仿宋" w:hAnsi="仿宋" w:eastAsia="仿宋"/>
        </w:rPr>
      </w:pPr>
      <w:r>
        <w:rPr>
          <w:rFonts w:hint="eastAsia" w:ascii="仿宋" w:hAnsi="仿宋" w:eastAsia="仿宋"/>
          <w:b/>
          <w:bCs/>
        </w:rPr>
        <w:t>主次干路架空线入地改造进展顺利，城市形象显著提升。</w:t>
      </w:r>
      <w:r>
        <w:rPr>
          <w:rFonts w:hint="eastAsia" w:ascii="仿宋" w:hAnsi="仿宋" w:eastAsia="仿宋" w:cs="Times New Roman"/>
          <w:szCs w:val="24"/>
        </w:rPr>
        <w:t>累计完成了6</w:t>
      </w:r>
      <w:r>
        <w:rPr>
          <w:rFonts w:ascii="仿宋" w:hAnsi="仿宋" w:eastAsia="仿宋" w:cs="Times New Roman"/>
          <w:szCs w:val="24"/>
        </w:rPr>
        <w:t>5</w:t>
      </w:r>
      <w:r>
        <w:rPr>
          <w:rFonts w:hint="eastAsia" w:ascii="仿宋" w:hAnsi="仿宋" w:eastAsia="仿宋" w:cs="Times New Roman"/>
          <w:szCs w:val="24"/>
        </w:rPr>
        <w:t>条主次干路、9</w:t>
      </w:r>
      <w:r>
        <w:rPr>
          <w:rFonts w:ascii="仿宋" w:hAnsi="仿宋" w:eastAsia="仿宋" w:cs="Times New Roman"/>
          <w:szCs w:val="24"/>
        </w:rPr>
        <w:t>7</w:t>
      </w:r>
      <w:r>
        <w:rPr>
          <w:rFonts w:hint="eastAsia" w:ascii="仿宋" w:hAnsi="仿宋" w:eastAsia="仿宋" w:cs="Times New Roman"/>
          <w:szCs w:val="24"/>
        </w:rPr>
        <w:t>条支路的电力架空线入地改造，3</w:t>
      </w:r>
      <w:r>
        <w:rPr>
          <w:rFonts w:ascii="仿宋" w:hAnsi="仿宋" w:eastAsia="仿宋" w:cs="Times New Roman"/>
          <w:szCs w:val="24"/>
        </w:rPr>
        <w:t>7</w:t>
      </w:r>
      <w:r>
        <w:rPr>
          <w:rFonts w:hint="eastAsia" w:ascii="仿宋" w:hAnsi="仿宋" w:eastAsia="仿宋" w:cs="Times New Roman"/>
          <w:szCs w:val="24"/>
        </w:rPr>
        <w:t>条主次干路、1</w:t>
      </w:r>
      <w:r>
        <w:rPr>
          <w:rFonts w:ascii="仿宋" w:hAnsi="仿宋" w:eastAsia="仿宋" w:cs="Times New Roman"/>
          <w:szCs w:val="24"/>
        </w:rPr>
        <w:t>20</w:t>
      </w:r>
      <w:r>
        <w:rPr>
          <w:rFonts w:hint="eastAsia" w:ascii="仿宋" w:hAnsi="仿宋" w:eastAsia="仿宋" w:cs="Times New Roman"/>
          <w:szCs w:val="24"/>
        </w:rPr>
        <w:t>条支路共7</w:t>
      </w:r>
      <w:r>
        <w:rPr>
          <w:rFonts w:ascii="仿宋" w:hAnsi="仿宋" w:eastAsia="仿宋" w:cs="Times New Roman"/>
          <w:szCs w:val="24"/>
        </w:rPr>
        <w:t>5.8</w:t>
      </w:r>
      <w:r>
        <w:rPr>
          <w:rFonts w:hint="eastAsia" w:ascii="仿宋" w:hAnsi="仿宋" w:eastAsia="仿宋" w:cs="Times New Roman"/>
          <w:szCs w:val="24"/>
        </w:rPr>
        <w:t>公里路灯架空线入地改造，1</w:t>
      </w:r>
      <w:r>
        <w:rPr>
          <w:rFonts w:ascii="仿宋" w:hAnsi="仿宋" w:eastAsia="仿宋" w:cs="Times New Roman"/>
          <w:szCs w:val="24"/>
        </w:rPr>
        <w:t>37</w:t>
      </w:r>
      <w:r>
        <w:rPr>
          <w:rFonts w:hint="eastAsia" w:ascii="仿宋" w:hAnsi="仿宋" w:eastAsia="仿宋" w:cs="Times New Roman"/>
          <w:szCs w:val="24"/>
        </w:rPr>
        <w:t>条主次干路、1</w:t>
      </w:r>
      <w:r>
        <w:rPr>
          <w:rFonts w:ascii="仿宋" w:hAnsi="仿宋" w:eastAsia="仿宋" w:cs="Times New Roman"/>
          <w:szCs w:val="24"/>
        </w:rPr>
        <w:t>159</w:t>
      </w:r>
      <w:r>
        <w:rPr>
          <w:rFonts w:hint="eastAsia" w:ascii="仿宋" w:hAnsi="仿宋" w:eastAsia="仿宋" w:cs="Times New Roman"/>
          <w:szCs w:val="24"/>
        </w:rPr>
        <w:t>条支路共2</w:t>
      </w:r>
      <w:r>
        <w:rPr>
          <w:rFonts w:ascii="仿宋" w:hAnsi="仿宋" w:eastAsia="仿宋" w:cs="Times New Roman"/>
          <w:szCs w:val="24"/>
        </w:rPr>
        <w:t>70</w:t>
      </w:r>
      <w:r>
        <w:rPr>
          <w:rFonts w:hint="eastAsia" w:ascii="仿宋" w:hAnsi="仿宋" w:eastAsia="仿宋" w:cs="Times New Roman"/>
          <w:szCs w:val="24"/>
        </w:rPr>
        <w:t>公里通信架空线入地改造。全区主次干路电力、路灯、通信架空线入地改造及支路胡同通信架空线入地改造进展顺利。</w:t>
      </w:r>
    </w:p>
    <w:p>
      <w:pPr>
        <w:pStyle w:val="4"/>
        <w:rPr>
          <w:rFonts w:ascii="仿宋" w:hAnsi="仿宋" w:eastAsia="仿宋"/>
        </w:rPr>
      </w:pPr>
      <w:r>
        <w:rPr>
          <w:rFonts w:hint="eastAsia" w:ascii="仿宋" w:hAnsi="仿宋" w:eastAsia="仿宋"/>
        </w:rPr>
        <w:t>市政</w:t>
      </w:r>
      <w:r>
        <w:rPr>
          <w:rFonts w:ascii="仿宋" w:hAnsi="仿宋" w:eastAsia="仿宋"/>
        </w:rPr>
        <w:t>基础设施</w:t>
      </w:r>
      <w:r>
        <w:rPr>
          <w:rFonts w:hint="eastAsia" w:ascii="仿宋" w:hAnsi="仿宋" w:eastAsia="仿宋"/>
        </w:rPr>
        <w:t>保障稳中有升</w:t>
      </w:r>
      <w:r>
        <w:rPr>
          <w:rFonts w:ascii="仿宋" w:hAnsi="仿宋" w:eastAsia="仿宋"/>
        </w:rPr>
        <w:t>，</w:t>
      </w:r>
      <w:r>
        <w:rPr>
          <w:rFonts w:hint="eastAsia" w:ascii="仿宋" w:hAnsi="仿宋" w:eastAsia="仿宋"/>
        </w:rPr>
        <w:t>设施服务能力持续</w:t>
      </w:r>
      <w:r>
        <w:rPr>
          <w:rFonts w:ascii="仿宋" w:hAnsi="仿宋" w:eastAsia="仿宋"/>
        </w:rPr>
        <w:t>提高</w:t>
      </w:r>
    </w:p>
    <w:p>
      <w:pPr>
        <w:ind w:firstLine="562"/>
        <w:rPr>
          <w:rFonts w:ascii="仿宋" w:hAnsi="仿宋" w:eastAsia="仿宋" w:cs="Times New Roman"/>
          <w:b/>
          <w:bCs/>
          <w:szCs w:val="24"/>
        </w:rPr>
      </w:pPr>
      <w:r>
        <w:rPr>
          <w:rFonts w:hint="eastAsia" w:ascii="仿宋" w:hAnsi="仿宋" w:eastAsia="仿宋" w:cs="Times New Roman"/>
          <w:b/>
          <w:bCs/>
          <w:szCs w:val="24"/>
        </w:rPr>
        <w:t>老楼通气、热源整合持续推进，老城区能源供给不断完善。</w:t>
      </w:r>
      <w:r>
        <w:rPr>
          <w:rFonts w:ascii="仿宋" w:hAnsi="仿宋" w:eastAsia="仿宋" w:cs="Times New Roman"/>
          <w:szCs w:val="24"/>
        </w:rPr>
        <w:t>积极落实北京市清洁能源应用的要求</w:t>
      </w:r>
      <w:r>
        <w:rPr>
          <w:rFonts w:hint="eastAsia" w:ascii="仿宋" w:hAnsi="仿宋" w:eastAsia="仿宋" w:cs="Times New Roman"/>
          <w:szCs w:val="24"/>
        </w:rPr>
        <w:t>，大力推进管道天然气建设、老楼供气及小微企业供气工作，并对陶然亭等</w:t>
      </w:r>
      <w:r>
        <w:rPr>
          <w:rFonts w:ascii="仿宋" w:hAnsi="仿宋" w:eastAsia="仿宋" w:cs="Times New Roman"/>
          <w:szCs w:val="24"/>
        </w:rPr>
        <w:t>2个街道3000多户居民</w:t>
      </w:r>
      <w:r>
        <w:rPr>
          <w:rFonts w:hint="eastAsia" w:ascii="仿宋" w:hAnsi="仿宋" w:eastAsia="仿宋" w:cs="Times New Roman"/>
          <w:szCs w:val="24"/>
        </w:rPr>
        <w:t>家庭</w:t>
      </w:r>
      <w:r>
        <w:rPr>
          <w:rFonts w:ascii="仿宋" w:hAnsi="仿宋" w:eastAsia="仿宋" w:cs="Times New Roman"/>
          <w:szCs w:val="24"/>
        </w:rPr>
        <w:t>进行燃气连接软管及减压阀更换，减少</w:t>
      </w:r>
      <w:r>
        <w:rPr>
          <w:rFonts w:hint="eastAsia" w:ascii="仿宋" w:hAnsi="仿宋" w:eastAsia="仿宋" w:cs="Times New Roman"/>
          <w:szCs w:val="24"/>
        </w:rPr>
        <w:t>了</w:t>
      </w:r>
      <w:r>
        <w:rPr>
          <w:rFonts w:ascii="仿宋" w:hAnsi="仿宋" w:eastAsia="仿宋" w:cs="Times New Roman"/>
          <w:szCs w:val="24"/>
        </w:rPr>
        <w:t>用气隐患。</w:t>
      </w:r>
      <w:r>
        <w:rPr>
          <w:rFonts w:hint="eastAsia" w:ascii="仿宋" w:hAnsi="仿宋" w:eastAsia="仿宋" w:cs="Times New Roman"/>
          <w:szCs w:val="24"/>
        </w:rPr>
        <w:t>同时，</w:t>
      </w:r>
      <w:r>
        <w:rPr>
          <w:rFonts w:ascii="仿宋" w:hAnsi="仿宋" w:eastAsia="仿宋" w:cs="Times New Roman"/>
          <w:szCs w:val="24"/>
        </w:rPr>
        <w:t>对</w:t>
      </w:r>
      <w:r>
        <w:rPr>
          <w:rFonts w:hint="eastAsia" w:ascii="仿宋" w:hAnsi="仿宋" w:eastAsia="仿宋" w:cs="Times New Roman"/>
          <w:szCs w:val="24"/>
        </w:rPr>
        <w:t>全区范围内</w:t>
      </w:r>
      <w:r>
        <w:rPr>
          <w:rFonts w:ascii="仿宋" w:hAnsi="仿宋" w:eastAsia="仿宋" w:cs="Times New Roman"/>
          <w:szCs w:val="24"/>
        </w:rPr>
        <w:t>供热规模小</w:t>
      </w:r>
      <w:r>
        <w:rPr>
          <w:rFonts w:hint="eastAsia" w:ascii="仿宋" w:hAnsi="仿宋" w:eastAsia="仿宋" w:cs="Times New Roman"/>
          <w:szCs w:val="24"/>
        </w:rPr>
        <w:t>、</w:t>
      </w:r>
      <w:r>
        <w:rPr>
          <w:rFonts w:ascii="仿宋" w:hAnsi="仿宋" w:eastAsia="仿宋" w:cs="Times New Roman"/>
          <w:szCs w:val="24"/>
        </w:rPr>
        <w:t>能耗高</w:t>
      </w:r>
      <w:r>
        <w:rPr>
          <w:rFonts w:hint="eastAsia" w:ascii="仿宋" w:hAnsi="仿宋" w:eastAsia="仿宋" w:cs="Times New Roman"/>
          <w:szCs w:val="24"/>
        </w:rPr>
        <w:t>、</w:t>
      </w:r>
      <w:r>
        <w:rPr>
          <w:rFonts w:ascii="仿宋" w:hAnsi="仿宋" w:eastAsia="仿宋" w:cs="Times New Roman"/>
          <w:szCs w:val="24"/>
        </w:rPr>
        <w:t>供热质量差的分散小锅炉进行</w:t>
      </w:r>
      <w:r>
        <w:rPr>
          <w:rFonts w:hint="eastAsia" w:ascii="仿宋" w:hAnsi="仿宋" w:eastAsia="仿宋" w:cs="Times New Roman"/>
          <w:szCs w:val="24"/>
        </w:rPr>
        <w:t>了</w:t>
      </w:r>
      <w:r>
        <w:rPr>
          <w:rFonts w:ascii="仿宋" w:hAnsi="仿宋" w:eastAsia="仿宋" w:cs="Times New Roman"/>
          <w:szCs w:val="24"/>
        </w:rPr>
        <w:t>整合</w:t>
      </w:r>
      <w:r>
        <w:rPr>
          <w:rFonts w:hint="eastAsia" w:ascii="仿宋" w:hAnsi="仿宋" w:eastAsia="仿宋" w:cs="Times New Roman"/>
          <w:szCs w:val="24"/>
        </w:rPr>
        <w:t>，累计</w:t>
      </w:r>
      <w:r>
        <w:rPr>
          <w:rFonts w:ascii="仿宋" w:hAnsi="仿宋" w:eastAsia="仿宋" w:cs="Times New Roman"/>
          <w:szCs w:val="24"/>
        </w:rPr>
        <w:t>整合取缔小、散燃油锅炉房67座</w:t>
      </w:r>
      <w:r>
        <w:rPr>
          <w:rFonts w:hint="eastAsia" w:ascii="仿宋" w:hAnsi="仿宋" w:eastAsia="仿宋" w:cs="Times New Roman"/>
          <w:szCs w:val="24"/>
        </w:rPr>
        <w:t>，</w:t>
      </w:r>
      <w:r>
        <w:rPr>
          <w:rFonts w:ascii="仿宋" w:hAnsi="仿宋" w:eastAsia="仿宋" w:cs="Times New Roman"/>
          <w:szCs w:val="24"/>
        </w:rPr>
        <w:t>有效降低</w:t>
      </w:r>
      <w:r>
        <w:rPr>
          <w:rFonts w:hint="eastAsia" w:ascii="仿宋" w:hAnsi="仿宋" w:eastAsia="仿宋" w:cs="Times New Roman"/>
          <w:szCs w:val="24"/>
        </w:rPr>
        <w:t>了</w:t>
      </w:r>
      <w:r>
        <w:rPr>
          <w:rFonts w:ascii="仿宋" w:hAnsi="仿宋" w:eastAsia="仿宋" w:cs="Times New Roman"/>
          <w:szCs w:val="24"/>
        </w:rPr>
        <w:t>污染物排放水平</w:t>
      </w:r>
      <w:r>
        <w:rPr>
          <w:rFonts w:hint="eastAsia" w:ascii="仿宋" w:hAnsi="仿宋" w:eastAsia="仿宋" w:cs="Times New Roman"/>
          <w:szCs w:val="24"/>
        </w:rPr>
        <w:t>。</w:t>
      </w:r>
    </w:p>
    <w:p>
      <w:pPr>
        <w:ind w:firstLine="562"/>
        <w:rPr>
          <w:rFonts w:ascii="仿宋" w:hAnsi="仿宋" w:eastAsia="仿宋" w:cs="Times New Roman"/>
          <w:b/>
          <w:bCs/>
          <w:szCs w:val="24"/>
        </w:rPr>
      </w:pPr>
      <w:r>
        <w:rPr>
          <w:rFonts w:hint="eastAsia" w:ascii="仿宋" w:hAnsi="仿宋" w:eastAsia="仿宋" w:cs="Times New Roman"/>
          <w:b/>
          <w:bCs/>
          <w:szCs w:val="24"/>
        </w:rPr>
        <w:t>管网</w:t>
      </w:r>
      <w:r>
        <w:rPr>
          <w:rFonts w:ascii="仿宋" w:hAnsi="仿宋" w:eastAsia="仿宋" w:cs="Times New Roman"/>
          <w:b/>
          <w:bCs/>
          <w:szCs w:val="24"/>
        </w:rPr>
        <w:t>养护及老旧管网更新改造</w:t>
      </w:r>
      <w:r>
        <w:rPr>
          <w:rFonts w:hint="eastAsia" w:ascii="仿宋" w:hAnsi="仿宋" w:eastAsia="仿宋" w:cs="Times New Roman"/>
          <w:b/>
          <w:bCs/>
          <w:szCs w:val="24"/>
        </w:rPr>
        <w:t>持续</w:t>
      </w:r>
      <w:r>
        <w:rPr>
          <w:rFonts w:ascii="仿宋" w:hAnsi="仿宋" w:eastAsia="仿宋" w:cs="Times New Roman"/>
          <w:b/>
          <w:bCs/>
          <w:szCs w:val="24"/>
        </w:rPr>
        <w:t>推进</w:t>
      </w:r>
      <w:r>
        <w:rPr>
          <w:rFonts w:hint="eastAsia" w:ascii="仿宋" w:hAnsi="仿宋" w:eastAsia="仿宋" w:cs="Times New Roman"/>
          <w:b/>
          <w:bCs/>
          <w:szCs w:val="24"/>
        </w:rPr>
        <w:t>，设施</w:t>
      </w:r>
      <w:r>
        <w:rPr>
          <w:rFonts w:ascii="仿宋" w:hAnsi="仿宋" w:eastAsia="仿宋" w:cs="Times New Roman"/>
          <w:b/>
          <w:bCs/>
          <w:szCs w:val="24"/>
        </w:rPr>
        <w:t>服务</w:t>
      </w:r>
      <w:r>
        <w:rPr>
          <w:rFonts w:hint="eastAsia" w:ascii="仿宋" w:hAnsi="仿宋" w:eastAsia="仿宋" w:cs="Times New Roman"/>
          <w:b/>
          <w:bCs/>
          <w:szCs w:val="24"/>
        </w:rPr>
        <w:t>水平</w:t>
      </w:r>
      <w:r>
        <w:rPr>
          <w:rFonts w:ascii="仿宋" w:hAnsi="仿宋" w:eastAsia="仿宋" w:cs="Times New Roman"/>
          <w:b/>
          <w:bCs/>
          <w:szCs w:val="24"/>
        </w:rPr>
        <w:t>明显提升。</w:t>
      </w:r>
      <w:r>
        <w:rPr>
          <w:rFonts w:ascii="仿宋" w:hAnsi="仿宋" w:eastAsia="仿宋" w:cs="Times New Roman"/>
          <w:szCs w:val="24"/>
        </w:rPr>
        <w:t>积极开展</w:t>
      </w:r>
      <w:r>
        <w:rPr>
          <w:rFonts w:hint="eastAsia" w:ascii="仿宋" w:hAnsi="仿宋" w:eastAsia="仿宋" w:cs="Times New Roman"/>
          <w:szCs w:val="24"/>
        </w:rPr>
        <w:t>安全检查、隐患排查、地下管线保护、</w:t>
      </w:r>
      <w:r>
        <w:rPr>
          <w:rFonts w:ascii="仿宋" w:hAnsi="仿宋" w:eastAsia="仿宋" w:cs="Times New Roman"/>
          <w:szCs w:val="24"/>
        </w:rPr>
        <w:t>老旧管网更新及雨污水管网清管</w:t>
      </w:r>
      <w:r>
        <w:rPr>
          <w:rFonts w:hint="eastAsia" w:ascii="仿宋" w:hAnsi="仿宋" w:eastAsia="仿宋" w:cs="Times New Roman"/>
          <w:szCs w:val="24"/>
        </w:rPr>
        <w:t>行动</w:t>
      </w:r>
      <w:r>
        <w:rPr>
          <w:rFonts w:ascii="仿宋" w:hAnsi="仿宋" w:eastAsia="仿宋" w:cs="Times New Roman"/>
          <w:szCs w:val="24"/>
        </w:rPr>
        <w:t>，</w:t>
      </w:r>
      <w:r>
        <w:rPr>
          <w:rFonts w:hint="eastAsia" w:ascii="仿宋" w:hAnsi="仿宋" w:eastAsia="仿宋" w:cs="Times New Roman"/>
          <w:szCs w:val="24"/>
        </w:rPr>
        <w:t>累计</w:t>
      </w:r>
      <w:r>
        <w:rPr>
          <w:rFonts w:ascii="仿宋" w:hAnsi="仿宋" w:eastAsia="仿宋" w:cs="Times New Roman"/>
          <w:szCs w:val="24"/>
        </w:rPr>
        <w:t>实施420</w:t>
      </w:r>
      <w:r>
        <w:rPr>
          <w:rFonts w:hint="eastAsia" w:ascii="仿宋" w:hAnsi="仿宋" w:eastAsia="仿宋" w:cs="Times New Roman"/>
          <w:szCs w:val="24"/>
        </w:rPr>
        <w:t>个</w:t>
      </w:r>
      <w:r>
        <w:rPr>
          <w:rFonts w:ascii="仿宋" w:hAnsi="仿宋" w:eastAsia="仿宋" w:cs="Times New Roman"/>
          <w:szCs w:val="24"/>
        </w:rPr>
        <w:t>胡同干式消防管线铺设</w:t>
      </w:r>
      <w:r>
        <w:rPr>
          <w:rFonts w:hint="eastAsia" w:ascii="仿宋" w:hAnsi="仿宋" w:eastAsia="仿宋" w:cs="Times New Roman"/>
          <w:szCs w:val="24"/>
        </w:rPr>
        <w:t>、78处</w:t>
      </w:r>
      <w:r>
        <w:rPr>
          <w:rFonts w:ascii="仿宋" w:hAnsi="仿宋" w:eastAsia="仿宋" w:cs="Times New Roman"/>
          <w:szCs w:val="24"/>
        </w:rPr>
        <w:t>老旧小区内部供水管网改造及管网专业化管理</w:t>
      </w:r>
      <w:r>
        <w:rPr>
          <w:rFonts w:hint="eastAsia" w:ascii="仿宋" w:hAnsi="仿宋" w:eastAsia="仿宋" w:cs="Times New Roman"/>
          <w:szCs w:val="24"/>
        </w:rPr>
        <w:t>。推进</w:t>
      </w:r>
      <w:r>
        <w:rPr>
          <w:rFonts w:ascii="仿宋" w:hAnsi="仿宋" w:eastAsia="仿宋" w:cs="Times New Roman"/>
          <w:szCs w:val="24"/>
        </w:rPr>
        <w:t>实施66</w:t>
      </w:r>
      <w:r>
        <w:rPr>
          <w:rFonts w:hint="eastAsia" w:ascii="仿宋" w:hAnsi="仿宋" w:eastAsia="仿宋" w:cs="Times New Roman"/>
          <w:szCs w:val="24"/>
        </w:rPr>
        <w:t>个</w:t>
      </w:r>
      <w:r>
        <w:rPr>
          <w:rFonts w:ascii="仿宋" w:hAnsi="仿宋" w:eastAsia="仿宋" w:cs="Times New Roman"/>
          <w:szCs w:val="24"/>
        </w:rPr>
        <w:t>小区</w:t>
      </w:r>
      <w:r>
        <w:rPr>
          <w:rFonts w:hint="eastAsia" w:ascii="仿宋" w:hAnsi="仿宋" w:eastAsia="仿宋" w:cs="Times New Roman"/>
          <w:szCs w:val="24"/>
        </w:rPr>
        <w:t>62万</w:t>
      </w:r>
      <w:r>
        <w:rPr>
          <w:rFonts w:ascii="仿宋" w:hAnsi="仿宋" w:eastAsia="仿宋" w:cs="Times New Roman"/>
          <w:szCs w:val="24"/>
        </w:rPr>
        <w:t>平方米</w:t>
      </w:r>
      <w:r>
        <w:rPr>
          <w:rFonts w:hint="eastAsia" w:ascii="仿宋" w:hAnsi="仿宋" w:eastAsia="仿宋" w:cs="Times New Roman"/>
          <w:szCs w:val="24"/>
        </w:rPr>
        <w:t>老旧</w:t>
      </w:r>
      <w:r>
        <w:rPr>
          <w:rFonts w:ascii="仿宋" w:hAnsi="仿宋" w:eastAsia="仿宋" w:cs="Times New Roman"/>
          <w:szCs w:val="24"/>
        </w:rPr>
        <w:t>供热管网改造</w:t>
      </w:r>
      <w:r>
        <w:rPr>
          <w:rFonts w:hint="eastAsia" w:ascii="仿宋" w:hAnsi="仿宋" w:eastAsia="仿宋" w:cs="Times New Roman"/>
          <w:szCs w:val="24"/>
        </w:rPr>
        <w:t>、63个</w:t>
      </w:r>
      <w:r>
        <w:rPr>
          <w:rFonts w:ascii="仿宋" w:hAnsi="仿宋" w:eastAsia="仿宋" w:cs="Times New Roman"/>
          <w:szCs w:val="24"/>
        </w:rPr>
        <w:t>小区热计量改造</w:t>
      </w:r>
      <w:r>
        <w:rPr>
          <w:rFonts w:hint="eastAsia" w:ascii="仿宋" w:hAnsi="仿宋" w:eastAsia="仿宋" w:cs="Times New Roman"/>
          <w:szCs w:val="24"/>
        </w:rPr>
        <w:t>。实施</w:t>
      </w:r>
      <w:r>
        <w:rPr>
          <w:rFonts w:ascii="仿宋" w:hAnsi="仿宋" w:eastAsia="仿宋" w:cs="Times New Roman"/>
          <w:szCs w:val="24"/>
        </w:rPr>
        <w:t>完成</w:t>
      </w:r>
      <w:r>
        <w:rPr>
          <w:rFonts w:hint="eastAsia" w:ascii="仿宋" w:hAnsi="仿宋" w:eastAsia="仿宋" w:cs="Times New Roman"/>
          <w:szCs w:val="24"/>
        </w:rPr>
        <w:t>123条市政排水管线更新及6.8公里雨污</w:t>
      </w:r>
      <w:r>
        <w:rPr>
          <w:rFonts w:ascii="仿宋" w:hAnsi="仿宋" w:eastAsia="仿宋" w:cs="Times New Roman"/>
          <w:szCs w:val="24"/>
        </w:rPr>
        <w:t>分流改造，累计</w:t>
      </w:r>
      <w:r>
        <w:rPr>
          <w:rFonts w:hint="eastAsia" w:ascii="仿宋" w:hAnsi="仿宋" w:eastAsia="仿宋" w:cs="Times New Roman"/>
          <w:szCs w:val="24"/>
        </w:rPr>
        <w:t>治理雨污</w:t>
      </w:r>
      <w:r>
        <w:rPr>
          <w:rFonts w:ascii="仿宋" w:hAnsi="仿宋" w:eastAsia="仿宋" w:cs="Times New Roman"/>
          <w:szCs w:val="24"/>
        </w:rPr>
        <w:t>混接点</w:t>
      </w:r>
      <w:r>
        <w:rPr>
          <w:rFonts w:hint="eastAsia" w:ascii="仿宋" w:hAnsi="仿宋" w:eastAsia="仿宋" w:cs="Times New Roman"/>
          <w:szCs w:val="24"/>
        </w:rPr>
        <w:t>治理69处，</w:t>
      </w:r>
      <w:r>
        <w:rPr>
          <w:rFonts w:ascii="仿宋" w:hAnsi="仿宋" w:eastAsia="仿宋" w:cs="Times New Roman"/>
          <w:szCs w:val="24"/>
        </w:rPr>
        <w:t>养护雨水管线</w:t>
      </w:r>
      <w:r>
        <w:rPr>
          <w:rFonts w:hint="eastAsia" w:ascii="仿宋" w:hAnsi="仿宋" w:eastAsia="仿宋" w:cs="Times New Roman"/>
          <w:szCs w:val="24"/>
        </w:rPr>
        <w:t>17.56公里、</w:t>
      </w:r>
      <w:r>
        <w:rPr>
          <w:rFonts w:ascii="仿宋" w:hAnsi="仿宋" w:eastAsia="仿宋" w:cs="Times New Roman"/>
          <w:szCs w:val="24"/>
        </w:rPr>
        <w:t>雨水支管</w:t>
      </w:r>
      <w:r>
        <w:rPr>
          <w:rFonts w:hint="eastAsia" w:ascii="仿宋" w:hAnsi="仿宋" w:eastAsia="仿宋" w:cs="Times New Roman"/>
          <w:szCs w:val="24"/>
        </w:rPr>
        <w:t>140.12公里</w:t>
      </w:r>
      <w:r>
        <w:rPr>
          <w:rFonts w:ascii="仿宋" w:hAnsi="仿宋" w:eastAsia="仿宋" w:cs="Times New Roman"/>
          <w:szCs w:val="24"/>
        </w:rPr>
        <w:t>、雨污</w:t>
      </w:r>
      <w:r>
        <w:rPr>
          <w:rFonts w:hint="eastAsia" w:ascii="仿宋" w:hAnsi="仿宋" w:eastAsia="仿宋" w:cs="Times New Roman"/>
          <w:szCs w:val="24"/>
        </w:rPr>
        <w:t>合流</w:t>
      </w:r>
      <w:r>
        <w:rPr>
          <w:rFonts w:ascii="仿宋" w:hAnsi="仿宋" w:eastAsia="仿宋" w:cs="Times New Roman"/>
          <w:szCs w:val="24"/>
        </w:rPr>
        <w:t>管线</w:t>
      </w:r>
      <w:r>
        <w:rPr>
          <w:rFonts w:hint="eastAsia" w:ascii="仿宋" w:hAnsi="仿宋" w:eastAsia="仿宋" w:cs="Times New Roman"/>
          <w:szCs w:val="24"/>
        </w:rPr>
        <w:t>22.47公里。</w:t>
      </w:r>
    </w:p>
    <w:p>
      <w:pPr>
        <w:ind w:firstLine="562"/>
        <w:rPr>
          <w:rFonts w:ascii="仿宋" w:hAnsi="仿宋" w:eastAsia="仿宋"/>
        </w:rPr>
      </w:pPr>
      <w:r>
        <w:rPr>
          <w:rFonts w:hint="eastAsia" w:ascii="仿宋" w:hAnsi="仿宋" w:eastAsia="仿宋" w:cs="Times New Roman"/>
          <w:b/>
          <w:bCs/>
          <w:szCs w:val="24"/>
        </w:rPr>
        <w:t>附属</w:t>
      </w:r>
      <w:r>
        <w:rPr>
          <w:rFonts w:ascii="仿宋" w:hAnsi="仿宋" w:eastAsia="仿宋" w:cs="Times New Roman"/>
          <w:b/>
          <w:bCs/>
          <w:szCs w:val="24"/>
        </w:rPr>
        <w:t>设施病害调查</w:t>
      </w:r>
      <w:r>
        <w:rPr>
          <w:rFonts w:hint="eastAsia" w:ascii="仿宋" w:hAnsi="仿宋" w:eastAsia="仿宋" w:cs="Times New Roman"/>
          <w:b/>
          <w:bCs/>
          <w:szCs w:val="24"/>
        </w:rPr>
        <w:t>及专项</w:t>
      </w:r>
      <w:r>
        <w:rPr>
          <w:rFonts w:ascii="仿宋" w:hAnsi="仿宋" w:eastAsia="仿宋" w:cs="Times New Roman"/>
          <w:b/>
          <w:bCs/>
          <w:szCs w:val="24"/>
        </w:rPr>
        <w:t>治理</w:t>
      </w:r>
      <w:r>
        <w:rPr>
          <w:rFonts w:hint="eastAsia" w:ascii="仿宋" w:hAnsi="仿宋" w:eastAsia="仿宋" w:cs="Times New Roman"/>
          <w:b/>
          <w:bCs/>
          <w:szCs w:val="24"/>
        </w:rPr>
        <w:t>工作有序开展，城市安全得到保障</w:t>
      </w:r>
      <w:r>
        <w:rPr>
          <w:rFonts w:ascii="仿宋" w:hAnsi="仿宋" w:eastAsia="仿宋" w:cs="Times New Roman"/>
          <w:b/>
          <w:bCs/>
          <w:szCs w:val="24"/>
        </w:rPr>
        <w:t>。</w:t>
      </w:r>
      <w:r>
        <w:rPr>
          <w:rFonts w:hint="eastAsia" w:ascii="仿宋" w:hAnsi="仿宋" w:eastAsia="仿宋" w:cs="Times New Roman"/>
          <w:szCs w:val="24"/>
        </w:rPr>
        <w:t>系统</w:t>
      </w:r>
      <w:r>
        <w:rPr>
          <w:rFonts w:ascii="仿宋" w:hAnsi="仿宋" w:eastAsia="仿宋" w:cs="Times New Roman"/>
          <w:szCs w:val="24"/>
        </w:rPr>
        <w:t>开展了</w:t>
      </w:r>
      <w:r>
        <w:rPr>
          <w:rFonts w:hint="eastAsia" w:ascii="仿宋" w:hAnsi="仿宋" w:eastAsia="仿宋" w:cs="Times New Roman"/>
          <w:szCs w:val="24"/>
        </w:rPr>
        <w:t>重点地区市政道路检查井数量、位置、权属单位及病害情况普查工作。</w:t>
      </w:r>
      <w:r>
        <w:rPr>
          <w:rFonts w:ascii="仿宋" w:hAnsi="仿宋" w:eastAsia="仿宋" w:cs="Times New Roman"/>
          <w:szCs w:val="24"/>
        </w:rPr>
        <w:t>设计完成道路设施采集综合信息平台</w:t>
      </w:r>
      <w:r>
        <w:rPr>
          <w:rFonts w:hint="eastAsia" w:ascii="仿宋" w:hAnsi="仿宋" w:eastAsia="仿宋" w:cs="Times New Roman"/>
          <w:szCs w:val="24"/>
        </w:rPr>
        <w:t>，建立</w:t>
      </w:r>
      <w:r>
        <w:rPr>
          <w:rFonts w:ascii="仿宋" w:hAnsi="仿宋" w:eastAsia="仿宋" w:cs="Times New Roman"/>
          <w:szCs w:val="24"/>
        </w:rPr>
        <w:t>全区</w:t>
      </w:r>
      <w:r>
        <w:rPr>
          <w:rFonts w:hint="eastAsia" w:ascii="仿宋" w:hAnsi="仿宋" w:eastAsia="仿宋" w:cs="Times New Roman"/>
          <w:szCs w:val="24"/>
        </w:rPr>
        <w:t>24765个</w:t>
      </w:r>
      <w:r>
        <w:rPr>
          <w:rFonts w:ascii="仿宋" w:hAnsi="仿宋" w:eastAsia="仿宋" w:cs="Times New Roman"/>
          <w:szCs w:val="24"/>
        </w:rPr>
        <w:t>雨水篦子台账信息，</w:t>
      </w:r>
      <w:r>
        <w:rPr>
          <w:rFonts w:hint="eastAsia" w:ascii="仿宋" w:hAnsi="仿宋" w:eastAsia="仿宋" w:cs="Times New Roman"/>
          <w:szCs w:val="24"/>
        </w:rPr>
        <w:t>并</w:t>
      </w:r>
      <w:r>
        <w:rPr>
          <w:rFonts w:ascii="仿宋" w:hAnsi="仿宋" w:eastAsia="仿宋" w:cs="Times New Roman"/>
          <w:szCs w:val="24"/>
        </w:rPr>
        <w:t>联合</w:t>
      </w:r>
      <w:r>
        <w:rPr>
          <w:rFonts w:hint="eastAsia" w:ascii="仿宋" w:hAnsi="仿宋" w:eastAsia="仿宋" w:cs="Times New Roman"/>
          <w:szCs w:val="24"/>
        </w:rPr>
        <w:t>市自来水集团、排水集团等19家管线单位全面</w:t>
      </w:r>
      <w:r>
        <w:rPr>
          <w:rFonts w:ascii="仿宋" w:hAnsi="仿宋" w:eastAsia="仿宋" w:cs="Times New Roman"/>
          <w:szCs w:val="24"/>
        </w:rPr>
        <w:t>推进附属设施病害调查及专项治理。累计维护透水</w:t>
      </w:r>
      <w:r>
        <w:rPr>
          <w:rFonts w:hint="eastAsia" w:ascii="仿宋" w:hAnsi="仿宋" w:eastAsia="仿宋" w:cs="Times New Roman"/>
          <w:szCs w:val="24"/>
        </w:rPr>
        <w:t>步道</w:t>
      </w:r>
      <w:r>
        <w:rPr>
          <w:rFonts w:ascii="仿宋" w:hAnsi="仿宋" w:eastAsia="仿宋" w:cs="Times New Roman"/>
          <w:szCs w:val="24"/>
        </w:rPr>
        <w:t>砖</w:t>
      </w:r>
      <w:r>
        <w:rPr>
          <w:rFonts w:hint="eastAsia" w:ascii="仿宋" w:hAnsi="仿宋" w:eastAsia="仿宋" w:cs="Times New Roman"/>
          <w:szCs w:val="24"/>
        </w:rPr>
        <w:t>3.6万</w:t>
      </w:r>
      <w:r>
        <w:rPr>
          <w:rFonts w:ascii="仿宋" w:hAnsi="仿宋" w:eastAsia="仿宋" w:cs="Times New Roman"/>
          <w:szCs w:val="24"/>
        </w:rPr>
        <w:t>平方米</w:t>
      </w:r>
      <w:r>
        <w:rPr>
          <w:rFonts w:hint="eastAsia" w:ascii="仿宋" w:hAnsi="仿宋" w:eastAsia="仿宋" w:cs="Times New Roman"/>
          <w:szCs w:val="24"/>
        </w:rPr>
        <w:t>，修复</w:t>
      </w:r>
      <w:r>
        <w:rPr>
          <w:rFonts w:ascii="仿宋" w:hAnsi="仿宋" w:eastAsia="仿宋" w:cs="Times New Roman"/>
          <w:szCs w:val="24"/>
        </w:rPr>
        <w:t>检查井</w:t>
      </w:r>
      <w:r>
        <w:rPr>
          <w:rFonts w:hint="eastAsia" w:ascii="仿宋" w:hAnsi="仿宋" w:eastAsia="仿宋" w:cs="Times New Roman"/>
          <w:szCs w:val="24"/>
        </w:rPr>
        <w:t>、</w:t>
      </w:r>
      <w:r>
        <w:rPr>
          <w:rFonts w:ascii="仿宋" w:hAnsi="仿宋" w:eastAsia="仿宋" w:cs="Times New Roman"/>
          <w:szCs w:val="24"/>
        </w:rPr>
        <w:t>渗水</w:t>
      </w:r>
      <w:r>
        <w:rPr>
          <w:rFonts w:hint="eastAsia" w:ascii="仿宋" w:hAnsi="仿宋" w:eastAsia="仿宋" w:cs="Times New Roman"/>
          <w:szCs w:val="24"/>
        </w:rPr>
        <w:t>井近</w:t>
      </w:r>
      <w:r>
        <w:rPr>
          <w:rFonts w:ascii="仿宋" w:hAnsi="仿宋" w:eastAsia="仿宋" w:cs="Times New Roman"/>
          <w:szCs w:val="24"/>
        </w:rPr>
        <w:t>万座，</w:t>
      </w:r>
      <w:r>
        <w:rPr>
          <w:rFonts w:hint="eastAsia" w:ascii="仿宋" w:hAnsi="仿宋" w:eastAsia="仿宋" w:cs="Times New Roman"/>
          <w:szCs w:val="24"/>
        </w:rPr>
        <w:t>清理</w:t>
      </w:r>
      <w:r>
        <w:rPr>
          <w:rFonts w:ascii="仿宋" w:hAnsi="仿宋" w:eastAsia="仿宋" w:cs="Times New Roman"/>
          <w:szCs w:val="24"/>
        </w:rPr>
        <w:t>雨水口</w:t>
      </w:r>
      <w:r>
        <w:rPr>
          <w:rFonts w:hint="eastAsia" w:ascii="仿宋" w:hAnsi="仿宋" w:eastAsia="仿宋" w:cs="Times New Roman"/>
          <w:szCs w:val="24"/>
        </w:rPr>
        <w:t>19959座</w:t>
      </w:r>
      <w:r>
        <w:rPr>
          <w:rFonts w:ascii="仿宋" w:hAnsi="仿宋" w:eastAsia="仿宋" w:cs="Times New Roman"/>
          <w:szCs w:val="24"/>
        </w:rPr>
        <w:t>，清理检查井、截流井</w:t>
      </w:r>
      <w:r>
        <w:rPr>
          <w:rFonts w:hint="eastAsia" w:ascii="仿宋" w:hAnsi="仿宋" w:eastAsia="仿宋" w:cs="Times New Roman"/>
          <w:szCs w:val="24"/>
        </w:rPr>
        <w:t>四千</w:t>
      </w:r>
      <w:r>
        <w:rPr>
          <w:rFonts w:ascii="仿宋" w:hAnsi="仿宋" w:eastAsia="仿宋" w:cs="Times New Roman"/>
          <w:szCs w:val="24"/>
        </w:rPr>
        <w:t>余</w:t>
      </w:r>
      <w:r>
        <w:rPr>
          <w:rFonts w:hint="eastAsia" w:ascii="仿宋" w:hAnsi="仿宋" w:eastAsia="仿宋" w:cs="Times New Roman"/>
          <w:szCs w:val="24"/>
        </w:rPr>
        <w:t>座</w:t>
      </w:r>
      <w:r>
        <w:rPr>
          <w:rFonts w:ascii="仿宋" w:hAnsi="仿宋" w:eastAsia="仿宋" w:cs="Times New Roman"/>
          <w:szCs w:val="24"/>
        </w:rPr>
        <w:t>，</w:t>
      </w:r>
      <w:r>
        <w:rPr>
          <w:rFonts w:hint="eastAsia" w:ascii="仿宋" w:hAnsi="仿宋" w:eastAsia="仿宋" w:cs="Times New Roman"/>
          <w:szCs w:val="24"/>
        </w:rPr>
        <w:t>更换</w:t>
      </w:r>
      <w:r>
        <w:rPr>
          <w:rFonts w:ascii="仿宋" w:hAnsi="仿宋" w:eastAsia="仿宋" w:cs="Times New Roman"/>
          <w:szCs w:val="24"/>
        </w:rPr>
        <w:t>无主井盖</w:t>
      </w:r>
      <w:r>
        <w:rPr>
          <w:rFonts w:hint="eastAsia" w:ascii="仿宋" w:hAnsi="仿宋" w:eastAsia="仿宋" w:cs="Times New Roman"/>
          <w:szCs w:val="24"/>
        </w:rPr>
        <w:t>136套</w:t>
      </w:r>
      <w:r>
        <w:rPr>
          <w:rFonts w:ascii="仿宋" w:hAnsi="仿宋" w:eastAsia="仿宋" w:cs="Times New Roman"/>
          <w:szCs w:val="24"/>
        </w:rPr>
        <w:t>，</w:t>
      </w:r>
      <w:r>
        <w:rPr>
          <w:rFonts w:hint="eastAsia" w:ascii="仿宋" w:hAnsi="仿宋" w:eastAsia="仿宋" w:cs="Times New Roman"/>
          <w:szCs w:val="24"/>
        </w:rPr>
        <w:t>更换</w:t>
      </w:r>
      <w:r>
        <w:rPr>
          <w:rFonts w:ascii="仿宋" w:hAnsi="仿宋" w:eastAsia="仿宋" w:cs="Times New Roman"/>
          <w:szCs w:val="24"/>
        </w:rPr>
        <w:t>雨水篦子</w:t>
      </w:r>
      <w:r>
        <w:rPr>
          <w:rFonts w:hint="eastAsia" w:ascii="仿宋" w:hAnsi="仿宋" w:eastAsia="仿宋" w:cs="Times New Roman"/>
          <w:szCs w:val="24"/>
        </w:rPr>
        <w:t>25套</w:t>
      </w:r>
      <w:r>
        <w:rPr>
          <w:rFonts w:ascii="仿宋" w:hAnsi="仿宋" w:eastAsia="仿宋" w:cs="Times New Roman"/>
          <w:szCs w:val="24"/>
        </w:rPr>
        <w:t>，</w:t>
      </w:r>
      <w:r>
        <w:rPr>
          <w:rFonts w:hint="eastAsia" w:ascii="仿宋" w:hAnsi="仿宋" w:eastAsia="仿宋" w:cs="Times New Roman"/>
          <w:szCs w:val="24"/>
        </w:rPr>
        <w:t>新建</w:t>
      </w:r>
      <w:r>
        <w:rPr>
          <w:rFonts w:ascii="仿宋" w:hAnsi="仿宋" w:eastAsia="仿宋" w:cs="Times New Roman"/>
          <w:szCs w:val="24"/>
        </w:rPr>
        <w:t>雨水口</w:t>
      </w:r>
      <w:r>
        <w:rPr>
          <w:rFonts w:hint="eastAsia" w:ascii="仿宋" w:hAnsi="仿宋" w:eastAsia="仿宋" w:cs="Times New Roman"/>
          <w:szCs w:val="24"/>
        </w:rPr>
        <w:t>31座</w:t>
      </w:r>
      <w:r>
        <w:rPr>
          <w:rFonts w:ascii="仿宋" w:hAnsi="仿宋" w:eastAsia="仿宋" w:cs="Times New Roman"/>
          <w:szCs w:val="24"/>
        </w:rPr>
        <w:t>，新建检查井</w:t>
      </w:r>
      <w:r>
        <w:rPr>
          <w:rFonts w:hint="eastAsia" w:ascii="仿宋" w:hAnsi="仿宋" w:eastAsia="仿宋" w:cs="Times New Roman"/>
          <w:szCs w:val="24"/>
        </w:rPr>
        <w:t>119座。</w:t>
      </w:r>
    </w:p>
    <w:p>
      <w:pPr>
        <w:pStyle w:val="4"/>
        <w:rPr>
          <w:rFonts w:ascii="仿宋" w:hAnsi="仿宋" w:eastAsia="仿宋"/>
        </w:rPr>
      </w:pPr>
      <w:r>
        <w:rPr>
          <w:rFonts w:hint="eastAsia" w:ascii="仿宋" w:hAnsi="仿宋" w:eastAsia="仿宋"/>
        </w:rPr>
        <w:t>城区交通拥堵压力得到缓解，交通系统运行效能有所提升</w:t>
      </w:r>
      <w:bookmarkEnd w:id="7"/>
    </w:p>
    <w:p>
      <w:pPr>
        <w:ind w:firstLine="562"/>
        <w:rPr>
          <w:rFonts w:ascii="仿宋" w:hAnsi="仿宋" w:eastAsia="仿宋" w:cs="Times New Roman"/>
          <w:szCs w:val="24"/>
        </w:rPr>
      </w:pPr>
      <w:r>
        <w:rPr>
          <w:rFonts w:hint="eastAsia" w:ascii="仿宋" w:hAnsi="仿宋" w:eastAsia="仿宋"/>
          <w:b/>
          <w:bCs/>
        </w:rPr>
        <w:t>落实道路大中修及疏堵工程，市政道路环境有所提升。</w:t>
      </w:r>
      <w:r>
        <w:rPr>
          <w:rFonts w:hint="eastAsia" w:ascii="仿宋" w:hAnsi="仿宋" w:eastAsia="仿宋"/>
        </w:rPr>
        <w:t>2016至2019年完成道路大中修共113条、疏堵工程22处，2020年计划实施道路大中修47条、疏堵工程5处，预计顺利完成“十三五”时期规划目标。积极推进交通组织优化工程，持续对部分区域的沥青路面及人行步道进行铺设，更换、建设、挪移各项道路附属设施。开展交通环境整治工程，建设与维护了交通护栏、挡车桩等设施。大力推进了道路无障碍设施建设，2</w:t>
      </w:r>
      <w:r>
        <w:rPr>
          <w:rFonts w:ascii="仿宋" w:hAnsi="仿宋" w:eastAsia="仿宋"/>
        </w:rPr>
        <w:t>016</w:t>
      </w:r>
      <w:r>
        <w:rPr>
          <w:rFonts w:hint="eastAsia" w:ascii="仿宋" w:hAnsi="仿宋" w:eastAsia="仿宋"/>
        </w:rPr>
        <w:t>年</w:t>
      </w:r>
      <w:r>
        <w:rPr>
          <w:rFonts w:hint="eastAsia" w:ascii="仿宋" w:hAnsi="仿宋" w:eastAsia="仿宋" w:cs="Times New Roman"/>
          <w:szCs w:val="24"/>
        </w:rPr>
        <w:t>至2019年无障碍设施共维修6417处，共修复步道及盲道18202.1平米。</w:t>
      </w:r>
    </w:p>
    <w:p>
      <w:pPr>
        <w:ind w:firstLine="562"/>
        <w:rPr>
          <w:rFonts w:ascii="仿宋" w:hAnsi="仿宋" w:eastAsia="仿宋" w:cs="Times New Roman"/>
          <w:szCs w:val="24"/>
        </w:rPr>
      </w:pPr>
      <w:r>
        <w:rPr>
          <w:rFonts w:hint="eastAsia" w:ascii="仿宋" w:hAnsi="仿宋" w:eastAsia="仿宋" w:cs="Times New Roman"/>
          <w:b/>
          <w:bCs/>
          <w:szCs w:val="24"/>
        </w:rPr>
        <w:t>优化停车设施规划建设及管理，静态交通系统逐步完善。</w:t>
      </w:r>
      <w:r>
        <w:rPr>
          <w:rFonts w:hint="eastAsia" w:ascii="仿宋" w:hAnsi="仿宋" w:eastAsia="仿宋" w:cs="Times New Roman"/>
          <w:szCs w:val="24"/>
        </w:rPr>
        <w:t>持续推进停车设施建设，同步实施停车设施“平改立”项目，增加城区停车泊位供给。加大对机动车停车场备案登记力度，共登记601处、124308个泊位。全力推进道路电子收费改革，实现了70条道路、5500余个泊位路侧电子收费。建设与维护西单、西外和金融街3个区域停车诱导系统，在金融街、展览路等6个街道办事处开展错时共享停车工作，解决了部分区域的停车矛盾。加强互联网租赁自行车智慧化停放管理，加大了检查巡查工作力度，规范非机动车</w:t>
      </w:r>
      <w:r>
        <w:rPr>
          <w:rFonts w:ascii="仿宋" w:hAnsi="仿宋" w:eastAsia="仿宋" w:cs="Times New Roman"/>
          <w:szCs w:val="24"/>
        </w:rPr>
        <w:t>交通秩序。</w:t>
      </w:r>
    </w:p>
    <w:p>
      <w:pPr>
        <w:ind w:firstLine="562"/>
        <w:rPr>
          <w:rFonts w:ascii="仿宋" w:hAnsi="仿宋" w:eastAsia="仿宋"/>
        </w:rPr>
      </w:pPr>
      <w:r>
        <w:rPr>
          <w:rFonts w:hint="eastAsia" w:ascii="仿宋" w:hAnsi="仿宋" w:eastAsia="仿宋" w:cs="Times New Roman"/>
          <w:b/>
          <w:bCs/>
          <w:szCs w:val="24"/>
        </w:rPr>
        <w:t>推进慢行系统建设，绿色出行比例进一步提升。</w:t>
      </w:r>
      <w:r>
        <w:rPr>
          <w:rFonts w:hint="eastAsia" w:ascii="仿宋" w:hAnsi="仿宋" w:eastAsia="仿宋" w:cs="Times New Roman"/>
          <w:szCs w:val="24"/>
        </w:rPr>
        <w:t>2016至2019年，共计对115条道路实施了慢行系统改造工程，改造里程126公里，提前完成“十三五”时期125公里慢行系统的改造任务。公共自行车投入运营设备7000套，累计办卡85893张，互联网租赁自行车总量控制在冬季5万辆、春夏秋季6万辆以内，确保自行车管理正常运行。协调市交通委、市交管局、市公交集团等单位，优化了多处公交站点，减少公交车与社会车的相互干扰，调整了多条公交线路。绿色出行比例逐年升高，2</w:t>
      </w:r>
      <w:r>
        <w:rPr>
          <w:rFonts w:ascii="仿宋" w:hAnsi="仿宋" w:eastAsia="仿宋" w:cs="Times New Roman"/>
          <w:szCs w:val="24"/>
        </w:rPr>
        <w:t>019</w:t>
      </w:r>
      <w:r>
        <w:rPr>
          <w:rFonts w:hint="eastAsia" w:ascii="仿宋" w:hAnsi="仿宋" w:eastAsia="仿宋" w:cs="Times New Roman"/>
          <w:szCs w:val="24"/>
        </w:rPr>
        <w:t>年达7</w:t>
      </w:r>
      <w:r>
        <w:rPr>
          <w:rFonts w:ascii="仿宋" w:hAnsi="仿宋" w:eastAsia="仿宋" w:cs="Times New Roman"/>
          <w:szCs w:val="24"/>
        </w:rPr>
        <w:t>5</w:t>
      </w:r>
      <w:r>
        <w:rPr>
          <w:rFonts w:hint="eastAsia" w:ascii="仿宋" w:hAnsi="仿宋" w:eastAsia="仿宋" w:cs="Times New Roman"/>
          <w:szCs w:val="24"/>
        </w:rPr>
        <w:t>%，已提前完成2020年的规划目标。</w:t>
      </w:r>
    </w:p>
    <w:p>
      <w:pPr>
        <w:pStyle w:val="4"/>
        <w:rPr>
          <w:rFonts w:ascii="仿宋" w:hAnsi="仿宋" w:eastAsia="仿宋"/>
        </w:rPr>
      </w:pPr>
      <w:r>
        <w:rPr>
          <w:rFonts w:hint="eastAsia" w:ascii="仿宋" w:hAnsi="仿宋" w:eastAsia="仿宋"/>
        </w:rPr>
        <w:t>水务综合管理能力持续加强，节水控水取得显著成效</w:t>
      </w:r>
    </w:p>
    <w:p>
      <w:pPr>
        <w:ind w:firstLine="562"/>
        <w:rPr>
          <w:rFonts w:ascii="仿宋" w:hAnsi="仿宋" w:eastAsia="仿宋"/>
        </w:rPr>
      </w:pPr>
      <w:r>
        <w:rPr>
          <w:rFonts w:hint="eastAsia" w:ascii="仿宋" w:hAnsi="仿宋" w:eastAsia="仿宋"/>
          <w:b/>
          <w:bCs/>
        </w:rPr>
        <w:t>充分落实最严格水资源管理制度，全面</w:t>
      </w:r>
      <w:r>
        <w:rPr>
          <w:rFonts w:ascii="仿宋" w:hAnsi="仿宋" w:eastAsia="仿宋"/>
          <w:b/>
          <w:bCs/>
        </w:rPr>
        <w:t>完成全区节水</w:t>
      </w:r>
      <w:r>
        <w:rPr>
          <w:rFonts w:hint="eastAsia" w:ascii="仿宋" w:hAnsi="仿宋" w:eastAsia="仿宋"/>
          <w:b/>
          <w:bCs/>
        </w:rPr>
        <w:t>任务。</w:t>
      </w:r>
      <w:r>
        <w:rPr>
          <w:rFonts w:hint="eastAsia" w:ascii="仿宋" w:hAnsi="仿宋" w:eastAsia="仿宋"/>
        </w:rPr>
        <w:t>全区共创建节水型单位453个、节水型社区4个，为老旧小区换装高效节水型花洒8410套、换装节水便器水箱或配件6530套，完成“一户一表”改造1500户，安装远程水表89支，换装高效节水型限流器30255个，完成区教委下属学校、区属企业华天集团等节水限流器换装，区机关服务中心获评“国家级节约型公共机构示范单位”。节水水平及用水效率持续提高，新水用量和用水总量逐年下降，全区节水行动收效明显。</w:t>
      </w:r>
    </w:p>
    <w:p>
      <w:pPr>
        <w:ind w:firstLine="562"/>
        <w:rPr>
          <w:rFonts w:ascii="仿宋" w:hAnsi="仿宋" w:eastAsia="仿宋"/>
        </w:rPr>
      </w:pPr>
      <w:r>
        <w:rPr>
          <w:rFonts w:hint="eastAsia" w:ascii="仿宋" w:hAnsi="仿宋" w:eastAsia="仿宋"/>
          <w:b/>
          <w:bCs/>
        </w:rPr>
        <w:t>水环境质量明显改善，滨水生态景观逐步恢复。</w:t>
      </w:r>
      <w:r>
        <w:rPr>
          <w:rFonts w:hint="eastAsia" w:ascii="仿宋" w:hAnsi="仿宋" w:eastAsia="仿宋"/>
        </w:rPr>
        <w:t>西城区系统推进“清河行动”及“清管行动”，工业污水处理率、生活污水处理率持续保持100%。四处小微水体环境治理成效明显，四个监控断面的水质均达到或优于目标水质，平均水质指数位居全市第四，拥有全市最多“优美河湖”。同时，结合水质改善工程积极打造滨水生态景观，沿护城河、莲花河、永引渠累计建设慢行步道33.4公里，改善了绿道沿线9个街道休闲环境和休闲方式，恢复了西海历史上的湿地景观风貌。</w:t>
      </w:r>
    </w:p>
    <w:p>
      <w:pPr>
        <w:ind w:firstLine="562"/>
        <w:rPr>
          <w:rFonts w:ascii="仿宋" w:hAnsi="仿宋" w:eastAsia="仿宋" w:cs="Times New Roman"/>
          <w:szCs w:val="24"/>
        </w:rPr>
      </w:pPr>
      <w:r>
        <w:rPr>
          <w:rFonts w:hint="eastAsia" w:ascii="仿宋" w:hAnsi="仿宋" w:eastAsia="仿宋" w:cs="Times New Roman"/>
          <w:b/>
          <w:bCs/>
          <w:szCs w:val="24"/>
        </w:rPr>
        <w:t>积极落实雨水利用工程</w:t>
      </w:r>
      <w:r>
        <w:rPr>
          <w:rFonts w:ascii="仿宋" w:hAnsi="仿宋" w:eastAsia="仿宋" w:cs="Times New Roman"/>
          <w:b/>
          <w:bCs/>
          <w:szCs w:val="24"/>
        </w:rPr>
        <w:t>建设任务</w:t>
      </w:r>
      <w:r>
        <w:rPr>
          <w:rFonts w:hint="eastAsia" w:ascii="仿宋" w:hAnsi="仿宋" w:eastAsia="仿宋" w:cs="Times New Roman"/>
          <w:b/>
          <w:bCs/>
          <w:szCs w:val="24"/>
        </w:rPr>
        <w:t>，</w:t>
      </w:r>
      <w:r>
        <w:rPr>
          <w:rFonts w:ascii="仿宋" w:hAnsi="仿宋" w:eastAsia="仿宋" w:cs="Times New Roman"/>
          <w:b/>
          <w:bCs/>
          <w:szCs w:val="24"/>
        </w:rPr>
        <w:t>海绵城市建设初有成效</w:t>
      </w:r>
      <w:r>
        <w:rPr>
          <w:rFonts w:hint="eastAsia" w:ascii="仿宋" w:hAnsi="仿宋" w:eastAsia="仿宋" w:cs="Times New Roman"/>
          <w:b/>
          <w:bCs/>
          <w:szCs w:val="24"/>
        </w:rPr>
        <w:t>。</w:t>
      </w:r>
      <w:r>
        <w:rPr>
          <w:rFonts w:hint="eastAsia" w:ascii="仿宋" w:hAnsi="仿宋" w:eastAsia="仿宋" w:cs="Times New Roman"/>
          <w:szCs w:val="24"/>
        </w:rPr>
        <w:t>累计开展了太平里小区、黄寺大街24号院等102项雨水利用工程，更换了13.46万平方米透水路面砖，对750平方米的绿化空间进行了下沉式改造，增加了2万平方米的屋顶绿化及1500延长米的垂直绿化，雨水收集设施总调节能力达到2200立方米。</w:t>
      </w:r>
    </w:p>
    <w:p>
      <w:pPr>
        <w:ind w:firstLine="562"/>
        <w:rPr>
          <w:rFonts w:ascii="仿宋" w:hAnsi="仿宋" w:eastAsia="仿宋"/>
        </w:rPr>
      </w:pPr>
      <w:r>
        <w:rPr>
          <w:rFonts w:hint="eastAsia" w:ascii="仿宋" w:hAnsi="仿宋" w:eastAsia="仿宋" w:cs="Times New Roman"/>
          <w:b/>
          <w:bCs/>
          <w:szCs w:val="24"/>
        </w:rPr>
        <w:t>再生水规范化管理不断加强，利用率持续提升。</w:t>
      </w:r>
      <w:r>
        <w:rPr>
          <w:rFonts w:hint="eastAsia" w:ascii="仿宋" w:hAnsi="仿宋" w:eastAsia="仿宋" w:cs="Times New Roman"/>
          <w:szCs w:val="24"/>
        </w:rPr>
        <w:t>制定完善了《西城区园林绿化再生水使用规划》等相关规章制度，加强对再生水使用情况的用水统计，并在相关附属设施、绿化灌溉区加强标识系统建设，规范再生水的使用管理。同时，与市排水集团签署了战略合作协议，将进一步加大西城区的再生水利用率。</w:t>
      </w:r>
    </w:p>
    <w:bookmarkEnd w:id="8"/>
    <w:bookmarkEnd w:id="9"/>
    <w:p>
      <w:pPr>
        <w:pStyle w:val="4"/>
        <w:rPr>
          <w:rFonts w:ascii="仿宋" w:hAnsi="仿宋" w:eastAsia="仿宋"/>
        </w:rPr>
      </w:pPr>
      <w:r>
        <w:rPr>
          <w:rFonts w:hint="eastAsia" w:ascii="仿宋" w:hAnsi="仿宋" w:eastAsia="仿宋"/>
        </w:rPr>
        <w:t>垃圾</w:t>
      </w:r>
      <w:r>
        <w:rPr>
          <w:rFonts w:ascii="仿宋" w:hAnsi="仿宋" w:eastAsia="仿宋"/>
        </w:rPr>
        <w:t>分类</w:t>
      </w:r>
      <w:r>
        <w:rPr>
          <w:rFonts w:hint="eastAsia" w:ascii="仿宋" w:hAnsi="仿宋" w:eastAsia="仿宋"/>
        </w:rPr>
        <w:t>示范</w:t>
      </w:r>
      <w:r>
        <w:rPr>
          <w:rFonts w:ascii="仿宋" w:hAnsi="仿宋" w:eastAsia="仿宋"/>
        </w:rPr>
        <w:t>工作稳步推进</w:t>
      </w:r>
      <w:r>
        <w:rPr>
          <w:rFonts w:hint="eastAsia" w:ascii="仿宋" w:hAnsi="仿宋" w:eastAsia="仿宋"/>
        </w:rPr>
        <w:t>，城市清洁</w:t>
      </w:r>
      <w:r>
        <w:rPr>
          <w:rFonts w:ascii="仿宋" w:hAnsi="仿宋" w:eastAsia="仿宋"/>
        </w:rPr>
        <w:t>能力持续提升</w:t>
      </w:r>
    </w:p>
    <w:p>
      <w:pPr>
        <w:ind w:firstLine="562"/>
        <w:rPr>
          <w:rFonts w:ascii="仿宋" w:hAnsi="仿宋" w:eastAsia="仿宋"/>
        </w:rPr>
      </w:pPr>
      <w:r>
        <w:rPr>
          <w:rFonts w:hint="eastAsia" w:ascii="仿宋" w:hAnsi="仿宋" w:eastAsia="仿宋"/>
          <w:b/>
        </w:rPr>
        <w:t>实现垃圾分类示范片区全覆盖，生活垃圾分类管控逐步规范。</w:t>
      </w:r>
      <w:r>
        <w:rPr>
          <w:rFonts w:hint="eastAsia" w:ascii="仿宋" w:hAnsi="仿宋" w:eastAsia="仿宋"/>
        </w:rPr>
        <w:t>全区1</w:t>
      </w:r>
      <w:r>
        <w:rPr>
          <w:rFonts w:ascii="仿宋" w:hAnsi="仿宋" w:eastAsia="仿宋"/>
        </w:rPr>
        <w:t>5</w:t>
      </w:r>
      <w:r>
        <w:rPr>
          <w:rFonts w:hint="eastAsia" w:ascii="仿宋" w:hAnsi="仿宋" w:eastAsia="仿宋"/>
        </w:rPr>
        <w:t>个街道全面开展垃圾分类示范片区创建工作，其中新街口街道已完成北京市的考核验收。党政机关垃圾强制分类全覆盖，并逐渐向社会单位推广。全区已有453个（占99%）封闭式小区开展垃圾分类达标体系建设，垃圾减量和循环利用率不断提高，生活垃圾清运率、无害化处理率均达到100%。“十三五”期间</w:t>
      </w:r>
      <w:r>
        <w:rPr>
          <w:rFonts w:ascii="仿宋" w:hAnsi="仿宋" w:eastAsia="仿宋"/>
        </w:rPr>
        <w:t>，</w:t>
      </w:r>
      <w:r>
        <w:rPr>
          <w:rFonts w:hint="eastAsia" w:ascii="仿宋" w:hAnsi="仿宋" w:eastAsia="仿宋"/>
        </w:rPr>
        <w:t>西城区率先研制生活垃圾分类管理标准，发布实施了《西城区生活垃圾分类管理规范》。全区4296家餐饮服务单位厨余垃圾实现规范收运，餐厨垃圾规范收运率达到100%，厨余垃圾分出率在北京市各区中名列前茅。再生资源回收和垃圾分类“两网融合”进展良好，全区269个社区上门回收业务已覆盖110个社区，已有99个小区开展积分兑换服务。试点运行“不分类、不收运”的倒逼机制，在新街口、前门西河沿街东口等地区成功试点胡同垃圾“不落地收运”模式。</w:t>
      </w:r>
    </w:p>
    <w:p>
      <w:pPr>
        <w:ind w:firstLine="562"/>
        <w:rPr>
          <w:rFonts w:ascii="仿宋" w:hAnsi="仿宋" w:eastAsia="仿宋"/>
        </w:rPr>
      </w:pPr>
      <w:r>
        <w:rPr>
          <w:rFonts w:hint="eastAsia" w:ascii="仿宋" w:hAnsi="仿宋" w:eastAsia="仿宋"/>
          <w:b/>
        </w:rPr>
        <w:t>不断完善环卫设施和作业方法，高质量完成环卫保洁任务。</w:t>
      </w:r>
      <w:r>
        <w:rPr>
          <w:rFonts w:hint="eastAsia" w:ascii="仿宋" w:hAnsi="仿宋" w:eastAsia="仿宋"/>
        </w:rPr>
        <w:t>深入推进道路深度保洁，探索背街小巷机械化试点作业。以白纸坊东街和盆儿胡同作为试点道路，探索5+1作业新方法。加强扬尘污染管控，“冲、扫、洗、收”新工艺作业覆盖率达到 97%以上。大力推进环卫车辆电动化，新增和更新的环卫车辆基本采用电动车，4.5吨以下的轻型环卫车辆基本为电动车。严格落实作业标准，定期完成1125条背街小巷530.24万平方米、854万平方米主次干路清扫保洁工作。2017年年底启动“公厕革命”，按照“冬天不冷、夏天不热、全年无异味”的改造目标，将全区直接服务于居民的670座三类公厕整体提升改造为设计科学、设施齐备、干净整洁的公共设施，公厕服务能力稳步提升。通过“互联网+环卫作业+环卫监督”打造智慧环卫系统，形成了“大环卫、全过程、全覆盖”的精细化管理机制。</w:t>
      </w:r>
    </w:p>
    <w:p>
      <w:pPr>
        <w:pStyle w:val="4"/>
        <w:rPr>
          <w:rFonts w:ascii="仿宋" w:hAnsi="仿宋" w:eastAsia="仿宋"/>
        </w:rPr>
      </w:pPr>
      <w:r>
        <w:rPr>
          <w:rFonts w:hint="eastAsia" w:ascii="仿宋" w:hAnsi="仿宋" w:eastAsia="仿宋"/>
        </w:rPr>
        <w:t>大力</w:t>
      </w:r>
      <w:r>
        <w:rPr>
          <w:rFonts w:ascii="仿宋" w:hAnsi="仿宋" w:eastAsia="仿宋"/>
        </w:rPr>
        <w:t>推进</w:t>
      </w:r>
      <w:r>
        <w:rPr>
          <w:rFonts w:hint="eastAsia" w:ascii="仿宋" w:hAnsi="仿宋" w:eastAsia="仿宋"/>
        </w:rPr>
        <w:t>智慧城市</w:t>
      </w:r>
      <w:r>
        <w:rPr>
          <w:rFonts w:ascii="仿宋" w:hAnsi="仿宋" w:eastAsia="仿宋"/>
        </w:rPr>
        <w:t>建设</w:t>
      </w:r>
      <w:r>
        <w:rPr>
          <w:rFonts w:hint="eastAsia" w:ascii="仿宋" w:hAnsi="仿宋" w:eastAsia="仿宋"/>
        </w:rPr>
        <w:t>，城市管理服务水平显著提升</w:t>
      </w:r>
    </w:p>
    <w:p>
      <w:pPr>
        <w:ind w:firstLine="560"/>
        <w:rPr>
          <w:rFonts w:ascii="仿宋" w:hAnsi="仿宋" w:eastAsia="仿宋"/>
        </w:rPr>
      </w:pPr>
      <w:r>
        <w:rPr>
          <w:rFonts w:hint="eastAsia" w:ascii="仿宋" w:hAnsi="仿宋" w:eastAsia="仿宋"/>
        </w:rPr>
        <w:t>强化互联网、物联网、大数据等新技术在城市管理中的创新应用，依托信息化城市管理系统，在全区建立了管理全覆盖、监督全天候、服务全方位的城市运行监控网络和“全响应”网格化工作机制，形成了全响应“五位一体”社会服务管理模式。不断升级和完善城市运行管理平台，城市管理案件日常流转、监督考核的信息化水平大幅提高，管理案件、城管部件、城市运行指数、重心指数等数据的分析利用有效增强。建成包含雨雪监测、积水监测、大型广告牌匾倾斜监测、沿街广告牌监测、二维码信息、智能井盖监测等功能在内的物联网监测平台，城市的智慧感知能力大幅提升。启动大数据顶层设计和城市大脑建设，数据辅助城市管理决策的基础条件逐步向好。</w:t>
      </w:r>
    </w:p>
    <w:p>
      <w:pPr>
        <w:pStyle w:val="3"/>
        <w:rPr>
          <w:rFonts w:ascii="仿宋" w:hAnsi="仿宋" w:eastAsia="仿宋"/>
        </w:rPr>
      </w:pPr>
      <w:bookmarkStart w:id="10" w:name="_Toc58491496"/>
      <w:r>
        <w:rPr>
          <w:rFonts w:hint="eastAsia" w:ascii="仿宋" w:hAnsi="仿宋" w:eastAsia="仿宋"/>
        </w:rPr>
        <w:t>二</w:t>
      </w:r>
      <w:r>
        <w:rPr>
          <w:rFonts w:ascii="仿宋" w:hAnsi="仿宋" w:eastAsia="仿宋"/>
        </w:rPr>
        <w:t>、</w:t>
      </w:r>
      <w:r>
        <w:rPr>
          <w:rFonts w:hint="eastAsia" w:ascii="仿宋" w:hAnsi="仿宋" w:eastAsia="仿宋"/>
        </w:rPr>
        <w:t>主要问题</w:t>
      </w:r>
      <w:bookmarkEnd w:id="10"/>
    </w:p>
    <w:p>
      <w:pPr>
        <w:pStyle w:val="4"/>
        <w:numPr>
          <w:ilvl w:val="0"/>
          <w:numId w:val="3"/>
        </w:numPr>
        <w:rPr>
          <w:rFonts w:ascii="仿宋" w:hAnsi="仿宋" w:eastAsia="仿宋"/>
        </w:rPr>
      </w:pPr>
      <w:r>
        <w:rPr>
          <w:rFonts w:hint="eastAsia" w:ascii="仿宋" w:hAnsi="仿宋" w:eastAsia="仿宋"/>
        </w:rPr>
        <w:t>城市管理体制机制运行有待完善，基层治理能力仍需</w:t>
      </w:r>
      <w:r>
        <w:rPr>
          <w:rFonts w:ascii="仿宋" w:hAnsi="仿宋" w:eastAsia="仿宋"/>
        </w:rPr>
        <w:t>提升</w:t>
      </w:r>
    </w:p>
    <w:p>
      <w:pPr>
        <w:ind w:firstLine="560"/>
        <w:rPr>
          <w:rFonts w:ascii="仿宋" w:hAnsi="仿宋" w:eastAsia="仿宋" w:cs="Times New Roman"/>
          <w:szCs w:val="24"/>
        </w:rPr>
      </w:pPr>
      <w:r>
        <w:rPr>
          <w:rFonts w:hint="eastAsia" w:ascii="仿宋" w:hAnsi="仿宋" w:eastAsia="仿宋"/>
        </w:rPr>
        <w:t>“十三五”时期，西城区深入持续推进城市综合管理、综合行政执法、基层治理等体制机制改革工作，在取得显著成效的同时，仍然存在一定的提升空间。目前，全区城市管理工作尚缺少“综合研究、综合管理、综合协调、综合决策”的统筹协调机制，在处理跨领域、跨部门问题时仍然存在一定的困难，对城市管理工作的进一步提升造成一定影响。综合行政执法改革工作尚处于磨合期，在执法过程中仍会遇到衔接不及时、协作不顺畅等情况，未来需进一步在实际工作中继续理顺机制，不断优化。与此同时，部分执法工作依据不明确或者相互冲突、专业执法力量薄弱、执法环境日益复杂等因素，也给城市管理执法工作增加了难度。另外，在基层政府职责持续强化的同时，基层城市管理队伍不够壮大的问题日益凸显，基层管理能力提升的压力仍然</w:t>
      </w:r>
      <w:r>
        <w:rPr>
          <w:rFonts w:ascii="仿宋" w:hAnsi="仿宋" w:eastAsia="仿宋"/>
        </w:rPr>
        <w:t>较大</w:t>
      </w:r>
      <w:r>
        <w:rPr>
          <w:rFonts w:hint="eastAsia" w:ascii="仿宋" w:hAnsi="仿宋" w:eastAsia="仿宋"/>
        </w:rPr>
        <w:t>。</w:t>
      </w:r>
    </w:p>
    <w:p>
      <w:pPr>
        <w:pStyle w:val="4"/>
        <w:numPr>
          <w:ilvl w:val="0"/>
          <w:numId w:val="2"/>
        </w:numPr>
        <w:rPr>
          <w:rFonts w:ascii="仿宋" w:hAnsi="仿宋" w:eastAsia="仿宋"/>
        </w:rPr>
      </w:pPr>
      <w:r>
        <w:rPr>
          <w:rFonts w:hint="eastAsia" w:ascii="仿宋" w:hAnsi="仿宋" w:eastAsia="仿宋"/>
        </w:rPr>
        <w:t>基础</w:t>
      </w:r>
      <w:r>
        <w:rPr>
          <w:rFonts w:ascii="仿宋" w:hAnsi="仿宋" w:eastAsia="仿宋"/>
        </w:rPr>
        <w:t>设施</w:t>
      </w:r>
      <w:r>
        <w:rPr>
          <w:rFonts w:hint="eastAsia" w:ascii="仿宋" w:hAnsi="仿宋" w:eastAsia="仿宋"/>
        </w:rPr>
        <w:t>发展不均衡，背街小巷、老旧小区仍然存在短板</w:t>
      </w:r>
    </w:p>
    <w:p>
      <w:pPr>
        <w:ind w:firstLine="560"/>
        <w:rPr>
          <w:rFonts w:ascii="仿宋" w:hAnsi="仿宋" w:eastAsia="仿宋"/>
        </w:rPr>
      </w:pPr>
      <w:r>
        <w:rPr>
          <w:rFonts w:hint="eastAsia" w:ascii="仿宋" w:hAnsi="仿宋" w:eastAsia="仿宋" w:cs="Times New Roman"/>
          <w:szCs w:val="24"/>
        </w:rPr>
        <w:t>经过多年的整治及建设，西城区的城市品质已处于</w:t>
      </w:r>
      <w:r>
        <w:rPr>
          <w:rFonts w:ascii="仿宋" w:hAnsi="仿宋" w:eastAsia="仿宋" w:cs="Times New Roman"/>
          <w:szCs w:val="24"/>
        </w:rPr>
        <w:t>全市领先水平，</w:t>
      </w:r>
      <w:r>
        <w:rPr>
          <w:rFonts w:hint="eastAsia" w:ascii="仿宋" w:hAnsi="仿宋" w:eastAsia="仿宋" w:cs="Times New Roman"/>
          <w:szCs w:val="24"/>
        </w:rPr>
        <w:t>多数重点区域基础设施配套齐全，展现出大国</w:t>
      </w:r>
      <w:r>
        <w:rPr>
          <w:rFonts w:ascii="仿宋" w:hAnsi="仿宋" w:eastAsia="仿宋" w:cs="Times New Roman"/>
          <w:szCs w:val="24"/>
        </w:rPr>
        <w:t>首都的</w:t>
      </w:r>
      <w:r>
        <w:rPr>
          <w:rFonts w:hint="eastAsia" w:ascii="仿宋" w:hAnsi="仿宋" w:eastAsia="仿宋" w:cs="Times New Roman"/>
          <w:szCs w:val="24"/>
        </w:rPr>
        <w:t>城市风貌。但受历史遗留等因素影响，区内的基础设施发展存在不均衡现象，部分背街小巷、边角地与城市主次干道及重点地区基础设施差别依然明显。多数街巷胡同、平房院落和老旧小区地下排水管线缺失或不规范的问题依然突出，“停车难”问题屡见不鲜，垃圾清洁站、公共厕所等设施扰民问题长期存在，消防安全设施和紧急疏散条件较为缺乏。同时，由于路由紧张，“邻避效应”、占征地协调难度大等诸多因素导致部分设施难以落地实施，整体的设施保障能力有待提升。</w:t>
      </w:r>
    </w:p>
    <w:p>
      <w:pPr>
        <w:pStyle w:val="4"/>
        <w:numPr>
          <w:ilvl w:val="0"/>
          <w:numId w:val="2"/>
        </w:numPr>
        <w:rPr>
          <w:rFonts w:ascii="仿宋" w:hAnsi="仿宋" w:eastAsia="仿宋"/>
        </w:rPr>
      </w:pPr>
      <w:r>
        <w:rPr>
          <w:rFonts w:hint="eastAsia" w:ascii="仿宋" w:hAnsi="仿宋" w:eastAsia="仿宋"/>
        </w:rPr>
        <w:t>市容景观特色不够突出，宜居环境品质有待提升</w:t>
      </w:r>
    </w:p>
    <w:p>
      <w:pPr>
        <w:ind w:firstLine="560"/>
        <w:rPr>
          <w:rFonts w:ascii="仿宋" w:hAnsi="仿宋" w:eastAsia="仿宋"/>
        </w:rPr>
      </w:pPr>
      <w:r>
        <w:rPr>
          <w:rFonts w:hint="eastAsia" w:ascii="仿宋" w:hAnsi="仿宋" w:eastAsia="仿宋"/>
        </w:rPr>
        <w:t>《首都功能核心区控制性详细规划（街区层面）（2</w:t>
      </w:r>
      <w:r>
        <w:rPr>
          <w:rFonts w:ascii="仿宋" w:hAnsi="仿宋" w:eastAsia="仿宋"/>
        </w:rPr>
        <w:t>018-2035</w:t>
      </w:r>
      <w:r>
        <w:rPr>
          <w:rFonts w:hint="eastAsia" w:ascii="仿宋" w:hAnsi="仿宋" w:eastAsia="仿宋"/>
        </w:rPr>
        <w:t>年）》划定了古都风貌保护区、古都风貌协调区和现代风貌控制区三类特色风貌分区，西城区对三类风貌的管控规定和引导工作还有待进一步明确。同时，西城区背街小巷、平房院落的宜居环境品质仍有待提高，井盖缺失破损、户外广告违规设置、形式杂乱，景观亮灯断字缺亮、色彩不均等现象依然存在，私搭乱建问题还没有根除彻底，</w:t>
      </w:r>
      <w:r>
        <w:rPr>
          <w:rFonts w:hint="eastAsia" w:ascii="仿宋" w:hAnsi="仿宋" w:eastAsia="仿宋" w:cs="Times New Roman"/>
          <w:szCs w:val="24"/>
        </w:rPr>
        <w:t>部分背街小巷环境秩序水平与主要大街仍存在一定差距，环境问题易出现反复反弹，急需建立一套长效管理机制。目前，西城区正在探索的以“街巷长”为轴心的团组式治理模式，实际运行中仍存在“街巷长”队伍和“小巷管家”队伍建设不够完善、物业管理水平参差不齐、自治理事会功能有所弱化等问题，新治理模式的活力仍未被充分激发，有关探索还需持续推进。</w:t>
      </w:r>
    </w:p>
    <w:p>
      <w:pPr>
        <w:pStyle w:val="4"/>
        <w:numPr>
          <w:ilvl w:val="0"/>
          <w:numId w:val="2"/>
        </w:numPr>
        <w:rPr>
          <w:rFonts w:ascii="仿宋" w:hAnsi="仿宋" w:eastAsia="仿宋"/>
        </w:rPr>
      </w:pPr>
      <w:r>
        <w:rPr>
          <w:rFonts w:hint="eastAsia" w:ascii="仿宋" w:hAnsi="仿宋" w:eastAsia="仿宋"/>
        </w:rPr>
        <w:t>管理方式手段相对单一，城市管理的智慧化精细化水平有待提高</w:t>
      </w:r>
    </w:p>
    <w:p>
      <w:pPr>
        <w:ind w:firstLine="560"/>
        <w:rPr>
          <w:rFonts w:ascii="仿宋" w:hAnsi="仿宋" w:eastAsia="仿宋"/>
          <w:strike/>
        </w:rPr>
      </w:pPr>
      <w:r>
        <w:rPr>
          <w:rFonts w:hint="eastAsia" w:ascii="仿宋" w:hAnsi="仿宋" w:eastAsia="仿宋"/>
        </w:rPr>
        <w:t>“十三五”时期，西城区城市管理的智慧化精细化有所提升，但与“像绣花一样的城市管理”的要求和国际一流的和谐宜居之都首善之区的发展定位之间，还存在一定差距。目前，城市管理方式手段相对单一，存在依靠管理要素投入、预见性管理不足、激励机制不健全等情况。以加大人力物力投入推进精细化管理，而缺乏基于城市运行管理数据的规律研判和预测预警。在实际管理工作中，社会的主体性相对不足，驻区机构和群众在城市管理中的主观能动作用也并未被充分体现。在激励方面，城市管理一线人员日常工作</w:t>
      </w:r>
      <w:r>
        <w:rPr>
          <w:rFonts w:ascii="仿宋" w:hAnsi="仿宋" w:eastAsia="仿宋"/>
        </w:rPr>
        <w:t>压力较大</w:t>
      </w:r>
      <w:r>
        <w:rPr>
          <w:rFonts w:hint="eastAsia" w:ascii="仿宋" w:hAnsi="仿宋" w:eastAsia="仿宋"/>
        </w:rPr>
        <w:t>，需要建立体系更完善、更能满足一线工作人员需求、形式更多样、标准更公开公正的激励机制，进一步调动积极性。</w:t>
      </w:r>
    </w:p>
    <w:p>
      <w:pPr>
        <w:pStyle w:val="2"/>
        <w:ind w:firstLine="723"/>
        <w:rPr>
          <w:rFonts w:ascii="仿宋" w:hAnsi="仿宋" w:eastAsia="仿宋"/>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p>
    <w:p>
      <w:pPr>
        <w:pStyle w:val="2"/>
        <w:ind w:firstLine="0" w:firstLineChars="0"/>
        <w:jc w:val="center"/>
        <w:rPr>
          <w:rFonts w:ascii="仿宋" w:hAnsi="仿宋" w:eastAsia="仿宋"/>
        </w:rPr>
      </w:pPr>
      <w:bookmarkStart w:id="11" w:name="_Toc58491497"/>
      <w:r>
        <w:rPr>
          <w:rFonts w:hint="eastAsia" w:ascii="仿宋" w:hAnsi="仿宋" w:eastAsia="仿宋"/>
        </w:rPr>
        <w:t>第二章 发展</w:t>
      </w:r>
      <w:r>
        <w:rPr>
          <w:rFonts w:ascii="仿宋" w:hAnsi="仿宋" w:eastAsia="仿宋"/>
        </w:rPr>
        <w:t>形势</w:t>
      </w:r>
      <w:r>
        <w:rPr>
          <w:rFonts w:hint="eastAsia" w:ascii="仿宋" w:hAnsi="仿宋" w:eastAsia="仿宋"/>
        </w:rPr>
        <w:t>与</w:t>
      </w:r>
      <w:r>
        <w:rPr>
          <w:rFonts w:ascii="仿宋" w:hAnsi="仿宋" w:eastAsia="仿宋"/>
        </w:rPr>
        <w:t>挑战</w:t>
      </w:r>
      <w:bookmarkEnd w:id="11"/>
    </w:p>
    <w:p>
      <w:pPr>
        <w:pStyle w:val="3"/>
        <w:rPr>
          <w:rFonts w:ascii="仿宋" w:hAnsi="仿宋" w:eastAsia="仿宋"/>
        </w:rPr>
      </w:pPr>
      <w:bookmarkStart w:id="12" w:name="_Toc58491498"/>
      <w:r>
        <w:rPr>
          <w:rFonts w:hint="eastAsia" w:ascii="仿宋" w:hAnsi="仿宋" w:eastAsia="仿宋"/>
        </w:rPr>
        <w:t>一、西城区作为首都功能核心区迎来历史</w:t>
      </w:r>
      <w:r>
        <w:rPr>
          <w:rFonts w:ascii="仿宋" w:hAnsi="仿宋" w:eastAsia="仿宋"/>
        </w:rPr>
        <w:t>性新起点</w:t>
      </w:r>
      <w:bookmarkEnd w:id="12"/>
    </w:p>
    <w:p>
      <w:pPr>
        <w:ind w:firstLine="560"/>
        <w:rPr>
          <w:rFonts w:ascii="仿宋" w:hAnsi="仿宋" w:eastAsia="仿宋" w:cs="Times New Roman"/>
        </w:rPr>
      </w:pPr>
      <w:r>
        <w:rPr>
          <w:rFonts w:ascii="仿宋" w:hAnsi="仿宋" w:eastAsia="仿宋" w:cs="Times New Roman"/>
        </w:rPr>
        <w:t>2020</w:t>
      </w:r>
      <w:r>
        <w:rPr>
          <w:rFonts w:hint="eastAsia" w:ascii="仿宋" w:hAnsi="仿宋" w:eastAsia="仿宋" w:cs="宋体"/>
        </w:rPr>
        <w:t>年</w:t>
      </w:r>
      <w:r>
        <w:rPr>
          <w:rFonts w:ascii="仿宋" w:hAnsi="仿宋" w:eastAsia="仿宋" w:cs="Times New Roman"/>
        </w:rPr>
        <w:t>8</w:t>
      </w:r>
      <w:r>
        <w:rPr>
          <w:rFonts w:hint="eastAsia" w:ascii="仿宋" w:hAnsi="仿宋" w:eastAsia="仿宋" w:cs="宋体"/>
        </w:rPr>
        <w:t>月，《首都功能核心区控制性详细规划（街区层面）（</w:t>
      </w:r>
      <w:r>
        <w:rPr>
          <w:rFonts w:ascii="仿宋" w:hAnsi="仿宋" w:eastAsia="仿宋" w:cs="Times New Roman"/>
        </w:rPr>
        <w:t>2018</w:t>
      </w:r>
      <w:r>
        <w:rPr>
          <w:rFonts w:hint="eastAsia" w:ascii="仿宋" w:hAnsi="仿宋" w:eastAsia="仿宋" w:cs="宋体"/>
        </w:rPr>
        <w:t>年</w:t>
      </w:r>
      <w:r>
        <w:rPr>
          <w:rFonts w:ascii="仿宋" w:hAnsi="仿宋" w:eastAsia="仿宋" w:cs="Times New Roman"/>
        </w:rPr>
        <w:t>—2035</w:t>
      </w:r>
      <w:r>
        <w:rPr>
          <w:rFonts w:hint="eastAsia" w:ascii="仿宋" w:hAnsi="仿宋" w:eastAsia="仿宋" w:cs="宋体"/>
        </w:rPr>
        <w:t>年）》（以下简称“核心区控规”）得到党中央、国务院正式批复，成为未来首都功能核心区的总纲领、总指南。</w:t>
      </w:r>
      <w:r>
        <w:rPr>
          <w:rFonts w:ascii="仿宋" w:hAnsi="仿宋" w:eastAsia="仿宋" w:cs="Times New Roman"/>
        </w:rPr>
        <w:t>规划提出建设政务环境优良、文化魅力彰显和人居环境一流的首善之区的发展目标，开启了核心区建设、发展与治理的历史新纪元</w:t>
      </w:r>
      <w:r>
        <w:rPr>
          <w:rFonts w:hint="eastAsia" w:ascii="仿宋" w:hAnsi="仿宋" w:eastAsia="仿宋" w:cs="Times New Roman"/>
        </w:rPr>
        <w:t>。这</w:t>
      </w:r>
      <w:r>
        <w:rPr>
          <w:rFonts w:ascii="仿宋" w:hAnsi="仿宋" w:eastAsia="仿宋" w:cs="Times New Roman"/>
        </w:rPr>
        <w:t>在首都建设和发展史上具有里程碑的意义。西城区应紧抓历史发展机遇，以高度责任感</w:t>
      </w:r>
      <w:r>
        <w:rPr>
          <w:rFonts w:hint="eastAsia" w:ascii="仿宋" w:hAnsi="仿宋" w:eastAsia="仿宋" w:cs="Times New Roman"/>
        </w:rPr>
        <w:t>落实规划</w:t>
      </w:r>
      <w:r>
        <w:rPr>
          <w:rFonts w:ascii="仿宋" w:hAnsi="仿宋" w:eastAsia="仿宋" w:cs="Times New Roman"/>
        </w:rPr>
        <w:t>，牢牢把握建设政务环境优良、文化魅力彰显和人居环境一流的首都功能核心区的发展目标，</w:t>
      </w:r>
      <w:r>
        <w:rPr>
          <w:rFonts w:hint="eastAsia" w:ascii="仿宋" w:hAnsi="仿宋" w:eastAsia="仿宋" w:cs="Times New Roman"/>
        </w:rPr>
        <w:t>在城市管理工作中</w:t>
      </w:r>
      <w:r>
        <w:rPr>
          <w:rFonts w:ascii="仿宋" w:hAnsi="仿宋" w:eastAsia="仿宋" w:cs="Times New Roman"/>
        </w:rPr>
        <w:t>统筹考虑政务功能保障、疏解减量提质、老城整体保护、街区保护更新、民生改善和城市安全等六大方面，高标准高质量创建国际一流和谐宜居之都的首善之区。</w:t>
      </w:r>
    </w:p>
    <w:p>
      <w:pPr>
        <w:pStyle w:val="3"/>
        <w:rPr>
          <w:rFonts w:ascii="仿宋" w:hAnsi="仿宋" w:eastAsia="仿宋"/>
        </w:rPr>
      </w:pPr>
      <w:bookmarkStart w:id="13" w:name="_Toc58491499"/>
      <w:bookmarkStart w:id="14" w:name="_Toc45036233"/>
      <w:r>
        <w:rPr>
          <w:rFonts w:hint="eastAsia" w:ascii="仿宋" w:hAnsi="仿宋" w:eastAsia="仿宋"/>
        </w:rPr>
        <w:t>二、满足人民日益增长的美好生活需要成为核心任务</w:t>
      </w:r>
      <w:bookmarkEnd w:id="13"/>
    </w:p>
    <w:p>
      <w:pPr>
        <w:ind w:firstLine="560"/>
        <w:rPr>
          <w:rFonts w:ascii="仿宋" w:hAnsi="仿宋" w:eastAsia="仿宋" w:cs="Times New Roman"/>
        </w:rPr>
      </w:pPr>
      <w:r>
        <w:rPr>
          <w:rFonts w:hint="eastAsia" w:ascii="仿宋" w:hAnsi="仿宋" w:eastAsia="仿宋" w:cs="Times New Roman"/>
        </w:rPr>
        <w:t>党的十九大报告中进一步提出，中国特色社会主义进入新时代，我国社会主要矛盾已经转化为人民日益增长的美好生活需要和不平衡不充分的发展之间的矛盾。西城区是全国政治中心、文化中心、国际交往中心的核心承载区，是历史文化名城保护的重点地区，是展示国家首都形象的重要窗口，城市精细化治理应该紧紧围绕满足人民对美好生活的需要这一核心任务。</w:t>
      </w:r>
    </w:p>
    <w:p>
      <w:pPr>
        <w:ind w:firstLine="560"/>
        <w:rPr>
          <w:rFonts w:ascii="仿宋" w:hAnsi="仿宋" w:eastAsia="仿宋" w:cs="Times New Roman"/>
        </w:rPr>
      </w:pPr>
      <w:r>
        <w:rPr>
          <w:rFonts w:hint="eastAsia" w:ascii="仿宋" w:hAnsi="仿宋" w:eastAsia="仿宋" w:cs="Times New Roman"/>
        </w:rPr>
        <w:t>面对当前城市建设管理中仍存在一些发展不平衡、不充分的问题和矛盾，亟需更新管理理念，拓展管理思路，完善管理模式。西城区必须牢牢把握首都城市战略定位，</w:t>
      </w:r>
      <w:bookmarkStart w:id="15" w:name="OLE_LINK12"/>
      <w:bookmarkStart w:id="16" w:name="OLE_LINK14"/>
      <w:bookmarkStart w:id="17" w:name="OLE_LINK13"/>
      <w:r>
        <w:rPr>
          <w:rFonts w:hint="eastAsia" w:ascii="仿宋" w:hAnsi="仿宋" w:eastAsia="仿宋" w:cs="Times New Roman"/>
        </w:rPr>
        <w:t>疏解整治与优化提升并举，有效治理“大城市”病，</w:t>
      </w:r>
      <w:bookmarkEnd w:id="15"/>
      <w:bookmarkEnd w:id="16"/>
      <w:bookmarkEnd w:id="17"/>
      <w:r>
        <w:rPr>
          <w:rFonts w:hint="eastAsia" w:ascii="仿宋" w:hAnsi="仿宋" w:eastAsia="仿宋" w:cs="Times New Roman"/>
        </w:rPr>
        <w:t>有效破解城市管理难题，不断提升城市发展质量、人居环境品质、城市吸引力和竞争力。</w:t>
      </w:r>
    </w:p>
    <w:p>
      <w:pPr>
        <w:pStyle w:val="3"/>
        <w:rPr>
          <w:rFonts w:ascii="仿宋" w:hAnsi="仿宋" w:eastAsia="仿宋"/>
        </w:rPr>
      </w:pPr>
      <w:bookmarkStart w:id="18" w:name="_Toc58491500"/>
      <w:r>
        <w:rPr>
          <w:rFonts w:hint="eastAsia" w:ascii="仿宋" w:hAnsi="仿宋" w:eastAsia="仿宋"/>
        </w:rPr>
        <w:t>三</w:t>
      </w:r>
      <w:r>
        <w:rPr>
          <w:rFonts w:ascii="仿宋" w:hAnsi="仿宋" w:eastAsia="仿宋"/>
        </w:rPr>
        <w:t>、</w:t>
      </w:r>
      <w:r>
        <w:rPr>
          <w:rFonts w:hint="eastAsia" w:ascii="仿宋" w:hAnsi="仿宋" w:eastAsia="仿宋"/>
        </w:rPr>
        <w:t>与新一代</w:t>
      </w:r>
      <w:r>
        <w:rPr>
          <w:rFonts w:ascii="仿宋" w:hAnsi="仿宋" w:eastAsia="仿宋"/>
        </w:rPr>
        <w:t>信息技术深度融合成为</w:t>
      </w:r>
      <w:r>
        <w:rPr>
          <w:rFonts w:hint="eastAsia" w:ascii="仿宋" w:hAnsi="仿宋" w:eastAsia="仿宋"/>
        </w:rPr>
        <w:t>治理</w:t>
      </w:r>
      <w:r>
        <w:rPr>
          <w:rFonts w:ascii="仿宋" w:hAnsi="仿宋" w:eastAsia="仿宋"/>
        </w:rPr>
        <w:t>现代化的重要着力点</w:t>
      </w:r>
      <w:bookmarkEnd w:id="18"/>
    </w:p>
    <w:p>
      <w:pPr>
        <w:ind w:firstLine="560"/>
        <w:rPr>
          <w:rFonts w:ascii="仿宋" w:hAnsi="仿宋" w:eastAsia="仿宋"/>
        </w:rPr>
      </w:pPr>
      <w:r>
        <w:rPr>
          <w:rFonts w:hint="eastAsia" w:ascii="仿宋" w:hAnsi="仿宋" w:eastAsia="仿宋"/>
        </w:rPr>
        <w:t>信息技术已深度融入城市规划、建设和运营等每一个环节。互联网时代信息技术的广泛应用以及商业模式的不断创新，使城市治理模式发生重大变化，呈现出城市感知智能化、公共管理精准化、民生服务便捷化、网络空间规范化以及参与主体多元化等特征。以城市治理与新一轮信息技术深度融合为代表的新型智慧城市建设，已经成为国家治理体系和治理能力现代化的迫切需求。</w:t>
      </w:r>
    </w:p>
    <w:p>
      <w:pPr>
        <w:ind w:firstLine="560"/>
        <w:rPr>
          <w:rFonts w:ascii="仿宋" w:hAnsi="仿宋" w:eastAsia="仿宋"/>
        </w:rPr>
      </w:pPr>
      <w:r>
        <w:rPr>
          <w:rFonts w:hint="eastAsia" w:ascii="仿宋" w:hAnsi="仿宋" w:eastAsia="仿宋"/>
        </w:rPr>
        <w:t>西城区一直致力于加快智慧城市建设，完成大数据顶层设计和基础平台建设，随着</w:t>
      </w:r>
      <w:r>
        <w:rPr>
          <w:rFonts w:hint="eastAsia" w:ascii="仿宋" w:hAnsi="仿宋" w:eastAsia="仿宋" w:cs="宋体"/>
        </w:rPr>
        <w:t>云计算、大数据、物联网、移动互联网等新一代信息技术在城市管理领域的应用，如何应用新技术</w:t>
      </w:r>
      <w:bookmarkStart w:id="19" w:name="OLE_LINK7"/>
      <w:r>
        <w:rPr>
          <w:rFonts w:hint="eastAsia" w:ascii="仿宋" w:hAnsi="仿宋" w:eastAsia="仿宋" w:cs="宋体"/>
        </w:rPr>
        <w:t>提高城市治理体系和治理能力的现代化水平是西城区面临的重要挑战。</w:t>
      </w:r>
      <w:bookmarkEnd w:id="19"/>
    </w:p>
    <w:bookmarkEnd w:id="14"/>
    <w:p>
      <w:pPr>
        <w:pStyle w:val="3"/>
        <w:rPr>
          <w:rFonts w:ascii="仿宋" w:hAnsi="仿宋" w:eastAsia="仿宋"/>
        </w:rPr>
      </w:pPr>
      <w:bookmarkStart w:id="20" w:name="_Toc58491501"/>
      <w:r>
        <w:rPr>
          <w:rFonts w:hint="eastAsia" w:ascii="仿宋" w:hAnsi="仿宋" w:eastAsia="仿宋"/>
        </w:rPr>
        <w:t>四、防范化解重大风险是迈向高质量发展必须跨越的关口</w:t>
      </w:r>
      <w:bookmarkEnd w:id="20"/>
    </w:p>
    <w:p>
      <w:pPr>
        <w:ind w:firstLine="560"/>
        <w:rPr>
          <w:rFonts w:ascii="仿宋" w:hAnsi="仿宋" w:eastAsia="仿宋"/>
        </w:rPr>
      </w:pPr>
      <w:r>
        <w:rPr>
          <w:rFonts w:hint="eastAsia" w:ascii="仿宋" w:hAnsi="仿宋" w:eastAsia="仿宋" w:cs="宋体"/>
        </w:rPr>
        <w:t>进入新的发展阶段，国内外环境的不确定性和不稳定性因素增多，面对当前严峻复杂的国际疫情和世界经济形势，必须做好应对一系列新的风险挑战的准备。</w:t>
      </w:r>
      <w:r>
        <w:rPr>
          <w:rFonts w:ascii="仿宋" w:hAnsi="仿宋" w:eastAsia="仿宋" w:cs="宋体"/>
        </w:rPr>
        <w:t>“</w:t>
      </w:r>
      <w:r>
        <w:rPr>
          <w:rFonts w:hint="eastAsia" w:ascii="仿宋" w:hAnsi="仿宋" w:eastAsia="仿宋" w:cs="宋体"/>
        </w:rPr>
        <w:t>十四五</w:t>
      </w:r>
      <w:r>
        <w:rPr>
          <w:rFonts w:ascii="仿宋" w:hAnsi="仿宋" w:eastAsia="仿宋" w:cs="宋体"/>
        </w:rPr>
        <w:t>”</w:t>
      </w:r>
      <w:r>
        <w:rPr>
          <w:rFonts w:hint="eastAsia" w:ascii="仿宋" w:hAnsi="仿宋" w:eastAsia="仿宋" w:cs="宋体"/>
        </w:rPr>
        <w:t>时期，西城区城市管理工作要深刻认识我国社会主要矛盾发展变化带来的新特征新要求，坚持底线思维，增强忧患意识，提高防控能力，着力防范化解重大风险。更加注重从被动应对转向主动治理，从排查整治转向建章立制；加强综合整治、形成常态长效管理机制；建立健全重点领域风险防范处置机制及预案，全面提高城市应对突发重大公共突发事件的能力和水平。</w:t>
      </w:r>
    </w:p>
    <w:p>
      <w:pPr>
        <w:pStyle w:val="2"/>
        <w:ind w:firstLine="904" w:firstLineChars="250"/>
        <w:rPr>
          <w:rFonts w:ascii="仿宋" w:hAnsi="仿宋" w:eastAsia="仿宋"/>
        </w:rPr>
        <w:sectPr>
          <w:pgSz w:w="11906" w:h="16838"/>
          <w:pgMar w:top="1440" w:right="1800" w:bottom="1440" w:left="1800" w:header="851" w:footer="992" w:gutter="0"/>
          <w:cols w:space="425" w:num="1"/>
          <w:docGrid w:type="lines" w:linePitch="312" w:charSpace="0"/>
        </w:sectPr>
      </w:pPr>
    </w:p>
    <w:p>
      <w:pPr>
        <w:pStyle w:val="2"/>
        <w:ind w:firstLine="0" w:firstLineChars="0"/>
        <w:jc w:val="center"/>
        <w:rPr>
          <w:rFonts w:ascii="仿宋" w:hAnsi="仿宋" w:eastAsia="仿宋"/>
        </w:rPr>
      </w:pPr>
      <w:bookmarkStart w:id="21" w:name="_Toc58491502"/>
      <w:r>
        <w:rPr>
          <w:rFonts w:hint="eastAsia" w:ascii="仿宋" w:hAnsi="仿宋" w:eastAsia="仿宋"/>
        </w:rPr>
        <w:t>第三章 发展</w:t>
      </w:r>
      <w:r>
        <w:rPr>
          <w:rFonts w:ascii="仿宋" w:hAnsi="仿宋" w:eastAsia="仿宋"/>
        </w:rPr>
        <w:t>思路与发展目标</w:t>
      </w:r>
      <w:bookmarkEnd w:id="21"/>
    </w:p>
    <w:p>
      <w:pPr>
        <w:pStyle w:val="3"/>
        <w:rPr>
          <w:rFonts w:ascii="仿宋" w:hAnsi="仿宋" w:eastAsia="仿宋"/>
        </w:rPr>
      </w:pPr>
      <w:bookmarkStart w:id="22" w:name="_Toc58491503"/>
      <w:r>
        <w:rPr>
          <w:rFonts w:hint="eastAsia" w:ascii="仿宋" w:hAnsi="仿宋" w:eastAsia="仿宋"/>
        </w:rPr>
        <w:t>一、指导思想</w:t>
      </w:r>
      <w:bookmarkEnd w:id="22"/>
    </w:p>
    <w:p>
      <w:pPr>
        <w:ind w:firstLine="560"/>
        <w:rPr>
          <w:rFonts w:ascii="仿宋" w:hAnsi="仿宋" w:eastAsia="仿宋"/>
        </w:rPr>
      </w:pPr>
      <w:r>
        <w:rPr>
          <w:rFonts w:hint="eastAsia" w:ascii="仿宋" w:hAnsi="仿宋" w:eastAsia="仿宋"/>
        </w:rPr>
        <w:t>坚持以习近平新时代中国特色社会主义思想为指导，全面贯彻党的十九大和</w:t>
      </w:r>
      <w:r>
        <w:rPr>
          <w:rFonts w:hint="eastAsia" w:ascii="仿宋" w:hAnsi="仿宋" w:eastAsia="仿宋" w:cs="Times New Roman"/>
          <w:szCs w:val="24"/>
        </w:rPr>
        <w:t>十九届二中、三中、四中、五中全会</w:t>
      </w:r>
      <w:r>
        <w:rPr>
          <w:rFonts w:hint="eastAsia" w:ascii="仿宋" w:hAnsi="仿宋" w:eastAsia="仿宋"/>
        </w:rPr>
        <w:t>精神，深入学习贯彻习近平总书记对北京重要讲话精神，增强“四个意识”、坚定“四个自信”、做到“两个维护”，立足首都城市战略定位，贯彻首都核心功能区</w:t>
      </w:r>
      <w:r>
        <w:rPr>
          <w:rFonts w:ascii="仿宋" w:hAnsi="仿宋" w:eastAsia="仿宋" w:cs="Times New Roman"/>
        </w:rPr>
        <w:t>建设政务环境优良、文化魅力彰显和人居环境一流</w:t>
      </w:r>
      <w:r>
        <w:rPr>
          <w:rFonts w:hint="eastAsia" w:ascii="仿宋" w:hAnsi="仿宋" w:eastAsia="仿宋"/>
        </w:rPr>
        <w:t>首善之区</w:t>
      </w:r>
      <w:r>
        <w:rPr>
          <w:rFonts w:ascii="仿宋" w:hAnsi="仿宋" w:eastAsia="仿宋"/>
        </w:rPr>
        <w:t>的发展目标</w:t>
      </w:r>
      <w:r>
        <w:rPr>
          <w:rFonts w:hint="eastAsia" w:ascii="仿宋" w:hAnsi="仿宋" w:eastAsia="仿宋"/>
        </w:rPr>
        <w:t>，坚持以人民为中心的价值取向，</w:t>
      </w:r>
      <w:r>
        <w:rPr>
          <w:rFonts w:hint="eastAsia" w:ascii="仿宋" w:hAnsi="仿宋" w:eastAsia="仿宋" w:cs="Times New Roman"/>
          <w:szCs w:val="24"/>
        </w:rPr>
        <w:t>从解决“城市病”突出问题入手，重点规划、精准施策，</w:t>
      </w:r>
      <w:r>
        <w:rPr>
          <w:rFonts w:hint="eastAsia" w:ascii="仿宋" w:hAnsi="仿宋" w:eastAsia="仿宋"/>
        </w:rPr>
        <w:t>下绣花功夫提高城市精细化管理能力，不断提高“四个</w:t>
      </w:r>
      <w:r>
        <w:rPr>
          <w:rFonts w:ascii="仿宋" w:hAnsi="仿宋" w:eastAsia="仿宋"/>
        </w:rPr>
        <w:t>服务</w:t>
      </w:r>
      <w:r>
        <w:rPr>
          <w:rFonts w:hint="eastAsia" w:ascii="仿宋" w:hAnsi="仿宋" w:eastAsia="仿宋"/>
        </w:rPr>
        <w:t>”水平</w:t>
      </w:r>
      <w:r>
        <w:rPr>
          <w:rFonts w:ascii="仿宋" w:hAnsi="仿宋" w:eastAsia="仿宋"/>
        </w:rPr>
        <w:t>，增强人民</w:t>
      </w:r>
      <w:r>
        <w:rPr>
          <w:rFonts w:hint="eastAsia" w:ascii="仿宋" w:hAnsi="仿宋" w:eastAsia="仿宋"/>
        </w:rPr>
        <w:t>群众</w:t>
      </w:r>
      <w:r>
        <w:rPr>
          <w:rFonts w:ascii="仿宋" w:hAnsi="仿宋" w:eastAsia="仿宋"/>
        </w:rPr>
        <w:t>的获得感、幸福感、安全感，</w:t>
      </w:r>
      <w:r>
        <w:rPr>
          <w:rFonts w:hint="eastAsia" w:ascii="仿宋" w:hAnsi="仿宋" w:eastAsia="仿宋"/>
        </w:rPr>
        <w:t>提升市民对城市管理的满意度，推动城市高质量发展，为建设国际一流的和谐宜居之都提供坚强保障。</w:t>
      </w:r>
    </w:p>
    <w:p>
      <w:pPr>
        <w:pStyle w:val="3"/>
        <w:rPr>
          <w:rFonts w:ascii="仿宋" w:hAnsi="仿宋" w:eastAsia="仿宋"/>
        </w:rPr>
      </w:pPr>
      <w:bookmarkStart w:id="23" w:name="_Toc58491504"/>
      <w:r>
        <w:rPr>
          <w:rFonts w:hint="eastAsia" w:ascii="仿宋" w:hAnsi="仿宋" w:eastAsia="仿宋"/>
        </w:rPr>
        <w:t>二、指导</w:t>
      </w:r>
      <w:r>
        <w:rPr>
          <w:rFonts w:ascii="仿宋" w:hAnsi="仿宋" w:eastAsia="仿宋"/>
        </w:rPr>
        <w:t>原则</w:t>
      </w:r>
      <w:bookmarkEnd w:id="23"/>
    </w:p>
    <w:p>
      <w:pPr>
        <w:ind w:firstLine="562"/>
        <w:rPr>
          <w:rFonts w:ascii="仿宋" w:hAnsi="仿宋" w:eastAsia="仿宋"/>
        </w:rPr>
      </w:pPr>
      <w:r>
        <w:rPr>
          <w:rFonts w:ascii="仿宋" w:hAnsi="仿宋" w:eastAsia="仿宋"/>
          <w:b/>
        </w:rPr>
        <w:t>服务首都</w:t>
      </w:r>
      <w:r>
        <w:rPr>
          <w:rFonts w:hint="eastAsia" w:ascii="仿宋" w:hAnsi="仿宋" w:eastAsia="仿宋"/>
          <w:b/>
        </w:rPr>
        <w:t>、首善标准。</w:t>
      </w:r>
      <w:r>
        <w:rPr>
          <w:rFonts w:hint="eastAsia" w:ascii="仿宋" w:hAnsi="仿宋" w:eastAsia="仿宋"/>
        </w:rPr>
        <w:t>立足于首都城市战略定位，着眼于首都城市发展全局，坚持全力</w:t>
      </w:r>
      <w:r>
        <w:rPr>
          <w:rFonts w:ascii="仿宋" w:hAnsi="仿宋" w:eastAsia="仿宋"/>
        </w:rPr>
        <w:t>服务保障</w:t>
      </w:r>
      <w:r>
        <w:rPr>
          <w:rFonts w:hint="eastAsia" w:ascii="仿宋" w:hAnsi="仿宋" w:eastAsia="仿宋"/>
        </w:rPr>
        <w:t>首都</w:t>
      </w:r>
      <w:r>
        <w:rPr>
          <w:rFonts w:ascii="仿宋" w:hAnsi="仿宋" w:eastAsia="仿宋"/>
        </w:rPr>
        <w:t>功能，</w:t>
      </w:r>
      <w:r>
        <w:rPr>
          <w:rFonts w:hint="eastAsia" w:ascii="仿宋" w:hAnsi="仿宋" w:eastAsia="仿宋"/>
        </w:rPr>
        <w:t>充分展现迈向中华民族伟大复兴的社会主义大国首都形象。始终坚持首善标准，充分发挥好核心区控规实施的示范引领作用，持续</w:t>
      </w:r>
      <w:r>
        <w:rPr>
          <w:rFonts w:ascii="仿宋" w:hAnsi="仿宋" w:eastAsia="仿宋"/>
        </w:rPr>
        <w:t>推动城区高质量发展</w:t>
      </w:r>
      <w:r>
        <w:rPr>
          <w:rFonts w:hint="eastAsia" w:ascii="仿宋" w:hAnsi="仿宋" w:eastAsia="仿宋"/>
        </w:rPr>
        <w:t>。</w:t>
      </w:r>
    </w:p>
    <w:p>
      <w:pPr>
        <w:ind w:firstLine="562"/>
        <w:rPr>
          <w:rFonts w:ascii="仿宋" w:hAnsi="仿宋" w:eastAsia="仿宋"/>
        </w:rPr>
      </w:pPr>
      <w:r>
        <w:rPr>
          <w:rFonts w:hint="eastAsia" w:ascii="仿宋" w:hAnsi="仿宋" w:eastAsia="仿宋"/>
          <w:b/>
        </w:rPr>
        <w:t>以人为本、和谐共治。</w:t>
      </w:r>
      <w:r>
        <w:rPr>
          <w:rFonts w:hint="eastAsia" w:ascii="仿宋" w:hAnsi="仿宋" w:eastAsia="仿宋"/>
        </w:rPr>
        <w:t>坚持以人民为中心，始终做到城市管理与发展满足人民的需求、依靠人民的力量、为了人民的福祉。围绕“七有”“五性”抓好民生保障</w:t>
      </w:r>
      <w:r>
        <w:rPr>
          <w:rFonts w:ascii="仿宋" w:hAnsi="仿宋" w:eastAsia="仿宋"/>
        </w:rPr>
        <w:t>工作</w:t>
      </w:r>
      <w:r>
        <w:rPr>
          <w:rFonts w:hint="eastAsia" w:ascii="仿宋" w:hAnsi="仿宋" w:eastAsia="仿宋"/>
        </w:rPr>
        <w:t>，加强</w:t>
      </w:r>
      <w:r>
        <w:rPr>
          <w:rFonts w:ascii="仿宋" w:hAnsi="仿宋" w:eastAsia="仿宋"/>
        </w:rPr>
        <w:t>和创新基层社会治理</w:t>
      </w:r>
      <w:r>
        <w:rPr>
          <w:rFonts w:hint="eastAsia" w:ascii="仿宋" w:hAnsi="仿宋" w:eastAsia="仿宋"/>
        </w:rPr>
        <w:t>，以共建共治共享拓展社会</w:t>
      </w:r>
      <w:r>
        <w:rPr>
          <w:rFonts w:ascii="仿宋" w:hAnsi="仿宋" w:eastAsia="仿宋"/>
        </w:rPr>
        <w:t>发展新局面</w:t>
      </w:r>
      <w:r>
        <w:rPr>
          <w:rFonts w:hint="eastAsia" w:ascii="仿宋" w:hAnsi="仿宋" w:eastAsia="仿宋"/>
        </w:rPr>
        <w:t>。</w:t>
      </w:r>
    </w:p>
    <w:p>
      <w:pPr>
        <w:ind w:firstLine="562"/>
        <w:rPr>
          <w:rFonts w:ascii="仿宋" w:hAnsi="仿宋" w:eastAsia="仿宋"/>
        </w:rPr>
      </w:pPr>
      <w:r>
        <w:rPr>
          <w:rFonts w:hint="eastAsia" w:ascii="仿宋" w:hAnsi="仿宋" w:eastAsia="仿宋"/>
          <w:b/>
        </w:rPr>
        <w:t>统筹协调、均衡发展。</w:t>
      </w:r>
      <w:r>
        <w:rPr>
          <w:rFonts w:hint="eastAsia" w:ascii="仿宋" w:hAnsi="仿宋" w:eastAsia="仿宋"/>
        </w:rPr>
        <w:t>紧紧围绕统筹推进“五位一体”总体布局和协调推进“四个全面”战略布局，深化细化城市管理体制机制改革，加强城市</w:t>
      </w:r>
      <w:r>
        <w:rPr>
          <w:rFonts w:ascii="仿宋" w:hAnsi="仿宋" w:eastAsia="仿宋"/>
        </w:rPr>
        <w:t>管理的</w:t>
      </w:r>
      <w:r>
        <w:rPr>
          <w:rFonts w:hint="eastAsia" w:ascii="仿宋" w:hAnsi="仿宋" w:eastAsia="仿宋"/>
        </w:rPr>
        <w:t>前瞻性思考、全局性谋划、战略性布局、整体性推进。同时</w:t>
      </w:r>
      <w:r>
        <w:rPr>
          <w:rFonts w:ascii="仿宋" w:hAnsi="仿宋" w:eastAsia="仿宋"/>
        </w:rPr>
        <w:t>，</w:t>
      </w:r>
      <w:r>
        <w:rPr>
          <w:rFonts w:hint="eastAsia" w:ascii="仿宋" w:hAnsi="仿宋" w:eastAsia="仿宋"/>
        </w:rPr>
        <w:t>加强各类公共</w:t>
      </w:r>
      <w:r>
        <w:rPr>
          <w:rFonts w:ascii="仿宋" w:hAnsi="仿宋" w:eastAsia="仿宋"/>
        </w:rPr>
        <w:t>服务资源有效整合，</w:t>
      </w:r>
      <w:r>
        <w:rPr>
          <w:rFonts w:hint="eastAsia" w:ascii="仿宋" w:hAnsi="仿宋" w:eastAsia="仿宋"/>
        </w:rPr>
        <w:t>优化</w:t>
      </w:r>
      <w:r>
        <w:rPr>
          <w:rFonts w:ascii="仿宋" w:hAnsi="仿宋" w:eastAsia="仿宋"/>
        </w:rPr>
        <w:t>总体布局</w:t>
      </w:r>
      <w:r>
        <w:rPr>
          <w:rFonts w:hint="eastAsia" w:ascii="仿宋" w:hAnsi="仿宋" w:eastAsia="仿宋"/>
        </w:rPr>
        <w:t>与</w:t>
      </w:r>
      <w:r>
        <w:rPr>
          <w:rFonts w:ascii="仿宋" w:hAnsi="仿宋" w:eastAsia="仿宋"/>
        </w:rPr>
        <w:t>配置，</w:t>
      </w:r>
      <w:r>
        <w:rPr>
          <w:rFonts w:hint="eastAsia" w:ascii="仿宋" w:hAnsi="仿宋" w:eastAsia="仿宋"/>
        </w:rPr>
        <w:t>推进区域</w:t>
      </w:r>
      <w:r>
        <w:rPr>
          <w:rFonts w:ascii="仿宋" w:hAnsi="仿宋" w:eastAsia="仿宋"/>
        </w:rPr>
        <w:t>均衡发展</w:t>
      </w:r>
      <w:r>
        <w:rPr>
          <w:rFonts w:hint="eastAsia" w:ascii="仿宋" w:hAnsi="仿宋" w:eastAsia="仿宋"/>
        </w:rPr>
        <w:t>。</w:t>
      </w:r>
    </w:p>
    <w:p>
      <w:pPr>
        <w:ind w:firstLine="562"/>
        <w:rPr>
          <w:rFonts w:ascii="仿宋" w:hAnsi="仿宋" w:eastAsia="仿宋"/>
          <w:bCs/>
        </w:rPr>
      </w:pPr>
      <w:bookmarkStart w:id="24" w:name="OLE_LINK16"/>
      <w:r>
        <w:rPr>
          <w:rFonts w:hint="eastAsia" w:ascii="仿宋" w:hAnsi="仿宋" w:eastAsia="仿宋"/>
          <w:b/>
        </w:rPr>
        <w:t>智慧高效、精细管理</w:t>
      </w:r>
      <w:bookmarkEnd w:id="24"/>
      <w:r>
        <w:rPr>
          <w:rFonts w:hint="eastAsia" w:ascii="仿宋" w:hAnsi="仿宋" w:eastAsia="仿宋"/>
          <w:b/>
        </w:rPr>
        <w:t>。</w:t>
      </w:r>
      <w:r>
        <w:rPr>
          <w:rFonts w:hint="eastAsia" w:ascii="仿宋" w:hAnsi="仿宋" w:eastAsia="仿宋"/>
          <w:bCs/>
        </w:rPr>
        <w:t>以智慧化手段助力城市精细化管理，把智能化建设作为推动城市管理社会化、法治化、智能化、专业化的重要支点，构建责权明晰、服务为先、管理优化、执法规范、安全有序的城市精细化管理体系。</w:t>
      </w:r>
    </w:p>
    <w:p>
      <w:pPr>
        <w:ind w:firstLine="562"/>
        <w:rPr>
          <w:rFonts w:ascii="仿宋" w:hAnsi="仿宋" w:eastAsia="仿宋"/>
        </w:rPr>
      </w:pPr>
      <w:r>
        <w:rPr>
          <w:rFonts w:hint="eastAsia" w:ascii="仿宋" w:hAnsi="仿宋" w:eastAsia="仿宋"/>
          <w:b/>
        </w:rPr>
        <w:t>依法行政，规范执法。</w:t>
      </w:r>
      <w:r>
        <w:rPr>
          <w:rFonts w:hint="eastAsia" w:ascii="仿宋" w:hAnsi="仿宋" w:eastAsia="仿宋"/>
          <w:bCs/>
        </w:rPr>
        <w:t>完善重点领域法规规章，健全依法决策机制。充分运用法律法规、制度、标准来管理城市，依照法定程序、权限规范执法行为，切实提高专业执法与综合执法水平。</w:t>
      </w:r>
    </w:p>
    <w:p>
      <w:pPr>
        <w:pStyle w:val="3"/>
        <w:rPr>
          <w:rFonts w:ascii="仿宋" w:hAnsi="仿宋" w:eastAsia="仿宋"/>
        </w:rPr>
      </w:pPr>
      <w:bookmarkStart w:id="25" w:name="_Toc58491505"/>
      <w:r>
        <w:rPr>
          <w:rFonts w:hint="eastAsia" w:ascii="仿宋" w:hAnsi="仿宋" w:eastAsia="仿宋"/>
        </w:rPr>
        <w:t>三、规划</w:t>
      </w:r>
      <w:r>
        <w:rPr>
          <w:rFonts w:ascii="仿宋" w:hAnsi="仿宋" w:eastAsia="仿宋"/>
        </w:rPr>
        <w:t>范围与期限</w:t>
      </w:r>
      <w:bookmarkEnd w:id="25"/>
    </w:p>
    <w:p>
      <w:pPr>
        <w:ind w:firstLine="560"/>
        <w:rPr>
          <w:rFonts w:ascii="仿宋" w:hAnsi="仿宋" w:eastAsia="仿宋"/>
        </w:rPr>
      </w:pPr>
      <w:r>
        <w:rPr>
          <w:rFonts w:hint="eastAsia" w:ascii="仿宋" w:hAnsi="仿宋" w:eastAsia="仿宋"/>
        </w:rPr>
        <w:t>本规划</w:t>
      </w:r>
      <w:r>
        <w:rPr>
          <w:rFonts w:ascii="仿宋" w:hAnsi="仿宋" w:eastAsia="仿宋"/>
        </w:rPr>
        <w:t>的规划范围为北京市西城区行政辖区，</w:t>
      </w:r>
      <w:r>
        <w:rPr>
          <w:rFonts w:hint="eastAsia" w:ascii="仿宋" w:hAnsi="仿宋" w:eastAsia="仿宋"/>
        </w:rPr>
        <w:t>共15个</w:t>
      </w:r>
      <w:r>
        <w:rPr>
          <w:rFonts w:ascii="仿宋" w:hAnsi="仿宋" w:eastAsia="仿宋"/>
        </w:rPr>
        <w:t>街道，总面积</w:t>
      </w:r>
      <w:r>
        <w:rPr>
          <w:rFonts w:hint="eastAsia" w:ascii="仿宋" w:hAnsi="仿宋" w:eastAsia="仿宋"/>
        </w:rPr>
        <w:t>50.7平方</w:t>
      </w:r>
      <w:r>
        <w:rPr>
          <w:rFonts w:ascii="仿宋" w:hAnsi="仿宋" w:eastAsia="仿宋"/>
        </w:rPr>
        <w:t>公里</w:t>
      </w:r>
      <w:r>
        <w:rPr>
          <w:rFonts w:hint="eastAsia" w:ascii="仿宋" w:hAnsi="仿宋" w:eastAsia="仿宋"/>
        </w:rPr>
        <w:t>。规划</w:t>
      </w:r>
      <w:r>
        <w:rPr>
          <w:rFonts w:ascii="仿宋" w:hAnsi="仿宋" w:eastAsia="仿宋"/>
        </w:rPr>
        <w:t>实施期为</w:t>
      </w:r>
      <w:r>
        <w:rPr>
          <w:rFonts w:hint="eastAsia" w:ascii="仿宋" w:hAnsi="仿宋" w:eastAsia="仿宋"/>
        </w:rPr>
        <w:t>2021年</w:t>
      </w:r>
      <w:r>
        <w:rPr>
          <w:rFonts w:ascii="仿宋" w:hAnsi="仿宋" w:eastAsia="仿宋"/>
        </w:rPr>
        <w:t>至</w:t>
      </w:r>
      <w:r>
        <w:rPr>
          <w:rFonts w:hint="eastAsia" w:ascii="仿宋" w:hAnsi="仿宋" w:eastAsia="仿宋"/>
        </w:rPr>
        <w:t>2025年</w:t>
      </w:r>
      <w:r>
        <w:rPr>
          <w:rFonts w:ascii="仿宋" w:hAnsi="仿宋" w:eastAsia="仿宋"/>
        </w:rPr>
        <w:t>。</w:t>
      </w:r>
    </w:p>
    <w:p>
      <w:pPr>
        <w:pStyle w:val="3"/>
        <w:rPr>
          <w:rFonts w:ascii="仿宋" w:hAnsi="仿宋" w:eastAsia="仿宋"/>
        </w:rPr>
      </w:pPr>
      <w:bookmarkStart w:id="26" w:name="_Toc58491506"/>
      <w:r>
        <w:rPr>
          <w:rFonts w:hint="eastAsia" w:ascii="仿宋" w:hAnsi="仿宋" w:eastAsia="仿宋"/>
        </w:rPr>
        <w:t>四、发展</w:t>
      </w:r>
      <w:r>
        <w:rPr>
          <w:rFonts w:ascii="仿宋" w:hAnsi="仿宋" w:eastAsia="仿宋"/>
        </w:rPr>
        <w:t>目标</w:t>
      </w:r>
      <w:bookmarkEnd w:id="26"/>
    </w:p>
    <w:p>
      <w:pPr>
        <w:ind w:firstLine="560"/>
        <w:rPr>
          <w:rFonts w:ascii="仿宋" w:hAnsi="仿宋" w:eastAsia="仿宋"/>
        </w:rPr>
      </w:pPr>
      <w:r>
        <w:rPr>
          <w:rFonts w:hint="eastAsia" w:ascii="仿宋" w:hAnsi="仿宋" w:eastAsia="仿宋"/>
        </w:rPr>
        <w:t>紧紧围绕首都功能核心区定位，牢固</w:t>
      </w:r>
      <w:r>
        <w:rPr>
          <w:rFonts w:ascii="仿宋" w:hAnsi="仿宋" w:eastAsia="仿宋"/>
        </w:rPr>
        <w:t>树立</w:t>
      </w:r>
      <w:r>
        <w:rPr>
          <w:rFonts w:hint="eastAsia" w:ascii="仿宋" w:hAnsi="仿宋" w:eastAsia="仿宋"/>
        </w:rPr>
        <w:t>“红墙意识”，高标准实施好核心区控规，深入贯彻落实建设</w:t>
      </w:r>
      <w:r>
        <w:rPr>
          <w:rFonts w:ascii="仿宋" w:hAnsi="仿宋" w:eastAsia="仿宋"/>
        </w:rPr>
        <w:t>政务环境优良、文化魅力彰显、人居环境一流的</w:t>
      </w:r>
      <w:r>
        <w:rPr>
          <w:rFonts w:hint="eastAsia" w:ascii="仿宋" w:hAnsi="仿宋" w:eastAsia="仿宋"/>
        </w:rPr>
        <w:t>发展目标，全力服务保障首都功能，全面</w:t>
      </w:r>
      <w:r>
        <w:rPr>
          <w:rFonts w:ascii="仿宋" w:hAnsi="仿宋" w:eastAsia="仿宋"/>
        </w:rPr>
        <w:t>提升城市设施承载</w:t>
      </w:r>
      <w:r>
        <w:rPr>
          <w:rFonts w:hint="eastAsia" w:ascii="仿宋" w:hAnsi="仿宋" w:eastAsia="仿宋"/>
        </w:rPr>
        <w:t>和</w:t>
      </w:r>
      <w:r>
        <w:rPr>
          <w:rFonts w:ascii="仿宋" w:hAnsi="仿宋" w:eastAsia="仿宋"/>
        </w:rPr>
        <w:t>服务能力、城市智慧化管理</w:t>
      </w:r>
      <w:r>
        <w:rPr>
          <w:rFonts w:hint="eastAsia" w:ascii="仿宋" w:hAnsi="仿宋" w:eastAsia="仿宋"/>
        </w:rPr>
        <w:t>与综合</w:t>
      </w:r>
      <w:r>
        <w:rPr>
          <w:rFonts w:ascii="仿宋" w:hAnsi="仿宋" w:eastAsia="仿宋"/>
        </w:rPr>
        <w:t>决策能力、</w:t>
      </w:r>
      <w:r>
        <w:rPr>
          <w:rFonts w:hint="eastAsia" w:ascii="仿宋" w:hAnsi="仿宋" w:eastAsia="仿宋"/>
        </w:rPr>
        <w:t>精细化</w:t>
      </w:r>
      <w:r>
        <w:rPr>
          <w:rFonts w:ascii="仿宋" w:hAnsi="仿宋" w:eastAsia="仿宋"/>
        </w:rPr>
        <w:t>管理体制机制保障能力，</w:t>
      </w:r>
      <w:r>
        <w:rPr>
          <w:rFonts w:hint="eastAsia" w:ascii="仿宋" w:hAnsi="仿宋" w:eastAsia="仿宋"/>
        </w:rPr>
        <w:t>全面</w:t>
      </w:r>
      <w:r>
        <w:rPr>
          <w:rFonts w:ascii="仿宋" w:hAnsi="仿宋" w:eastAsia="仿宋"/>
        </w:rPr>
        <w:t>提高西城区城市管理的感知度、精准度、参与度和满意度</w:t>
      </w:r>
      <w:r>
        <w:rPr>
          <w:rFonts w:hint="eastAsia" w:ascii="仿宋" w:hAnsi="仿宋" w:eastAsia="仿宋"/>
        </w:rPr>
        <w:t>。</w:t>
      </w:r>
    </w:p>
    <w:p>
      <w:pPr>
        <w:ind w:firstLine="560"/>
        <w:rPr>
          <w:rFonts w:ascii="仿宋" w:hAnsi="仿宋" w:eastAsia="仿宋"/>
        </w:rPr>
      </w:pPr>
      <w:r>
        <w:rPr>
          <w:rFonts w:hint="eastAsia" w:ascii="仿宋" w:hAnsi="仿宋" w:eastAsia="仿宋"/>
        </w:rPr>
        <w:t>到2025年末</w:t>
      </w:r>
      <w:r>
        <w:rPr>
          <w:rFonts w:ascii="仿宋" w:hAnsi="仿宋" w:eastAsia="仿宋"/>
        </w:rPr>
        <w:t>，形成与西城区</w:t>
      </w:r>
      <w:r>
        <w:rPr>
          <w:rFonts w:hint="eastAsia" w:ascii="仿宋" w:hAnsi="仿宋" w:eastAsia="仿宋"/>
        </w:rPr>
        <w:t>首都核心</w:t>
      </w:r>
      <w:r>
        <w:rPr>
          <w:rFonts w:ascii="仿宋" w:hAnsi="仿宋" w:eastAsia="仿宋"/>
        </w:rPr>
        <w:t>功能区</w:t>
      </w:r>
      <w:r>
        <w:rPr>
          <w:rFonts w:hint="eastAsia" w:ascii="仿宋" w:hAnsi="仿宋" w:eastAsia="仿宋"/>
        </w:rPr>
        <w:t>定位</w:t>
      </w:r>
      <w:r>
        <w:rPr>
          <w:rFonts w:ascii="仿宋" w:hAnsi="仿宋" w:eastAsia="仿宋"/>
        </w:rPr>
        <w:t>相适应的城市</w:t>
      </w:r>
      <w:r>
        <w:rPr>
          <w:rFonts w:hint="eastAsia" w:ascii="仿宋" w:hAnsi="仿宋" w:eastAsia="仿宋"/>
        </w:rPr>
        <w:t>现代化治理体系</w:t>
      </w:r>
      <w:r>
        <w:rPr>
          <w:rFonts w:ascii="仿宋" w:hAnsi="仿宋" w:eastAsia="仿宋"/>
        </w:rPr>
        <w:t>和治理能力，</w:t>
      </w:r>
      <w:r>
        <w:rPr>
          <w:rFonts w:hint="eastAsia" w:ascii="仿宋" w:hAnsi="仿宋" w:eastAsia="仿宋"/>
        </w:rPr>
        <w:t>城市</w:t>
      </w:r>
      <w:r>
        <w:rPr>
          <w:rFonts w:ascii="仿宋" w:hAnsi="仿宋" w:eastAsia="仿宋"/>
        </w:rPr>
        <w:t>管理领域的突出问题得到有效</w:t>
      </w:r>
      <w:r>
        <w:rPr>
          <w:rFonts w:hint="eastAsia" w:ascii="仿宋" w:hAnsi="仿宋" w:eastAsia="仿宋"/>
        </w:rPr>
        <w:t>解决</w:t>
      </w:r>
      <w:r>
        <w:rPr>
          <w:rFonts w:ascii="仿宋" w:hAnsi="仿宋" w:eastAsia="仿宋"/>
        </w:rPr>
        <w:t>，</w:t>
      </w:r>
      <w:r>
        <w:rPr>
          <w:rFonts w:hint="eastAsia" w:ascii="仿宋" w:hAnsi="仿宋" w:eastAsia="仿宋"/>
        </w:rPr>
        <w:t>全面提升城市管理“</w:t>
      </w:r>
      <w:r>
        <w:rPr>
          <w:rFonts w:ascii="仿宋" w:hAnsi="仿宋" w:eastAsia="仿宋"/>
        </w:rPr>
        <w:t>精治</w:t>
      </w:r>
      <w:r>
        <w:rPr>
          <w:rFonts w:hint="eastAsia" w:ascii="仿宋" w:hAnsi="仿宋" w:eastAsia="仿宋"/>
        </w:rPr>
        <w:t>、共治、</w:t>
      </w:r>
      <w:r>
        <w:rPr>
          <w:rFonts w:ascii="仿宋" w:hAnsi="仿宋" w:eastAsia="仿宋"/>
        </w:rPr>
        <w:t>善治</w:t>
      </w:r>
      <w:r>
        <w:rPr>
          <w:rFonts w:hint="eastAsia" w:ascii="仿宋" w:hAnsi="仿宋" w:eastAsia="仿宋"/>
        </w:rPr>
        <w:t>、</w:t>
      </w:r>
      <w:r>
        <w:rPr>
          <w:rFonts w:ascii="仿宋" w:hAnsi="仿宋" w:eastAsia="仿宋"/>
        </w:rPr>
        <w:t>法治</w:t>
      </w:r>
      <w:r>
        <w:rPr>
          <w:rFonts w:hint="eastAsia" w:ascii="仿宋" w:hAnsi="仿宋" w:eastAsia="仿宋"/>
        </w:rPr>
        <w:t>”</w:t>
      </w:r>
      <w:r>
        <w:rPr>
          <w:rFonts w:ascii="仿宋" w:hAnsi="仿宋" w:eastAsia="仿宋"/>
        </w:rPr>
        <w:t>水平，</w:t>
      </w:r>
      <w:r>
        <w:rPr>
          <w:rFonts w:hint="eastAsia" w:ascii="仿宋" w:hAnsi="仿宋" w:eastAsia="仿宋"/>
        </w:rPr>
        <w:t>市民</w:t>
      </w:r>
      <w:r>
        <w:rPr>
          <w:rFonts w:ascii="仿宋" w:hAnsi="仿宋" w:eastAsia="仿宋"/>
        </w:rPr>
        <w:t>对</w:t>
      </w:r>
      <w:r>
        <w:rPr>
          <w:rFonts w:hint="eastAsia" w:ascii="仿宋" w:hAnsi="仿宋" w:eastAsia="仿宋"/>
        </w:rPr>
        <w:t>城市</w:t>
      </w:r>
      <w:r>
        <w:rPr>
          <w:rFonts w:ascii="仿宋" w:hAnsi="仿宋" w:eastAsia="仿宋"/>
        </w:rPr>
        <w:t>管理的满意度明显提高，</w:t>
      </w:r>
      <w:r>
        <w:rPr>
          <w:rFonts w:hint="eastAsia" w:ascii="仿宋" w:hAnsi="仿宋" w:eastAsia="仿宋"/>
          <w:b/>
          <w:bCs/>
        </w:rPr>
        <w:t>创建</w:t>
      </w:r>
      <w:r>
        <w:rPr>
          <w:rFonts w:hint="eastAsia" w:ascii="仿宋" w:hAnsi="仿宋" w:eastAsia="仿宋"/>
          <w:b/>
        </w:rPr>
        <w:t>安全</w:t>
      </w:r>
      <w:r>
        <w:rPr>
          <w:rFonts w:ascii="仿宋" w:hAnsi="仿宋" w:eastAsia="仿宋"/>
          <w:b/>
        </w:rPr>
        <w:t>有序</w:t>
      </w:r>
      <w:r>
        <w:rPr>
          <w:rFonts w:hint="eastAsia" w:ascii="仿宋" w:hAnsi="仿宋" w:eastAsia="仿宋"/>
          <w:b/>
        </w:rPr>
        <w:t>的首善之区</w:t>
      </w:r>
      <w:r>
        <w:rPr>
          <w:rFonts w:ascii="仿宋" w:hAnsi="仿宋" w:eastAsia="仿宋"/>
          <w:b/>
        </w:rPr>
        <w:t>、</w:t>
      </w:r>
      <w:bookmarkStart w:id="27" w:name="OLE_LINK4"/>
      <w:r>
        <w:rPr>
          <w:rFonts w:hint="eastAsia" w:ascii="仿宋" w:hAnsi="仿宋" w:eastAsia="仿宋"/>
          <w:b/>
        </w:rPr>
        <w:t>和谐宜居的幸福家园</w:t>
      </w:r>
      <w:r>
        <w:rPr>
          <w:rFonts w:ascii="仿宋" w:hAnsi="仿宋" w:eastAsia="仿宋"/>
          <w:b/>
        </w:rPr>
        <w:t>、</w:t>
      </w:r>
      <w:bookmarkStart w:id="28" w:name="OLE_LINK3"/>
      <w:r>
        <w:rPr>
          <w:rFonts w:hint="eastAsia" w:ascii="仿宋" w:hAnsi="仿宋" w:eastAsia="仿宋"/>
          <w:b/>
        </w:rPr>
        <w:t>运行高效的绿色</w:t>
      </w:r>
      <w:bookmarkEnd w:id="27"/>
      <w:bookmarkEnd w:id="28"/>
      <w:r>
        <w:rPr>
          <w:rFonts w:hint="eastAsia" w:ascii="仿宋" w:hAnsi="仿宋" w:eastAsia="仿宋"/>
          <w:b/>
        </w:rPr>
        <w:t>典范</w:t>
      </w:r>
      <w:r>
        <w:rPr>
          <w:rFonts w:ascii="仿宋" w:hAnsi="仿宋" w:eastAsia="仿宋"/>
          <w:b/>
        </w:rPr>
        <w:t>、</w:t>
      </w:r>
      <w:r>
        <w:rPr>
          <w:rFonts w:hint="eastAsia" w:ascii="仿宋" w:hAnsi="仿宋" w:eastAsia="仿宋"/>
          <w:b/>
        </w:rPr>
        <w:t>智慧人文的文明之区</w:t>
      </w:r>
      <w:r>
        <w:rPr>
          <w:rFonts w:ascii="仿宋" w:hAnsi="仿宋" w:eastAsia="仿宋"/>
        </w:rPr>
        <w:t>。</w:t>
      </w:r>
      <w:r>
        <w:rPr>
          <w:rFonts w:hint="eastAsia" w:ascii="仿宋" w:hAnsi="仿宋" w:eastAsia="仿宋"/>
        </w:rPr>
        <w:t>不断开创西城区高质量发展、精细化治理新局面，创建新时代首都新发展的标杆示范。</w:t>
      </w:r>
    </w:p>
    <w:p>
      <w:pPr>
        <w:pStyle w:val="3"/>
        <w:rPr>
          <w:rFonts w:ascii="仿宋" w:hAnsi="仿宋" w:eastAsia="仿宋"/>
        </w:rPr>
      </w:pPr>
      <w:bookmarkStart w:id="29" w:name="_Toc58491507"/>
      <w:r>
        <w:rPr>
          <w:rFonts w:hint="eastAsia" w:ascii="仿宋" w:hAnsi="仿宋" w:eastAsia="仿宋"/>
        </w:rPr>
        <w:t>五、工作</w:t>
      </w:r>
      <w:r>
        <w:rPr>
          <w:rFonts w:ascii="仿宋" w:hAnsi="仿宋" w:eastAsia="仿宋"/>
        </w:rPr>
        <w:t>思路</w:t>
      </w:r>
      <w:bookmarkEnd w:id="29"/>
    </w:p>
    <w:p>
      <w:pPr>
        <w:ind w:firstLine="560"/>
        <w:rPr>
          <w:rFonts w:ascii="仿宋" w:hAnsi="仿宋" w:eastAsia="仿宋"/>
        </w:rPr>
      </w:pPr>
      <w:r>
        <w:rPr>
          <w:rFonts w:hint="eastAsia" w:ascii="仿宋" w:hAnsi="仿宋" w:eastAsia="仿宋"/>
        </w:rPr>
        <w:t>“十四五”期间</w:t>
      </w:r>
      <w:r>
        <w:rPr>
          <w:rFonts w:ascii="仿宋" w:hAnsi="仿宋" w:eastAsia="仿宋"/>
        </w:rPr>
        <w:t>，</w:t>
      </w:r>
      <w:r>
        <w:rPr>
          <w:rFonts w:hint="eastAsia" w:ascii="仿宋" w:hAnsi="仿宋" w:eastAsia="仿宋"/>
        </w:rPr>
        <w:t>以目标引领、问题导向和需求导向相结合，</w:t>
      </w:r>
      <w:bookmarkStart w:id="30" w:name="OLE_LINK10"/>
      <w:r>
        <w:rPr>
          <w:rFonts w:hint="eastAsia" w:ascii="仿宋" w:hAnsi="仿宋" w:eastAsia="仿宋"/>
        </w:rPr>
        <w:t>突出政治中心的服务保障，</w:t>
      </w:r>
      <w:bookmarkEnd w:id="30"/>
      <w:r>
        <w:rPr>
          <w:rFonts w:hint="eastAsia" w:ascii="仿宋" w:hAnsi="仿宋" w:eastAsia="仿宋"/>
        </w:rPr>
        <w:t>坚定有序地推进非首都功能疏解，落实好“双控四降”目标要求。始终坚持以人民为核心的发展理念，以</w:t>
      </w:r>
      <w:r>
        <w:rPr>
          <w:rFonts w:ascii="仿宋" w:hAnsi="仿宋" w:eastAsia="仿宋"/>
        </w:rPr>
        <w:t>解决</w:t>
      </w:r>
      <w:r>
        <w:rPr>
          <w:rFonts w:hint="eastAsia" w:ascii="仿宋" w:hAnsi="仿宋" w:eastAsia="仿宋"/>
        </w:rPr>
        <w:t>群众</w:t>
      </w:r>
      <w:r>
        <w:rPr>
          <w:rFonts w:ascii="仿宋" w:hAnsi="仿宋" w:eastAsia="仿宋"/>
        </w:rPr>
        <w:t>最</w:t>
      </w:r>
      <w:r>
        <w:rPr>
          <w:rFonts w:hint="eastAsia" w:ascii="仿宋" w:hAnsi="仿宋" w:eastAsia="仿宋"/>
        </w:rPr>
        <w:t>急最忧最盼</w:t>
      </w:r>
      <w:r>
        <w:rPr>
          <w:rFonts w:ascii="仿宋" w:hAnsi="仿宋" w:eastAsia="仿宋"/>
        </w:rPr>
        <w:t>的</w:t>
      </w:r>
      <w:r>
        <w:rPr>
          <w:rFonts w:hint="eastAsia" w:ascii="仿宋" w:hAnsi="仿宋" w:eastAsia="仿宋"/>
        </w:rPr>
        <w:t>紧迫</w:t>
      </w:r>
      <w:r>
        <w:rPr>
          <w:rFonts w:ascii="仿宋" w:hAnsi="仿宋" w:eastAsia="仿宋"/>
        </w:rPr>
        <w:t>问题为出发点</w:t>
      </w:r>
      <w:r>
        <w:rPr>
          <w:rFonts w:hint="eastAsia" w:ascii="仿宋" w:hAnsi="仿宋" w:eastAsia="仿宋"/>
        </w:rPr>
        <w:t>和</w:t>
      </w:r>
      <w:r>
        <w:rPr>
          <w:rFonts w:ascii="仿宋" w:hAnsi="仿宋" w:eastAsia="仿宋"/>
        </w:rPr>
        <w:t>落脚点</w:t>
      </w:r>
      <w:r>
        <w:rPr>
          <w:rFonts w:hint="eastAsia" w:ascii="仿宋" w:hAnsi="仿宋" w:eastAsia="仿宋"/>
        </w:rPr>
        <w:t>，把注重中央政务功能保障、注重疏解减量提质、注重老城整体保护、注重街区保护更新、注重民生改善、注重城市安全的要求落实到城区规划建设管理的全过程和各个方面。</w:t>
      </w:r>
    </w:p>
    <w:p>
      <w:pPr>
        <w:ind w:firstLine="560"/>
        <w:rPr>
          <w:rFonts w:ascii="仿宋" w:hAnsi="仿宋" w:eastAsia="仿宋"/>
        </w:rPr>
        <w:sectPr>
          <w:pgSz w:w="11906" w:h="16838"/>
          <w:pgMar w:top="1440" w:right="1800" w:bottom="1440" w:left="1800" w:header="851" w:footer="992" w:gutter="0"/>
          <w:cols w:space="425" w:num="1"/>
          <w:docGrid w:type="lines" w:linePitch="312" w:charSpace="0"/>
        </w:sectPr>
      </w:pPr>
      <w:r>
        <w:rPr>
          <w:rFonts w:hint="eastAsia" w:ascii="仿宋" w:hAnsi="仿宋" w:eastAsia="仿宋"/>
        </w:rPr>
        <w:t>深化</w:t>
      </w:r>
      <w:r>
        <w:rPr>
          <w:rFonts w:ascii="仿宋" w:hAnsi="仿宋" w:eastAsia="仿宋"/>
        </w:rPr>
        <w:t>管理体制机制改革，</w:t>
      </w:r>
      <w:r>
        <w:rPr>
          <w:rFonts w:hint="eastAsia" w:ascii="仿宋" w:hAnsi="仿宋" w:eastAsia="仿宋"/>
        </w:rPr>
        <w:t>建立</w:t>
      </w:r>
      <w:r>
        <w:rPr>
          <w:rFonts w:ascii="仿宋" w:hAnsi="仿宋" w:eastAsia="仿宋"/>
        </w:rPr>
        <w:t>以精准响应公共事务需求为中心的精细化治理模式</w:t>
      </w:r>
      <w:r>
        <w:rPr>
          <w:rFonts w:hint="eastAsia" w:ascii="仿宋" w:hAnsi="仿宋" w:eastAsia="仿宋"/>
        </w:rPr>
        <w:t>；按照“提升决策层、规范执行层、扩大实施层、强化监督层”的工作思路，强化属地管理和综合协调，推动城市管理法治化、标准化、智能化、专业化和社会化；按照“保民生、强服务、促发展”的建设思路，</w:t>
      </w:r>
      <w:r>
        <w:rPr>
          <w:rFonts w:ascii="仿宋" w:hAnsi="仿宋" w:eastAsia="仿宋"/>
        </w:rPr>
        <w:t>全面提升城市基础设施</w:t>
      </w:r>
      <w:r>
        <w:rPr>
          <w:rFonts w:hint="eastAsia" w:ascii="仿宋" w:hAnsi="仿宋" w:eastAsia="仿宋"/>
        </w:rPr>
        <w:t>建设</w:t>
      </w:r>
      <w:r>
        <w:rPr>
          <w:rFonts w:ascii="仿宋" w:hAnsi="仿宋" w:eastAsia="仿宋"/>
        </w:rPr>
        <w:t>标准和服务保障能力</w:t>
      </w:r>
      <w:r>
        <w:rPr>
          <w:rFonts w:hint="eastAsia" w:ascii="仿宋" w:hAnsi="仿宋" w:eastAsia="仿宋"/>
        </w:rPr>
        <w:t>。加强</w:t>
      </w:r>
      <w:r>
        <w:rPr>
          <w:rFonts w:ascii="仿宋" w:hAnsi="仿宋" w:eastAsia="仿宋"/>
        </w:rPr>
        <w:t>城市环境综合</w:t>
      </w:r>
      <w:r>
        <w:rPr>
          <w:rFonts w:hint="eastAsia" w:ascii="仿宋" w:hAnsi="仿宋" w:eastAsia="仿宋"/>
        </w:rPr>
        <w:t>整治</w:t>
      </w:r>
      <w:r>
        <w:rPr>
          <w:rFonts w:ascii="仿宋" w:hAnsi="仿宋" w:eastAsia="仿宋"/>
        </w:rPr>
        <w:t>与</w:t>
      </w:r>
      <w:r>
        <w:rPr>
          <w:rFonts w:hint="eastAsia" w:ascii="仿宋" w:hAnsi="仿宋" w:eastAsia="仿宋"/>
        </w:rPr>
        <w:t>品质</w:t>
      </w:r>
      <w:r>
        <w:rPr>
          <w:rFonts w:ascii="仿宋" w:hAnsi="仿宋" w:eastAsia="仿宋"/>
        </w:rPr>
        <w:t>提升</w:t>
      </w:r>
      <w:r>
        <w:rPr>
          <w:rFonts w:hint="eastAsia" w:ascii="仿宋" w:hAnsi="仿宋" w:eastAsia="仿宋"/>
        </w:rPr>
        <w:t>，强化</w:t>
      </w:r>
      <w:r>
        <w:rPr>
          <w:rFonts w:ascii="仿宋" w:hAnsi="仿宋" w:eastAsia="仿宋"/>
        </w:rPr>
        <w:t>特色</w:t>
      </w:r>
      <w:r>
        <w:rPr>
          <w:rFonts w:hint="eastAsia" w:ascii="仿宋" w:hAnsi="仿宋" w:eastAsia="仿宋"/>
        </w:rPr>
        <w:t>风貌街巷</w:t>
      </w:r>
      <w:r>
        <w:rPr>
          <w:rFonts w:ascii="仿宋" w:hAnsi="仿宋" w:eastAsia="仿宋"/>
        </w:rPr>
        <w:t>塑造，</w:t>
      </w:r>
      <w:r>
        <w:rPr>
          <w:rFonts w:hint="eastAsia" w:ascii="仿宋" w:hAnsi="仿宋" w:eastAsia="仿宋"/>
        </w:rPr>
        <w:t>推进</w:t>
      </w:r>
      <w:r>
        <w:rPr>
          <w:rFonts w:ascii="仿宋" w:hAnsi="仿宋" w:eastAsia="仿宋"/>
        </w:rPr>
        <w:t>老城整体保护</w:t>
      </w:r>
      <w:r>
        <w:rPr>
          <w:rFonts w:hint="eastAsia" w:ascii="仿宋" w:hAnsi="仿宋" w:eastAsia="仿宋"/>
        </w:rPr>
        <w:t>；落实绿色生态</w:t>
      </w:r>
      <w:r>
        <w:rPr>
          <w:rFonts w:ascii="仿宋" w:hAnsi="仿宋" w:eastAsia="仿宋"/>
        </w:rPr>
        <w:t>发展理念，</w:t>
      </w:r>
      <w:r>
        <w:rPr>
          <w:rFonts w:hint="eastAsia" w:ascii="仿宋" w:hAnsi="仿宋" w:eastAsia="仿宋"/>
        </w:rPr>
        <w:t>深入</w:t>
      </w:r>
      <w:r>
        <w:rPr>
          <w:rFonts w:ascii="仿宋" w:hAnsi="仿宋" w:eastAsia="仿宋"/>
        </w:rPr>
        <w:t>挖掘城市水文化，</w:t>
      </w:r>
      <w:r>
        <w:rPr>
          <w:rFonts w:hint="eastAsia" w:ascii="仿宋" w:hAnsi="仿宋" w:eastAsia="仿宋"/>
        </w:rPr>
        <w:t>打造</w:t>
      </w:r>
      <w:r>
        <w:rPr>
          <w:rFonts w:ascii="仿宋" w:hAnsi="仿宋" w:eastAsia="仿宋"/>
        </w:rPr>
        <w:t>首善之区“</w:t>
      </w:r>
      <w:r>
        <w:rPr>
          <w:rFonts w:hint="eastAsia" w:ascii="仿宋" w:hAnsi="仿宋" w:eastAsia="仿宋"/>
        </w:rPr>
        <w:t>幸福</w:t>
      </w:r>
      <w:r>
        <w:rPr>
          <w:rFonts w:ascii="仿宋" w:hAnsi="仿宋" w:eastAsia="仿宋"/>
        </w:rPr>
        <w:t>河湖”</w:t>
      </w:r>
      <w:r>
        <w:rPr>
          <w:rFonts w:hint="eastAsia" w:ascii="仿宋" w:hAnsi="仿宋" w:eastAsia="仿宋"/>
        </w:rPr>
        <w:t>新名片</w:t>
      </w:r>
      <w:r>
        <w:rPr>
          <w:rFonts w:ascii="仿宋" w:hAnsi="仿宋" w:eastAsia="仿宋"/>
        </w:rPr>
        <w:t>；</w:t>
      </w:r>
      <w:r>
        <w:rPr>
          <w:rFonts w:hint="eastAsia" w:ascii="仿宋" w:hAnsi="仿宋" w:eastAsia="仿宋"/>
        </w:rPr>
        <w:t>优化交通</w:t>
      </w:r>
      <w:r>
        <w:rPr>
          <w:rFonts w:ascii="仿宋" w:hAnsi="仿宋" w:eastAsia="仿宋"/>
        </w:rPr>
        <w:t>设施建设与</w:t>
      </w:r>
      <w:r>
        <w:rPr>
          <w:rFonts w:hint="eastAsia" w:ascii="仿宋" w:hAnsi="仿宋" w:eastAsia="仿宋"/>
        </w:rPr>
        <w:t>组织</w:t>
      </w:r>
      <w:r>
        <w:rPr>
          <w:rFonts w:ascii="仿宋" w:hAnsi="仿宋" w:eastAsia="仿宋"/>
        </w:rPr>
        <w:t>管理，推进</w:t>
      </w:r>
      <w:r>
        <w:rPr>
          <w:rFonts w:hint="eastAsia" w:ascii="仿宋" w:hAnsi="仿宋" w:eastAsia="仿宋"/>
        </w:rPr>
        <w:t>慢行系统建设，创建高效便捷、绿色</w:t>
      </w:r>
      <w:r>
        <w:rPr>
          <w:rFonts w:ascii="仿宋" w:hAnsi="仿宋" w:eastAsia="仿宋"/>
        </w:rPr>
        <w:t>友好的出行环境；</w:t>
      </w:r>
      <w:r>
        <w:rPr>
          <w:rFonts w:hint="eastAsia" w:ascii="仿宋" w:hAnsi="仿宋" w:eastAsia="仿宋"/>
        </w:rPr>
        <w:t>兼顾城市日常运行保障和应急处置，全面</w:t>
      </w:r>
      <w:r>
        <w:rPr>
          <w:rFonts w:ascii="仿宋" w:hAnsi="仿宋" w:eastAsia="仿宋"/>
        </w:rPr>
        <w:t>提升</w:t>
      </w:r>
      <w:r>
        <w:rPr>
          <w:rFonts w:hint="eastAsia" w:ascii="仿宋" w:hAnsi="仿宋" w:eastAsia="仿宋"/>
        </w:rPr>
        <w:t>防范</w:t>
      </w:r>
      <w:r>
        <w:rPr>
          <w:rFonts w:ascii="仿宋" w:hAnsi="仿宋" w:eastAsia="仿宋"/>
        </w:rPr>
        <w:t>化解重大</w:t>
      </w:r>
      <w:r>
        <w:rPr>
          <w:rFonts w:hint="eastAsia" w:ascii="仿宋" w:hAnsi="仿宋" w:eastAsia="仿宋"/>
        </w:rPr>
        <w:t>风险的</w:t>
      </w:r>
      <w:r>
        <w:rPr>
          <w:rFonts w:ascii="仿宋" w:hAnsi="仿宋" w:eastAsia="仿宋"/>
        </w:rPr>
        <w:t>能力；</w:t>
      </w:r>
      <w:r>
        <w:rPr>
          <w:rFonts w:hint="eastAsia" w:ascii="仿宋" w:hAnsi="仿宋" w:eastAsia="仿宋"/>
        </w:rPr>
        <w:t>加快城市管理信息融合与智慧化平台建设，提高城市管理预测预警水平和数据辅助决策能力；</w:t>
      </w:r>
      <w:r>
        <w:rPr>
          <w:rFonts w:ascii="仿宋" w:hAnsi="仿宋" w:eastAsia="仿宋"/>
        </w:rPr>
        <w:t>建立健全</w:t>
      </w:r>
      <w:r>
        <w:rPr>
          <w:rFonts w:hint="eastAsia" w:ascii="仿宋" w:hAnsi="仿宋" w:eastAsia="仿宋"/>
        </w:rPr>
        <w:t>规划</w:t>
      </w:r>
      <w:r>
        <w:rPr>
          <w:rFonts w:ascii="仿宋" w:hAnsi="仿宋" w:eastAsia="仿宋"/>
        </w:rPr>
        <w:t>实施保障</w:t>
      </w:r>
      <w:r>
        <w:rPr>
          <w:rFonts w:hint="eastAsia" w:ascii="仿宋" w:hAnsi="仿宋" w:eastAsia="仿宋"/>
        </w:rPr>
        <w:t>与评估</w:t>
      </w:r>
      <w:r>
        <w:rPr>
          <w:rFonts w:ascii="仿宋" w:hAnsi="仿宋" w:eastAsia="仿宋"/>
        </w:rPr>
        <w:t>机制</w:t>
      </w:r>
      <w:r>
        <w:rPr>
          <w:rFonts w:hint="eastAsia" w:ascii="仿宋" w:hAnsi="仿宋" w:eastAsia="仿宋"/>
        </w:rPr>
        <w:t>，为开创西城“十四五”时期城市管理新局面奠定坚实的基础。</w:t>
      </w:r>
    </w:p>
    <w:p>
      <w:pPr>
        <w:pStyle w:val="2"/>
        <w:ind w:firstLine="0" w:firstLineChars="0"/>
        <w:jc w:val="center"/>
        <w:rPr>
          <w:rFonts w:ascii="仿宋" w:hAnsi="仿宋" w:eastAsia="仿宋"/>
        </w:rPr>
      </w:pPr>
      <w:bookmarkStart w:id="31" w:name="_Toc58491509"/>
      <w:r>
        <w:rPr>
          <w:rFonts w:hint="eastAsia" w:ascii="仿宋" w:hAnsi="仿宋" w:eastAsia="仿宋"/>
        </w:rPr>
        <w:t>第四章 “十四五”时期重点</w:t>
      </w:r>
      <w:r>
        <w:rPr>
          <w:rFonts w:ascii="仿宋" w:hAnsi="仿宋" w:eastAsia="仿宋"/>
        </w:rPr>
        <w:t>任务</w:t>
      </w:r>
      <w:bookmarkEnd w:id="31"/>
    </w:p>
    <w:p>
      <w:pPr>
        <w:pStyle w:val="3"/>
        <w:rPr>
          <w:rFonts w:ascii="仿宋" w:hAnsi="仿宋" w:eastAsia="仿宋"/>
        </w:rPr>
      </w:pPr>
      <w:bookmarkStart w:id="32" w:name="_Toc58491510"/>
      <w:r>
        <w:rPr>
          <w:rFonts w:hint="eastAsia" w:ascii="仿宋" w:hAnsi="仿宋" w:eastAsia="仿宋"/>
        </w:rPr>
        <w:t>一、构建</w:t>
      </w:r>
      <w:r>
        <w:rPr>
          <w:rFonts w:ascii="仿宋" w:hAnsi="仿宋" w:eastAsia="仿宋"/>
        </w:rPr>
        <w:t>精准响应</w:t>
      </w:r>
      <w:r>
        <w:rPr>
          <w:rFonts w:hint="eastAsia" w:ascii="仿宋" w:hAnsi="仿宋" w:eastAsia="仿宋"/>
        </w:rPr>
        <w:t>的城市</w:t>
      </w:r>
      <w:r>
        <w:rPr>
          <w:rFonts w:ascii="仿宋" w:hAnsi="仿宋" w:eastAsia="仿宋"/>
        </w:rPr>
        <w:t>精细化</w:t>
      </w:r>
      <w:r>
        <w:rPr>
          <w:rFonts w:hint="eastAsia" w:ascii="仿宋" w:hAnsi="仿宋" w:eastAsia="仿宋"/>
        </w:rPr>
        <w:t>治理新模式</w:t>
      </w:r>
      <w:bookmarkEnd w:id="32"/>
    </w:p>
    <w:p>
      <w:pPr>
        <w:pStyle w:val="4"/>
        <w:numPr>
          <w:ilvl w:val="0"/>
          <w:numId w:val="4"/>
        </w:numPr>
        <w:rPr>
          <w:rFonts w:ascii="仿宋" w:hAnsi="仿宋" w:eastAsia="仿宋"/>
        </w:rPr>
      </w:pPr>
      <w:r>
        <w:rPr>
          <w:rFonts w:hint="eastAsia" w:ascii="仿宋" w:hAnsi="仿宋" w:eastAsia="仿宋"/>
        </w:rPr>
        <w:t>树立科学</w:t>
      </w:r>
      <w:r>
        <w:rPr>
          <w:rFonts w:ascii="仿宋" w:hAnsi="仿宋" w:eastAsia="仿宋"/>
        </w:rPr>
        <w:t>城市管理理念</w:t>
      </w:r>
    </w:p>
    <w:p>
      <w:pPr>
        <w:ind w:firstLine="562"/>
        <w:rPr>
          <w:rFonts w:ascii="仿宋" w:hAnsi="仿宋" w:eastAsia="仿宋"/>
        </w:rPr>
      </w:pPr>
      <w:r>
        <w:rPr>
          <w:rFonts w:hint="eastAsia" w:ascii="仿宋" w:hAnsi="仿宋" w:eastAsia="仿宋"/>
          <w:b/>
        </w:rPr>
        <w:t>巩固西城区法治政府建设成果，不断提高城市管理的法治水平。</w:t>
      </w:r>
      <w:r>
        <w:rPr>
          <w:rFonts w:hint="eastAsia" w:ascii="仿宋" w:hAnsi="仿宋" w:eastAsia="仿宋"/>
        </w:rPr>
        <w:t>继续探索运用法治思维和法治方式化解管理中的矛盾和问题，从法治角度出发，将居民的无序诉求引入理性表达渠道。严格落实行政执法责任制，全面依法履行职能。进一步完善综合行政执法机制，加强街道执法队伍、公安队伍以及相关行政部门之间的协调。加强对执法工作的内部监督和外部监督，塑造良好的执法环境，强化法律宣传和教育，提升居民的法治观念和法律信仰。</w:t>
      </w:r>
    </w:p>
    <w:p>
      <w:pPr>
        <w:ind w:firstLine="562"/>
        <w:rPr>
          <w:rFonts w:ascii="仿宋" w:hAnsi="仿宋" w:eastAsia="仿宋"/>
        </w:rPr>
      </w:pPr>
      <w:r>
        <w:rPr>
          <w:rFonts w:ascii="仿宋" w:hAnsi="仿宋" w:eastAsia="仿宋"/>
          <w:b/>
        </w:rPr>
        <w:t>强化</w:t>
      </w:r>
      <w:r>
        <w:rPr>
          <w:rFonts w:hint="eastAsia" w:ascii="仿宋" w:hAnsi="仿宋" w:eastAsia="仿宋"/>
          <w:b/>
        </w:rPr>
        <w:t>全周期管理</w:t>
      </w:r>
      <w:r>
        <w:rPr>
          <w:rFonts w:ascii="仿宋" w:hAnsi="仿宋" w:eastAsia="仿宋"/>
          <w:b/>
        </w:rPr>
        <w:t>意识</w:t>
      </w:r>
      <w:r>
        <w:rPr>
          <w:rFonts w:hint="eastAsia" w:ascii="仿宋" w:hAnsi="仿宋" w:eastAsia="仿宋"/>
          <w:b/>
        </w:rPr>
        <w:t>，</w:t>
      </w:r>
      <w:r>
        <w:rPr>
          <w:rFonts w:ascii="仿宋" w:hAnsi="仿宋" w:eastAsia="仿宋"/>
          <w:b/>
        </w:rPr>
        <w:t>树立</w:t>
      </w:r>
      <w:r>
        <w:rPr>
          <w:rFonts w:hint="eastAsia" w:ascii="仿宋" w:hAnsi="仿宋" w:eastAsia="仿宋"/>
          <w:b/>
        </w:rPr>
        <w:t>事前、事中、事后全流程闭环管理理念。</w:t>
      </w:r>
      <w:r>
        <w:rPr>
          <w:rFonts w:ascii="仿宋" w:hAnsi="仿宋" w:eastAsia="仿宋"/>
        </w:rPr>
        <w:t>以</w:t>
      </w:r>
      <w:r>
        <w:rPr>
          <w:rFonts w:hint="eastAsia" w:ascii="仿宋" w:hAnsi="仿宋" w:eastAsia="仿宋"/>
        </w:rPr>
        <w:t>“全周期管理”理念</w:t>
      </w:r>
      <w:r>
        <w:rPr>
          <w:rFonts w:ascii="仿宋" w:hAnsi="仿宋" w:eastAsia="仿宋"/>
        </w:rPr>
        <w:t>为指导</w:t>
      </w:r>
      <w:r>
        <w:rPr>
          <w:rFonts w:hint="eastAsia" w:ascii="仿宋" w:hAnsi="仿宋" w:eastAsia="仿宋"/>
        </w:rPr>
        <w:t>，</w:t>
      </w:r>
      <w:r>
        <w:rPr>
          <w:rFonts w:ascii="仿宋" w:hAnsi="仿宋" w:eastAsia="仿宋"/>
        </w:rPr>
        <w:t>逐步完善</w:t>
      </w:r>
      <w:r>
        <w:rPr>
          <w:rFonts w:hint="eastAsia" w:ascii="仿宋" w:hAnsi="仿宋" w:eastAsia="仿宋"/>
        </w:rPr>
        <w:t>前期科学预警研判、中期高效联动处置、后期全面总结学习的全流程管理闭环，不断提高“全时发现、智能识别、及时预警、科学决策”的能力。加强对规划实施的过程管控和实施反馈，借助大数据、物联网感应等新技术以及完善的基层治理机制，精准</w:t>
      </w:r>
      <w:r>
        <w:rPr>
          <w:rFonts w:ascii="仿宋" w:hAnsi="仿宋" w:eastAsia="仿宋"/>
        </w:rPr>
        <w:t>识别公共事务的发展规律和特征，</w:t>
      </w:r>
      <w:r>
        <w:rPr>
          <w:rFonts w:hint="eastAsia" w:ascii="仿宋" w:hAnsi="仿宋" w:eastAsia="仿宋"/>
        </w:rPr>
        <w:t>全时发现城市</w:t>
      </w:r>
      <w:r>
        <w:rPr>
          <w:rFonts w:ascii="仿宋" w:hAnsi="仿宋" w:eastAsia="仿宋"/>
        </w:rPr>
        <w:t>管理中的问题，</w:t>
      </w:r>
      <w:r>
        <w:rPr>
          <w:rFonts w:hint="eastAsia" w:ascii="仿宋" w:hAnsi="仿宋" w:eastAsia="仿宋"/>
        </w:rPr>
        <w:t>提高</w:t>
      </w:r>
      <w:r>
        <w:rPr>
          <w:rFonts w:ascii="仿宋" w:hAnsi="仿宋" w:eastAsia="仿宋"/>
        </w:rPr>
        <w:t>城市风险的监测预警和科学研判能力</w:t>
      </w:r>
      <w:r>
        <w:rPr>
          <w:rFonts w:hint="eastAsia" w:ascii="仿宋" w:hAnsi="仿宋" w:eastAsia="仿宋"/>
        </w:rPr>
        <w:t>。建立“权责明晰、信息流畅、科学配合”的高效联动处置模式，形成跨部门互通互联及信息共享共建的协同管理机制，不断提高应对城市管理问题的执行力。建立和完善城市管理学习总结机制和事后评估反馈机制，强化对城市管理问题成因、处置方式、处置效果等的复盘总结，做好管理数据分类入库。</w:t>
      </w:r>
    </w:p>
    <w:p>
      <w:pPr>
        <w:ind w:firstLine="562"/>
        <w:rPr>
          <w:rFonts w:ascii="仿宋" w:hAnsi="仿宋" w:eastAsia="仿宋"/>
        </w:rPr>
      </w:pPr>
      <w:r>
        <w:rPr>
          <w:rFonts w:hint="eastAsia" w:ascii="仿宋" w:hAnsi="仿宋" w:eastAsia="仿宋"/>
          <w:b/>
        </w:rPr>
        <w:t>探索“政府主导、市场优先、社会协同”的多元化治理路径。</w:t>
      </w:r>
      <w:r>
        <w:rPr>
          <w:rFonts w:hint="eastAsia" w:ascii="仿宋" w:hAnsi="仿宋" w:eastAsia="仿宋"/>
        </w:rPr>
        <w:t>坚持政府在城市管理中的主导作用，充分调动市场资源和社会资本，不断提高管理效率和服务水平。充分发挥区城管委在城市管理工作中的统筹协调作用和监督指导作用。引进市场竞争机制，提升驻区企业履职效能。以授权赋能为核心，推进社区的治理体系建设，完善</w:t>
      </w:r>
      <w:r>
        <w:rPr>
          <w:rFonts w:ascii="仿宋" w:hAnsi="仿宋" w:eastAsia="仿宋"/>
        </w:rPr>
        <w:t>创新社会治理新格局。</w:t>
      </w:r>
    </w:p>
    <w:p>
      <w:pPr>
        <w:ind w:firstLine="562"/>
        <w:rPr>
          <w:rFonts w:ascii="仿宋" w:hAnsi="仿宋" w:eastAsia="仿宋"/>
        </w:rPr>
      </w:pPr>
      <w:r>
        <w:rPr>
          <w:rFonts w:hint="eastAsia" w:ascii="仿宋" w:hAnsi="仿宋" w:eastAsia="仿宋"/>
          <w:b/>
        </w:rPr>
        <w:t>积极适应变化和不确定性，形成自主进化式治理观念。</w:t>
      </w:r>
      <w:r>
        <w:rPr>
          <w:rFonts w:hint="eastAsia" w:ascii="仿宋" w:hAnsi="仿宋" w:eastAsia="仿宋"/>
        </w:rPr>
        <w:t>提升城市管理的自主性、能动性、适应性和深度学习能力，提高城市管理工作的韧性，以自主进化式治理形式积极应对国内国际形势变化。提升城市管理的包容性和灵活性，建立和完善容错纠错机制，根据城市管理的实际情况，及时调整优化管理方法。提升城市管理过程中的信息获取能力和对外界信息作出反应的能力，加强对信息和经验的深度学习，推动城市管理的持续创新。加强对管理创新过程的评估和反馈，完善创新的监督检查和激励制度，推动城市管理的自我更新成为一种常态化机制。</w:t>
      </w:r>
    </w:p>
    <w:p>
      <w:pPr>
        <w:pStyle w:val="4"/>
        <w:numPr>
          <w:ilvl w:val="0"/>
          <w:numId w:val="4"/>
        </w:numPr>
        <w:rPr>
          <w:rFonts w:ascii="仿宋" w:hAnsi="仿宋" w:eastAsia="仿宋"/>
        </w:rPr>
      </w:pPr>
      <w:r>
        <w:rPr>
          <w:rFonts w:hint="eastAsia" w:ascii="仿宋" w:hAnsi="仿宋" w:eastAsia="仿宋"/>
        </w:rPr>
        <w:t>继续深化体制机制改革</w:t>
      </w:r>
    </w:p>
    <w:p>
      <w:pPr>
        <w:ind w:firstLine="562"/>
        <w:rPr>
          <w:rFonts w:ascii="仿宋" w:hAnsi="仿宋" w:eastAsia="仿宋"/>
        </w:rPr>
      </w:pPr>
      <w:r>
        <w:rPr>
          <w:rFonts w:hint="eastAsia" w:ascii="仿宋" w:hAnsi="仿宋" w:eastAsia="仿宋"/>
          <w:b/>
        </w:rPr>
        <w:t>完善“党建引领、政府负责、强化属地、社会参与”权责体系。</w:t>
      </w:r>
      <w:r>
        <w:rPr>
          <w:rFonts w:hint="eastAsia" w:ascii="仿宋" w:hAnsi="仿宋" w:eastAsia="仿宋"/>
        </w:rPr>
        <w:t>加强各级党委和政府对城市管理的统一领导，以党建引领推动体制机制改革。</w:t>
      </w:r>
      <w:r>
        <w:rPr>
          <w:rFonts w:hint="eastAsia" w:ascii="仿宋" w:hAnsi="仿宋" w:eastAsia="仿宋"/>
          <w:b/>
        </w:rPr>
        <w:t>在区级层面</w:t>
      </w:r>
      <w:r>
        <w:rPr>
          <w:rFonts w:hint="eastAsia" w:ascii="仿宋" w:hAnsi="仿宋" w:eastAsia="仿宋"/>
        </w:rPr>
        <w:t>，充分发挥西城区城市管理委员会对城市管理工作的统筹、协调作用，以不影响相关部门积极性为前提，进一步科学划分区城管委与相关行政主管部门的工作职责，根据工作中发现的各类专项问题，动态研究制定城市管理责任清单，进一步解决部门职责交叉问题。</w:t>
      </w:r>
      <w:r>
        <w:rPr>
          <w:rFonts w:hint="eastAsia" w:ascii="仿宋" w:hAnsi="仿宋" w:eastAsia="仿宋"/>
          <w:b/>
        </w:rPr>
        <w:t>在街道层面</w:t>
      </w:r>
      <w:r>
        <w:rPr>
          <w:rFonts w:hint="eastAsia" w:ascii="仿宋" w:hAnsi="仿宋" w:eastAsia="仿宋"/>
        </w:rPr>
        <w:t>，深入推进党建引领“街乡吹哨，部门报到”工作，理清条块关系，进一步落实权责清单，推动管理重心下移，同时强化各职能部门对街道管理的监督和专业化指导。按照“责权对等”的原则，把责任与权力下放给街道，提高各街道办事处统筹协调和资源整合能力。</w:t>
      </w:r>
      <w:r>
        <w:rPr>
          <w:rFonts w:hint="eastAsia" w:ascii="仿宋" w:hAnsi="仿宋" w:eastAsia="仿宋"/>
          <w:b/>
        </w:rPr>
        <w:t>优化基层社会治理结构</w:t>
      </w:r>
      <w:r>
        <w:rPr>
          <w:rFonts w:hint="eastAsia" w:ascii="仿宋" w:hAnsi="仿宋" w:eastAsia="仿宋"/>
        </w:rPr>
        <w:t>，明确街道、社区的管理服务责任，重塑企业、社会组织和公众在基层社会治理中的主体地位。以党建引领基层治理模式创新，发挥街道办在基层治理中的</w:t>
      </w:r>
      <w:r>
        <w:rPr>
          <w:rFonts w:ascii="仿宋" w:hAnsi="仿宋" w:eastAsia="仿宋"/>
        </w:rPr>
        <w:t>指导和监督</w:t>
      </w:r>
      <w:r>
        <w:rPr>
          <w:rFonts w:hint="eastAsia" w:ascii="仿宋" w:hAnsi="仿宋" w:eastAsia="仿宋"/>
        </w:rPr>
        <w:t>作用。建立健全街巷物业准入和星级评定机制，通过引入末位淘汰制度等，提高物业公司的履职效能。积极培育和支持基层自治组织、其他社会组织参与城市治理，</w:t>
      </w:r>
      <w:r>
        <w:rPr>
          <w:rFonts w:ascii="仿宋" w:hAnsi="仿宋" w:eastAsia="仿宋"/>
        </w:rPr>
        <w:t>形成</w:t>
      </w:r>
      <w:r>
        <w:rPr>
          <w:rFonts w:hint="eastAsia" w:ascii="仿宋" w:hAnsi="仿宋" w:eastAsia="仿宋"/>
        </w:rPr>
        <w:t>“多元主体、明确分工、各司其职”的基层社会治理结构。</w:t>
      </w:r>
    </w:p>
    <w:p>
      <w:pPr>
        <w:ind w:firstLine="562"/>
      </w:pPr>
      <w:r>
        <w:rPr>
          <w:rFonts w:hint="eastAsia" w:ascii="仿宋" w:hAnsi="仿宋" w:eastAsia="仿宋"/>
          <w:b/>
        </w:rPr>
        <w:t>强化“法治政府</w:t>
      </w:r>
      <w:r>
        <w:rPr>
          <w:rFonts w:ascii="仿宋" w:hAnsi="仿宋" w:eastAsia="仿宋"/>
          <w:b/>
        </w:rPr>
        <w:t>+法治社会”的治理保障。</w:t>
      </w:r>
      <w:r>
        <w:rPr>
          <w:rFonts w:hint="eastAsia" w:ascii="仿宋" w:hAnsi="仿宋" w:eastAsia="仿宋"/>
        </w:rPr>
        <w:t>深入做好行政执法公示、行政执法全过程记录和重大执法决定法制审核三项制度的落实。进一步落实行政执法案例指导、行政执法裁量基准、行政执法案卷管理和评查、行政执法投诉举报以及行政执法考核监督等制度要求，持续强化行政执法岗位、资格和证件管理，形成与“三项制度”衔接配套、统筹行政执法各个环节的工作机制。进一步强化各街道办事处对综合执法队伍的统一调度能力，构建稳定的基层综合执法体系，配齐、配强基层执法人员，形成一套以街道为执法主体的权责统一、权威高效的运行机制，切实提高政府依法行政能力和水平。严格落实行政执法责任制，明确执法目标、执法权限、执法标准、执法程序和执法责任。完善执法综合监督考评机制，将执法效果和居民满意度等纳入考核评价体系。认真落实“谁执法谁普法”责任制和以案释法制度，建立全方位、立体化的城市管理法律法规宣传教育体系，形成全社会共享共治的良好氛围。</w:t>
      </w:r>
    </w:p>
    <w:p>
      <w:pPr>
        <w:ind w:firstLine="562"/>
        <w:rPr>
          <w:rFonts w:ascii="仿宋" w:hAnsi="仿宋" w:eastAsia="仿宋"/>
        </w:rPr>
      </w:pPr>
      <w:r>
        <w:rPr>
          <w:rFonts w:hint="eastAsia" w:ascii="仿宋" w:hAnsi="仿宋" w:eastAsia="仿宋"/>
          <w:b/>
        </w:rPr>
        <w:t>建立和完善城市环境长效管理机制。</w:t>
      </w:r>
      <w:r>
        <w:rPr>
          <w:rFonts w:ascii="仿宋" w:hAnsi="仿宋" w:eastAsia="仿宋"/>
        </w:rPr>
        <w:t>根据核心区控规要求和</w:t>
      </w:r>
      <w:r>
        <w:rPr>
          <w:rFonts w:hint="eastAsia" w:ascii="仿宋" w:hAnsi="仿宋" w:eastAsia="仿宋"/>
        </w:rPr>
        <w:t>街区更新工作需要，细化重点区域管理要求，研究制定差异化的长效管理方案。提高长安街、中轴线、二环路、金融街、西单等区域环境管理标准，强化沿街商户参与环境治理的主体责任。加大综合巡检力度和监督执法力度，加强对学校、医院等场所的停车管理，强化对文保单位及景区周边的交通组织和人流疏导。完善以“街巷长”为轴心的背街小巷长效管理机制，发挥街巷长的轴心作用，落实街巷长知情、监督、处置和评价职责，建立健全街巷长考核评价机制、街巷长激励机制，充分调动街巷长积极性。进一步发挥“小巷管家”的纽带作用，加强“小巷管家”队伍建设，完善“小巷管家”招募和激励机制，提高居民参与街巷监督和管理的积极性。完善街巷自治理事会制度，强化背街小巷整治过程的协商机制。建立健全街巷物业准入和星级评定机制，研究制定街巷物业考核细则和星级评定标准，通过引入末位淘汰制度等，提高街巷物业的履职效能。完善背街小巷整治宣传动员机制，加强对在地居民的宣传教育，提升居民参与背街小巷整治和管理监督的关注度、参与度。</w:t>
      </w:r>
    </w:p>
    <w:p>
      <w:pPr>
        <w:ind w:firstLine="562"/>
        <w:rPr>
          <w:rFonts w:ascii="仿宋" w:hAnsi="仿宋" w:eastAsia="仿宋"/>
        </w:rPr>
      </w:pPr>
      <w:r>
        <w:rPr>
          <w:rFonts w:ascii="仿宋" w:hAnsi="仿宋" w:eastAsia="仿宋"/>
          <w:b/>
        </w:rPr>
        <w:t>健全城市应急管理和综合保障机制</w:t>
      </w:r>
      <w:r>
        <w:rPr>
          <w:rFonts w:hint="eastAsia" w:ascii="仿宋" w:hAnsi="仿宋" w:eastAsia="仿宋"/>
          <w:b/>
        </w:rPr>
        <w:t>。</w:t>
      </w:r>
      <w:r>
        <w:rPr>
          <w:rFonts w:hint="eastAsia" w:ascii="仿宋" w:hAnsi="仿宋" w:eastAsia="仿宋"/>
        </w:rPr>
        <w:t>进一步完善“发现问题-高效处置-综合管理-保障应急”的逻辑链条。推动建立能源、水、交通、供热、管线等领域运行管理问题的系统排查机制，突出物联网、大数据在问题排查中的重要所用。完善联席会议机制，加强城市管理部门与相关专业部门、辖区内中央单位、驻京部队之间的沟通与协调。健全专业驱动的综合管理机制，完善交通综合治理和地下管线综合管理。及时修订城市管理领域应急预案，加强</w:t>
      </w:r>
      <w:r>
        <w:rPr>
          <w:rFonts w:ascii="仿宋" w:hAnsi="仿宋" w:eastAsia="仿宋"/>
        </w:rPr>
        <w:t>预案</w:t>
      </w:r>
      <w:r>
        <w:rPr>
          <w:rFonts w:hint="eastAsia" w:ascii="仿宋" w:hAnsi="仿宋" w:eastAsia="仿宋"/>
        </w:rPr>
        <w:t>的桌面推演和应急演练。完善应急指挥部门联动机制和中央单位配合支持属地管理机制。</w:t>
      </w:r>
    </w:p>
    <w:p>
      <w:pPr>
        <w:pStyle w:val="4"/>
        <w:numPr>
          <w:ilvl w:val="0"/>
          <w:numId w:val="4"/>
        </w:numPr>
        <w:rPr>
          <w:rFonts w:ascii="仿宋" w:hAnsi="仿宋" w:eastAsia="仿宋"/>
        </w:rPr>
      </w:pPr>
      <w:r>
        <w:rPr>
          <w:rFonts w:hint="eastAsia" w:ascii="仿宋" w:hAnsi="仿宋" w:eastAsia="仿宋"/>
        </w:rPr>
        <w:t>建立健全标准规范体系</w:t>
      </w:r>
    </w:p>
    <w:p>
      <w:pPr>
        <w:ind w:firstLine="562"/>
        <w:rPr>
          <w:rFonts w:ascii="仿宋" w:hAnsi="仿宋" w:eastAsia="仿宋"/>
        </w:rPr>
      </w:pPr>
      <w:r>
        <w:rPr>
          <w:rFonts w:hint="eastAsia" w:ascii="仿宋" w:hAnsi="仿宋" w:eastAsia="仿宋"/>
          <w:b/>
        </w:rPr>
        <w:t>提升</w:t>
      </w:r>
      <w:r>
        <w:rPr>
          <w:rFonts w:ascii="仿宋" w:hAnsi="仿宋" w:eastAsia="仿宋"/>
          <w:b/>
        </w:rPr>
        <w:t>管理</w:t>
      </w:r>
      <w:r>
        <w:rPr>
          <w:rFonts w:hint="eastAsia" w:ascii="仿宋" w:hAnsi="仿宋" w:eastAsia="仿宋"/>
          <w:b/>
        </w:rPr>
        <w:t>强度和</w:t>
      </w:r>
      <w:r>
        <w:rPr>
          <w:rFonts w:ascii="仿宋" w:hAnsi="仿宋" w:eastAsia="仿宋"/>
          <w:b/>
        </w:rPr>
        <w:t>管理标准</w:t>
      </w:r>
      <w:r>
        <w:rPr>
          <w:rFonts w:hint="eastAsia" w:ascii="仿宋" w:hAnsi="仿宋" w:eastAsia="仿宋"/>
          <w:b/>
        </w:rPr>
        <w:t>。</w:t>
      </w:r>
      <w:r>
        <w:rPr>
          <w:rFonts w:hint="eastAsia" w:ascii="仿宋" w:hAnsi="仿宋" w:eastAsia="仿宋"/>
        </w:rPr>
        <w:t>巩固提升西城区分类分级管理工作成果，积极适应多样化的城市功能发展要求，着力打造西城区分区分级、分类分时的</w:t>
      </w:r>
      <w:r>
        <w:rPr>
          <w:rFonts w:ascii="仿宋" w:hAnsi="仿宋" w:eastAsia="仿宋"/>
        </w:rPr>
        <w:t>城市</w:t>
      </w:r>
      <w:r>
        <w:rPr>
          <w:rFonts w:hint="eastAsia" w:ascii="仿宋" w:hAnsi="仿宋" w:eastAsia="仿宋"/>
        </w:rPr>
        <w:t>管理示范。在原有分类分级管理模式基础上，按照《首都功能核心区控制性详细规划（街区层面）（2018年—2035年）》要求，进一步细化西城区管理分区，根据不同分区主导功能完善相应管理标准，探索制定西城区街区精细化管理导则。提升中南海、人民大会堂、全国政协礼堂周边，西长安街沿线和三里河等政务活动区的管理强度；探索金融街、金科新区等金融服务区和西单、新街口等繁华商业区的分时管控策略；加强什刹海、故宫等传统风貌区和西直门、动物园等交通枢纽区的风貌保护和环境秩序整治；改善提升公园绿地、文娱场所等公共休闲区景观品质；提升楼房住宅小区、平房区，尤其是背街小巷的城市公共设施、环境卫生等标准，落实长效管理机制，加快背街小巷精细化整治提升。</w:t>
      </w:r>
    </w:p>
    <w:p>
      <w:pPr>
        <w:ind w:firstLine="562"/>
        <w:rPr>
          <w:rFonts w:ascii="仿宋" w:hAnsi="仿宋" w:eastAsia="仿宋"/>
        </w:rPr>
      </w:pPr>
      <w:r>
        <w:rPr>
          <w:rFonts w:hint="eastAsia" w:ascii="仿宋" w:hAnsi="仿宋" w:eastAsia="仿宋"/>
          <w:b/>
        </w:rPr>
        <w:t>完善西城区城市管理标准体系。</w:t>
      </w:r>
      <w:r>
        <w:rPr>
          <w:rFonts w:hint="eastAsia" w:ascii="仿宋" w:hAnsi="仿宋" w:eastAsia="仿宋"/>
        </w:rPr>
        <w:t>在西城区原有的《西城区城市环境分类分级管理标准体系》基础上，进一步立足西城区实际，对标国际一流，结合分区分级、分类分时理念以及“新城建、新基建”需要等，动态调整城市管理标准体系。重点完善城市街巷、道路交通、河道管理、园林绿化、市容环卫、城管执法等重点领域，以及街巷物业管理、垃圾分类等重点工作任务的标准规范。制定管理清单、责任清单和网格清单，逐步实现城市管理领域标准规范全覆盖，使精细化管理有章可循。围绕“新城建、新基建” 探索建立与城市更新升级和提质增效相匹配的管理标准，改善城市品质和人居环境质量，提升城市管理水平和社会治理能力。</w:t>
      </w:r>
    </w:p>
    <w:p>
      <w:pPr>
        <w:ind w:firstLine="562"/>
        <w:rPr>
          <w:rFonts w:ascii="仿宋" w:hAnsi="仿宋" w:eastAsia="仿宋"/>
        </w:rPr>
      </w:pPr>
      <w:r>
        <w:rPr>
          <w:rFonts w:ascii="仿宋" w:hAnsi="仿宋" w:eastAsia="仿宋"/>
          <w:b/>
        </w:rPr>
        <w:t>建立健全管理标准更新机制</w:t>
      </w:r>
      <w:r>
        <w:rPr>
          <w:rFonts w:hint="eastAsia" w:ascii="仿宋" w:hAnsi="仿宋" w:eastAsia="仿宋"/>
          <w:b/>
        </w:rPr>
        <w:t>。</w:t>
      </w:r>
      <w:r>
        <w:rPr>
          <w:rFonts w:hint="eastAsia" w:ascii="仿宋" w:hAnsi="仿宋" w:eastAsia="仿宋"/>
        </w:rPr>
        <w:t>加强标准规划的更新和维护，注重行业之间标准规范的有机衔接。尽快梳理完善城市管理标准规范，做好标准体系的对外发布。建立标准规范的实施培训机制，对城市管理工作一线的非专业人员进行深度培训。对标落实市政市容综合巡查制度，完成市政道路、背街小巷、河长制、湖长制等方面精细化综合巡检工作，确保标准实施效果。研究建立标准规范化实施评估机制，做好标准实施的评估-反馈-修订工作。</w:t>
      </w:r>
    </w:p>
    <w:p>
      <w:pPr>
        <w:pStyle w:val="4"/>
        <w:numPr>
          <w:ilvl w:val="0"/>
          <w:numId w:val="4"/>
        </w:numPr>
        <w:rPr>
          <w:rFonts w:ascii="仿宋" w:hAnsi="仿宋" w:eastAsia="仿宋"/>
        </w:rPr>
      </w:pPr>
      <w:r>
        <w:rPr>
          <w:rFonts w:hint="eastAsia" w:ascii="仿宋" w:hAnsi="仿宋" w:eastAsia="仿宋"/>
        </w:rPr>
        <w:t>不断创新城市</w:t>
      </w:r>
      <w:r>
        <w:rPr>
          <w:rFonts w:ascii="仿宋" w:hAnsi="仿宋" w:eastAsia="仿宋"/>
        </w:rPr>
        <w:t>管理方式</w:t>
      </w:r>
    </w:p>
    <w:p>
      <w:pPr>
        <w:ind w:firstLine="562"/>
        <w:rPr>
          <w:rFonts w:ascii="仿宋" w:hAnsi="仿宋" w:eastAsia="仿宋"/>
        </w:rPr>
      </w:pPr>
      <w:r>
        <w:rPr>
          <w:rFonts w:hint="eastAsia" w:ascii="仿宋" w:hAnsi="仿宋" w:eastAsia="仿宋"/>
          <w:b/>
        </w:rPr>
        <w:t>以贴近需求端为导向，优化管理资源配置。</w:t>
      </w:r>
      <w:r>
        <w:rPr>
          <w:rFonts w:hint="eastAsia" w:ascii="仿宋" w:hAnsi="仿宋" w:eastAsia="仿宋"/>
        </w:rPr>
        <w:t>加强管理与服务的供给端和需求端双向互动，在精准识别公共事务需求的基础上，合理确定需求响应的主体，形成差异化的治理逻辑和适度的解决方案。结合城市体检思想推进预见性管理，充分发挥大数据和云计算等先进技术在辅助城市管理和决策中的优势作用，加强城市管理案件和事件的数据规律研判和监测预警，推动“救火式”管理向“预见性”管理转变，实现管理资源的优化配置。加快城市管理领域统一的数据平台和管理平台建设，提高区级城市综合管理的统筹性和协调性。推动建立重点区域和重点业务领域的专项治理场景，集中力量解决城市“老、大、难”问题。优化“接诉即办”和“吹哨报到”流程设计，完善相关业务办理的评价考核标准，进一步提高居民和基层管理者对城市管理工作的满意度。</w:t>
      </w:r>
    </w:p>
    <w:p>
      <w:pPr>
        <w:ind w:firstLine="562"/>
        <w:rPr>
          <w:rFonts w:ascii="仿宋" w:hAnsi="仿宋" w:eastAsia="仿宋"/>
        </w:rPr>
      </w:pPr>
      <w:r>
        <w:rPr>
          <w:rFonts w:hint="eastAsia" w:ascii="仿宋" w:hAnsi="仿宋" w:eastAsia="仿宋"/>
          <w:b/>
        </w:rPr>
        <w:t>扩大公众参与社会协同基础。</w:t>
      </w:r>
      <w:r>
        <w:rPr>
          <w:rFonts w:hint="eastAsia" w:ascii="仿宋" w:hAnsi="仿宋" w:eastAsia="仿宋"/>
        </w:rPr>
        <w:t>在法制保障的前提下，强化公众参与的基础作用和社会协同的治理空间。深入</w:t>
      </w:r>
      <w:r>
        <w:rPr>
          <w:rFonts w:ascii="仿宋" w:hAnsi="仿宋" w:eastAsia="仿宋"/>
        </w:rPr>
        <w:t>推进社会治理创新，</w:t>
      </w:r>
      <w:r>
        <w:rPr>
          <w:rFonts w:hint="eastAsia" w:ascii="仿宋" w:hAnsi="仿宋" w:eastAsia="仿宋"/>
        </w:rPr>
        <w:t>通过赋权赋能社区社会组织鼓励</w:t>
      </w:r>
      <w:r>
        <w:rPr>
          <w:rFonts w:ascii="仿宋" w:hAnsi="仿宋" w:eastAsia="仿宋"/>
        </w:rPr>
        <w:t>其积极参与社会基层治理</w:t>
      </w:r>
      <w:r>
        <w:rPr>
          <w:rFonts w:hint="eastAsia" w:ascii="仿宋" w:hAnsi="仿宋" w:eastAsia="仿宋"/>
        </w:rPr>
        <w:t>，充分发挥街巷自治理事会等平台的沟通协商作用，完善相应协商机制。通过政府购买服务或引导志愿服务等，将社会主体纳入城市管理和公共服务体系，</w:t>
      </w:r>
      <w:r>
        <w:rPr>
          <w:rFonts w:ascii="仿宋" w:hAnsi="仿宋" w:eastAsia="仿宋"/>
        </w:rPr>
        <w:t>更好地</w:t>
      </w:r>
      <w:r>
        <w:rPr>
          <w:rFonts w:hint="eastAsia" w:ascii="仿宋" w:hAnsi="仿宋" w:eastAsia="仿宋"/>
        </w:rPr>
        <w:t>发挥物业等驻区单位和“小巷管家”等志愿者群体在城市管理中的关键作用。进一步畅通沟通渠道，维护老党员、老干部、老政法、老教师、老工人等“五老”人员参与城市管理工作的积极性，进一步引导青年人、外来人等群体参与基层社会治理。</w:t>
      </w:r>
    </w:p>
    <w:p>
      <w:pPr>
        <w:ind w:firstLine="562"/>
        <w:rPr>
          <w:rFonts w:ascii="仿宋" w:hAnsi="仿宋" w:eastAsia="仿宋"/>
        </w:rPr>
      </w:pPr>
      <w:r>
        <w:rPr>
          <w:rFonts w:hint="eastAsia" w:ascii="仿宋" w:hAnsi="仿宋" w:eastAsia="仿宋"/>
          <w:b/>
        </w:rPr>
        <w:t>完善基层治理激励制度。</w:t>
      </w:r>
      <w:r>
        <w:rPr>
          <w:rFonts w:hint="eastAsia" w:ascii="仿宋" w:hAnsi="仿宋" w:eastAsia="仿宋"/>
        </w:rPr>
        <w:t>以公开公正为原则，以把握需求为基础，建立和完善“正向激励为主，反向激励为辅”的基层干部激励制度，充分调动基层治理干部的积极性。完善以竞争为导向的市场激励制度，提高公共服务企业的服务效率。进一步落实“门前三包”责任制，提高临街社会单位与商户参与城市治理的责任意识。面向基层自治组织、其他社会组织、个人等形成综合</w:t>
      </w:r>
      <w:r>
        <w:rPr>
          <w:rFonts w:ascii="仿宋" w:hAnsi="仿宋" w:eastAsia="仿宋"/>
        </w:rPr>
        <w:t>激励</w:t>
      </w:r>
      <w:r>
        <w:rPr>
          <w:rFonts w:hint="eastAsia" w:ascii="仿宋" w:hAnsi="仿宋" w:eastAsia="仿宋"/>
        </w:rPr>
        <w:t>机制，通过政策支持、财政支持、专业指导、平台搭建、政府购买服务等形式，进一步向基层社会赋能，提高社会参与城市治理的意愿和能力。</w:t>
      </w:r>
    </w:p>
    <w:p>
      <w:pPr>
        <w:pStyle w:val="3"/>
        <w:rPr>
          <w:rFonts w:ascii="仿宋" w:hAnsi="仿宋" w:eastAsia="仿宋"/>
        </w:rPr>
      </w:pPr>
      <w:bookmarkStart w:id="33" w:name="_Toc58491511"/>
      <w:r>
        <w:rPr>
          <w:rFonts w:hint="eastAsia" w:ascii="仿宋" w:hAnsi="仿宋" w:eastAsia="仿宋"/>
        </w:rPr>
        <w:t>二、加强市政设施建设与安全运行保障</w:t>
      </w:r>
      <w:bookmarkEnd w:id="33"/>
    </w:p>
    <w:p>
      <w:pPr>
        <w:pStyle w:val="4"/>
        <w:numPr>
          <w:ilvl w:val="0"/>
          <w:numId w:val="5"/>
        </w:numPr>
        <w:rPr>
          <w:rFonts w:ascii="仿宋" w:hAnsi="仿宋" w:eastAsia="仿宋"/>
        </w:rPr>
      </w:pPr>
      <w:r>
        <w:rPr>
          <w:rFonts w:hint="eastAsia" w:ascii="仿宋" w:hAnsi="仿宋" w:eastAsia="仿宋"/>
        </w:rPr>
        <w:t>全面提升城市安全运行保障能力</w:t>
      </w:r>
    </w:p>
    <w:p>
      <w:pPr>
        <w:ind w:firstLine="562"/>
        <w:rPr>
          <w:rFonts w:ascii="仿宋" w:hAnsi="仿宋" w:eastAsia="仿宋"/>
          <w:b/>
          <w:bCs/>
        </w:rPr>
      </w:pPr>
      <w:r>
        <w:rPr>
          <w:rFonts w:hint="eastAsia" w:ascii="仿宋" w:hAnsi="仿宋" w:eastAsia="仿宋"/>
          <w:b/>
          <w:bCs/>
        </w:rPr>
        <w:t>加强市政基础设施协同管控，全面提升核心区运行保障能力。</w:t>
      </w:r>
      <w:r>
        <w:rPr>
          <w:rFonts w:hint="eastAsia" w:ascii="仿宋" w:hAnsi="仿宋" w:eastAsia="仿宋"/>
        </w:rPr>
        <w:t>综合利用“物联网</w:t>
      </w:r>
      <w:r>
        <w:rPr>
          <w:rFonts w:ascii="仿宋" w:hAnsi="仿宋" w:eastAsia="仿宋" w:cs="Times New Roman"/>
        </w:rPr>
        <w:t>+</w:t>
      </w:r>
      <w:r>
        <w:rPr>
          <w:rFonts w:hint="eastAsia" w:ascii="仿宋" w:hAnsi="仿宋" w:eastAsia="仿宋"/>
        </w:rPr>
        <w:t>互联网”技术，借助大数据平台实现能源供应、城市照明、道路交通等多项市政基础设施的综合管控和协同发展。</w:t>
      </w:r>
      <w:r>
        <w:rPr>
          <w:rFonts w:hint="eastAsia" w:ascii="仿宋" w:hAnsi="仿宋" w:eastAsia="仿宋" w:cs="Times New Roman"/>
          <w:szCs w:val="24"/>
        </w:rPr>
        <w:t>建立健全预防为主的安全管理体系，加强重点政务区、金融活动区及国际交流、金融论坛等重大活动的</w:t>
      </w:r>
      <w:r>
        <w:rPr>
          <w:rFonts w:hint="eastAsia" w:ascii="仿宋" w:hAnsi="仿宋" w:eastAsia="仿宋"/>
        </w:rPr>
        <w:t>设施保障及运行调度，</w:t>
      </w:r>
      <w:r>
        <w:rPr>
          <w:rFonts w:hint="eastAsia" w:ascii="仿宋" w:hAnsi="仿宋" w:eastAsia="仿宋" w:cs="Times New Roman"/>
          <w:szCs w:val="24"/>
        </w:rPr>
        <w:t>全面做好安全保卫、风险防控及隐患整治等各项工作。</w:t>
      </w:r>
    </w:p>
    <w:p>
      <w:pPr>
        <w:ind w:firstLine="562"/>
        <w:rPr>
          <w:rFonts w:ascii="仿宋" w:hAnsi="仿宋" w:eastAsia="仿宋" w:cs="Times New Roman"/>
          <w:bCs/>
          <w:szCs w:val="24"/>
        </w:rPr>
      </w:pPr>
      <w:r>
        <w:rPr>
          <w:rFonts w:hint="eastAsia" w:ascii="仿宋" w:hAnsi="仿宋" w:eastAsia="仿宋" w:cs="Times New Roman"/>
          <w:b/>
          <w:bCs/>
          <w:szCs w:val="24"/>
        </w:rPr>
        <w:t>提高重大活动保电能力，做好</w:t>
      </w:r>
      <w:r>
        <w:rPr>
          <w:rFonts w:ascii="仿宋" w:hAnsi="仿宋" w:eastAsia="仿宋" w:cs="Times New Roman"/>
          <w:b/>
          <w:bCs/>
          <w:szCs w:val="24"/>
        </w:rPr>
        <w:t>年度供电保障工作。</w:t>
      </w:r>
      <w:r>
        <w:rPr>
          <w:rFonts w:hint="eastAsia" w:ascii="仿宋" w:hAnsi="仿宋" w:eastAsia="仿宋" w:cs="Times New Roman"/>
          <w:bCs/>
          <w:szCs w:val="24"/>
        </w:rPr>
        <w:t>积极</w:t>
      </w:r>
      <w:r>
        <w:rPr>
          <w:rFonts w:ascii="仿宋" w:hAnsi="仿宋" w:eastAsia="仿宋" w:cs="Times New Roman"/>
          <w:bCs/>
          <w:szCs w:val="24"/>
        </w:rPr>
        <w:t>组织设立</w:t>
      </w:r>
      <w:r>
        <w:rPr>
          <w:rFonts w:hint="eastAsia" w:ascii="仿宋" w:hAnsi="仿宋" w:eastAsia="仿宋" w:cs="Times New Roman"/>
          <w:bCs/>
          <w:szCs w:val="24"/>
        </w:rPr>
        <w:t>专业的电力</w:t>
      </w:r>
      <w:r>
        <w:rPr>
          <w:rFonts w:ascii="仿宋" w:hAnsi="仿宋" w:eastAsia="仿宋" w:cs="Times New Roman"/>
          <w:bCs/>
          <w:szCs w:val="24"/>
        </w:rPr>
        <w:t>供应</w:t>
      </w:r>
      <w:r>
        <w:rPr>
          <w:rFonts w:hint="eastAsia" w:ascii="仿宋" w:hAnsi="仿宋" w:eastAsia="仿宋" w:cs="Times New Roman"/>
          <w:bCs/>
          <w:szCs w:val="24"/>
        </w:rPr>
        <w:t>保障团队，全面负责全区</w:t>
      </w:r>
      <w:r>
        <w:rPr>
          <w:rFonts w:ascii="仿宋" w:hAnsi="仿宋" w:eastAsia="仿宋" w:cs="Times New Roman"/>
          <w:bCs/>
          <w:szCs w:val="24"/>
        </w:rPr>
        <w:t>中央政务、高峰论坛等重大</w:t>
      </w:r>
      <w:r>
        <w:rPr>
          <w:rFonts w:hint="eastAsia" w:ascii="仿宋" w:hAnsi="仿宋" w:eastAsia="仿宋" w:cs="Times New Roman"/>
          <w:bCs/>
          <w:szCs w:val="24"/>
        </w:rPr>
        <w:t>活动期间的电力设施巡检维修、保电策略制定实施、联合演习、事故应急响应等各项事宜，</w:t>
      </w:r>
      <w:r>
        <w:rPr>
          <w:rFonts w:ascii="仿宋" w:hAnsi="仿宋" w:eastAsia="仿宋" w:cs="Times New Roman"/>
          <w:bCs/>
          <w:szCs w:val="24"/>
        </w:rPr>
        <w:t>并</w:t>
      </w:r>
      <w:r>
        <w:rPr>
          <w:rFonts w:hint="eastAsia" w:ascii="仿宋" w:hAnsi="仿宋" w:eastAsia="仿宋" w:cs="Times New Roman"/>
          <w:bCs/>
          <w:szCs w:val="24"/>
        </w:rPr>
        <w:t>从电源配置、设备状况、运行方式、应急处置等方面，进一步完善西城区电力</w:t>
      </w:r>
      <w:r>
        <w:rPr>
          <w:rFonts w:ascii="仿宋" w:hAnsi="仿宋" w:eastAsia="仿宋" w:cs="Times New Roman"/>
          <w:bCs/>
          <w:szCs w:val="24"/>
        </w:rPr>
        <w:t>供应保障</w:t>
      </w:r>
      <w:r>
        <w:rPr>
          <w:rFonts w:hint="eastAsia" w:ascii="仿宋" w:hAnsi="仿宋" w:eastAsia="仿宋" w:cs="Times New Roman"/>
          <w:bCs/>
          <w:szCs w:val="24"/>
        </w:rPr>
        <w:t>技术方案，提高</w:t>
      </w:r>
      <w:r>
        <w:rPr>
          <w:rFonts w:ascii="仿宋" w:hAnsi="仿宋" w:eastAsia="仿宋" w:cs="Times New Roman"/>
          <w:bCs/>
          <w:szCs w:val="24"/>
        </w:rPr>
        <w:t>供电</w:t>
      </w:r>
      <w:r>
        <w:rPr>
          <w:rFonts w:hint="eastAsia" w:ascii="仿宋" w:hAnsi="仿宋" w:eastAsia="仿宋" w:cs="Times New Roman"/>
          <w:bCs/>
          <w:szCs w:val="24"/>
        </w:rPr>
        <w:t>可靠</w:t>
      </w:r>
      <w:r>
        <w:rPr>
          <w:rFonts w:ascii="仿宋" w:hAnsi="仿宋" w:eastAsia="仿宋" w:cs="Times New Roman"/>
          <w:bCs/>
          <w:szCs w:val="24"/>
        </w:rPr>
        <w:t>率，确保电力供应万无一失</w:t>
      </w:r>
      <w:r>
        <w:rPr>
          <w:rFonts w:hint="eastAsia" w:ascii="仿宋" w:hAnsi="仿宋" w:eastAsia="仿宋" w:cs="Times New Roman"/>
          <w:bCs/>
          <w:szCs w:val="24"/>
        </w:rPr>
        <w:t>，到2025年末，供电保障率达到</w:t>
      </w:r>
      <w:r>
        <w:rPr>
          <w:rFonts w:ascii="仿宋" w:hAnsi="仿宋" w:eastAsia="仿宋" w:cs="Times New Roman"/>
          <w:bCs/>
          <w:szCs w:val="24"/>
        </w:rPr>
        <w:t>99.999%</w:t>
      </w:r>
      <w:r>
        <w:rPr>
          <w:rFonts w:hint="eastAsia" w:ascii="仿宋" w:hAnsi="仿宋" w:eastAsia="仿宋" w:cs="Times New Roman"/>
          <w:bCs/>
          <w:szCs w:val="24"/>
        </w:rPr>
        <w:t>。</w:t>
      </w:r>
    </w:p>
    <w:p>
      <w:pPr>
        <w:ind w:firstLine="562"/>
        <w:rPr>
          <w:rFonts w:ascii="仿宋" w:hAnsi="仿宋" w:eastAsia="仿宋" w:cs="Times New Roman"/>
          <w:bCs/>
          <w:szCs w:val="24"/>
        </w:rPr>
      </w:pPr>
      <w:r>
        <w:rPr>
          <w:rFonts w:hint="eastAsia" w:ascii="仿宋" w:hAnsi="仿宋" w:eastAsia="仿宋" w:cs="Times New Roman"/>
          <w:b/>
          <w:bCs/>
          <w:szCs w:val="24"/>
        </w:rPr>
        <w:t>搭建智慧供热管理平台，提升完善天然气管网系统。</w:t>
      </w:r>
      <w:r>
        <w:rPr>
          <w:rFonts w:hint="eastAsia" w:ascii="仿宋" w:hAnsi="仿宋" w:eastAsia="仿宋"/>
        </w:rPr>
        <w:t>分阶段</w:t>
      </w:r>
      <w:r>
        <w:rPr>
          <w:rFonts w:ascii="仿宋" w:hAnsi="仿宋" w:eastAsia="仿宋"/>
        </w:rPr>
        <w:t>搭建西城区智慧供热管理平台，</w:t>
      </w:r>
      <w:r>
        <w:rPr>
          <w:rFonts w:hint="eastAsia" w:ascii="仿宋" w:hAnsi="仿宋" w:eastAsia="仿宋"/>
        </w:rPr>
        <w:t>加强对辖区供热系统监测及安全管理，全面、实时地监控热源、管网、热力站、热用户的运行情况，并根据末端用热量的变化及时调整热力站和热源的运行</w:t>
      </w:r>
      <w:r>
        <w:rPr>
          <w:rFonts w:ascii="仿宋" w:hAnsi="仿宋" w:eastAsia="仿宋"/>
        </w:rPr>
        <w:t>状态</w:t>
      </w:r>
      <w:r>
        <w:rPr>
          <w:rFonts w:hint="eastAsia" w:ascii="仿宋" w:hAnsi="仿宋" w:eastAsia="仿宋"/>
        </w:rPr>
        <w:t>，保障辖区供热系统的安全稳定运行。同时</w:t>
      </w:r>
      <w:r>
        <w:rPr>
          <w:rFonts w:ascii="仿宋" w:hAnsi="仿宋" w:eastAsia="仿宋"/>
        </w:rPr>
        <w:t>，</w:t>
      </w:r>
      <w:r>
        <w:rPr>
          <w:rFonts w:hint="eastAsia" w:ascii="仿宋" w:hAnsi="仿宋" w:eastAsia="仿宋"/>
        </w:rPr>
        <w:t>结合</w:t>
      </w:r>
      <w:r>
        <w:rPr>
          <w:rFonts w:ascii="仿宋" w:hAnsi="仿宋" w:eastAsia="仿宋"/>
        </w:rPr>
        <w:t>道路新建或改造</w:t>
      </w:r>
      <w:r>
        <w:rPr>
          <w:rFonts w:hint="eastAsia" w:ascii="仿宋" w:hAnsi="仿宋" w:eastAsia="仿宋"/>
        </w:rPr>
        <w:t>计划</w:t>
      </w:r>
      <w:r>
        <w:rPr>
          <w:rFonts w:ascii="仿宋" w:hAnsi="仿宋" w:eastAsia="仿宋"/>
        </w:rPr>
        <w:t>，</w:t>
      </w:r>
      <w:r>
        <w:rPr>
          <w:rFonts w:hint="eastAsia" w:ascii="仿宋" w:hAnsi="仿宋" w:eastAsia="仿宋"/>
        </w:rPr>
        <w:t>进一步完善</w:t>
      </w:r>
      <w:r>
        <w:rPr>
          <w:rFonts w:ascii="仿宋" w:hAnsi="仿宋" w:eastAsia="仿宋"/>
        </w:rPr>
        <w:t>天</w:t>
      </w:r>
      <w:r>
        <w:rPr>
          <w:rFonts w:hint="eastAsia" w:ascii="仿宋" w:hAnsi="仿宋" w:eastAsia="仿宋"/>
        </w:rPr>
        <w:t>燃气</w:t>
      </w:r>
      <w:r>
        <w:rPr>
          <w:rFonts w:ascii="仿宋" w:hAnsi="仿宋" w:eastAsia="仿宋"/>
        </w:rPr>
        <w:t>管网系统，增强</w:t>
      </w:r>
      <w:r>
        <w:rPr>
          <w:rFonts w:hint="eastAsia" w:ascii="仿宋" w:hAnsi="仿宋" w:eastAsia="仿宋"/>
        </w:rPr>
        <w:t>管网</w:t>
      </w:r>
      <w:r>
        <w:rPr>
          <w:rFonts w:ascii="仿宋" w:hAnsi="仿宋" w:eastAsia="仿宋"/>
        </w:rPr>
        <w:t>输配能力，提高天然气管网</w:t>
      </w:r>
      <w:r>
        <w:rPr>
          <w:rFonts w:hint="eastAsia" w:ascii="仿宋" w:hAnsi="仿宋" w:eastAsia="仿宋"/>
        </w:rPr>
        <w:t>的</w:t>
      </w:r>
      <w:r>
        <w:rPr>
          <w:rFonts w:ascii="仿宋" w:hAnsi="仿宋" w:eastAsia="仿宋"/>
        </w:rPr>
        <w:t>覆盖率</w:t>
      </w:r>
      <w:r>
        <w:rPr>
          <w:rFonts w:hint="eastAsia" w:ascii="仿宋" w:hAnsi="仿宋" w:eastAsia="仿宋" w:cs="Times New Roman"/>
          <w:bCs/>
          <w:szCs w:val="24"/>
        </w:rPr>
        <w:t>。</w:t>
      </w:r>
    </w:p>
    <w:p>
      <w:pPr>
        <w:ind w:firstLine="562"/>
        <w:rPr>
          <w:rFonts w:ascii="仿宋" w:hAnsi="仿宋" w:eastAsia="仿宋"/>
        </w:rPr>
      </w:pPr>
      <w:r>
        <w:rPr>
          <w:rFonts w:hint="eastAsia" w:ascii="仿宋" w:hAnsi="仿宋" w:eastAsia="仿宋" w:cs="Times New Roman"/>
          <w:b/>
          <w:szCs w:val="24"/>
        </w:rPr>
        <w:t>顺应新能源发展，加快充电桩布局建设。</w:t>
      </w:r>
      <w:r>
        <w:rPr>
          <w:rFonts w:hint="eastAsia" w:ascii="仿宋" w:hAnsi="仿宋" w:eastAsia="仿宋" w:cs="Times New Roman"/>
          <w:szCs w:val="24"/>
        </w:rPr>
        <w:t>结合北京市《关于进一步加强电动汽车充电基础设施建设和管理的实施意见》，将充电桩建设纳入西城区老旧小区综合改造，编制充电桩建设导则，引导物业公司、业主组织等积极支持和配合充电桩建设，属地街道办事处参与指导、协调和督促工作。同时，深入挖掘西城区内潜在的建设空间，利用公共自行车投放区域、街边绿地、停车场等空间建设智能充电桩，并积极引入市场机制及智慧化管理方式，有序推进西城区充电桩建设。</w:t>
      </w:r>
    </w:p>
    <w:p>
      <w:pPr>
        <w:pStyle w:val="4"/>
        <w:numPr>
          <w:ilvl w:val="0"/>
          <w:numId w:val="5"/>
        </w:numPr>
        <w:rPr>
          <w:rFonts w:ascii="仿宋" w:hAnsi="仿宋" w:eastAsia="仿宋"/>
        </w:rPr>
      </w:pPr>
      <w:r>
        <w:rPr>
          <w:rFonts w:hint="eastAsia" w:ascii="仿宋" w:hAnsi="仿宋" w:eastAsia="仿宋"/>
        </w:rPr>
        <w:t>加快</w:t>
      </w:r>
      <w:r>
        <w:rPr>
          <w:rFonts w:ascii="仿宋" w:hAnsi="仿宋" w:eastAsia="仿宋"/>
        </w:rPr>
        <w:t>推进环卫</w:t>
      </w:r>
      <w:r>
        <w:rPr>
          <w:rFonts w:hint="eastAsia" w:ascii="仿宋" w:hAnsi="仿宋" w:eastAsia="仿宋"/>
        </w:rPr>
        <w:t>基础</w:t>
      </w:r>
      <w:r>
        <w:rPr>
          <w:rFonts w:ascii="仿宋" w:hAnsi="仿宋" w:eastAsia="仿宋"/>
        </w:rPr>
        <w:t>设施</w:t>
      </w:r>
      <w:r>
        <w:rPr>
          <w:rFonts w:hint="eastAsia" w:ascii="仿宋" w:hAnsi="仿宋" w:eastAsia="仿宋"/>
        </w:rPr>
        <w:t>配给</w:t>
      </w:r>
      <w:r>
        <w:rPr>
          <w:rFonts w:ascii="仿宋" w:hAnsi="仿宋" w:eastAsia="仿宋"/>
        </w:rPr>
        <w:t>与技术革新</w:t>
      </w:r>
    </w:p>
    <w:p>
      <w:pPr>
        <w:ind w:firstLine="562"/>
        <w:rPr>
          <w:rFonts w:ascii="仿宋" w:hAnsi="仿宋" w:eastAsia="仿宋"/>
          <w:b/>
        </w:rPr>
      </w:pPr>
      <w:r>
        <w:rPr>
          <w:rFonts w:hint="eastAsia" w:ascii="仿宋" w:hAnsi="仿宋" w:eastAsia="仿宋"/>
          <w:b/>
        </w:rPr>
        <w:t>补齐基础设施建设短板，提升城市清洁形象品质。</w:t>
      </w:r>
      <w:r>
        <w:rPr>
          <w:rFonts w:hint="eastAsia" w:ascii="仿宋" w:hAnsi="仿宋" w:eastAsia="仿宋"/>
        </w:rPr>
        <w:t>加强垃圾分类投运、</w:t>
      </w:r>
      <w:r>
        <w:rPr>
          <w:rFonts w:ascii="仿宋" w:hAnsi="仿宋" w:eastAsia="仿宋"/>
        </w:rPr>
        <w:t xml:space="preserve"> </w:t>
      </w:r>
      <w:r>
        <w:rPr>
          <w:rFonts w:hint="eastAsia" w:ascii="仿宋" w:hAnsi="仿宋" w:eastAsia="仿宋"/>
        </w:rPr>
        <w:t>集中处置设施建设，优化设施布局。完善垃圾分类桶站建设，因地制宜规范设置垃圾分类驿站，可回收物收集点、再生资源回收中转站、大件垃圾中转站等。各街道至少设置1处大件垃圾暂存点。推进西直门环卫停车场和开阳桥垃圾转运站建设。2021年—2022年，每年改造提升15座密闭式垃圾清洁站。持续推进厕所革命，优化公厕布局，结合小微绿地实施、社区商业便民综合体建设等措施，增建公厕，解决局部区域公厕不足问题。研究解决公厕异味问题的实施方案，对居民影响较大的公厕进行改造提升，逐步消除公厕异味、扰民等问题。加大平房区公厕提升改造力度，安装无障碍设施，对公厕内部地面、内外墙面、公厕内蹲位隔板、顶棚及卫生器具和水电配套设施等进行更换及维护。</w:t>
      </w:r>
    </w:p>
    <w:p>
      <w:pPr>
        <w:ind w:firstLine="562"/>
        <w:rPr>
          <w:rFonts w:ascii="仿宋" w:hAnsi="仿宋" w:eastAsia="仿宋"/>
        </w:rPr>
      </w:pPr>
      <w:r>
        <w:rPr>
          <w:rFonts w:hint="eastAsia" w:ascii="仿宋" w:hAnsi="仿宋" w:eastAsia="仿宋"/>
          <w:b/>
        </w:rPr>
        <w:t>推广新技术、新工艺应用，创新环卫作业新模式。</w:t>
      </w:r>
      <w:r>
        <w:rPr>
          <w:rFonts w:hint="eastAsia" w:ascii="仿宋" w:hAnsi="仿宋" w:eastAsia="仿宋"/>
        </w:rPr>
        <w:t>鼓励有条件的居住区、餐饮企业和单位食堂建设厨余垃圾就地资源化处置设施，推广油水分离等前端处理设备，重点推动厨余垃圾处理等重点方向的技术创新与标准集成。加强“互联网+”基础建设，推广二维码垃圾袋、智能垃圾桶等智能应用，提高垃圾分类的智慧化管理水平。加快环卫作业车辆新能源化，新增车辆全部采用新能源车，逐步淘汰现有燃油环卫车，力争到2025年末，轻型环卫车辆电动化率达到100%。提高道路保洁能力，到2025年末，城市道路尘土残存量低于5g</w:t>
      </w:r>
      <w:r>
        <w:rPr>
          <w:rFonts w:ascii="仿宋" w:hAnsi="仿宋" w:eastAsia="仿宋"/>
        </w:rPr>
        <w:t>/m</w:t>
      </w:r>
      <w:r>
        <w:rPr>
          <w:rFonts w:ascii="仿宋" w:hAnsi="仿宋" w:eastAsia="仿宋"/>
          <w:vertAlign w:val="superscript"/>
        </w:rPr>
        <w:t>2</w:t>
      </w:r>
      <w:r>
        <w:rPr>
          <w:rFonts w:hint="eastAsia" w:ascii="仿宋" w:hAnsi="仿宋" w:eastAsia="仿宋"/>
        </w:rPr>
        <w:t>。提升城市道路机械化作业能力，推动无人车、自动驾驶等技术在环卫作业车辆中的应用，到2025年末，“冲、扫、洗、收”组合工艺作业率达到1</w:t>
      </w:r>
      <w:r>
        <w:rPr>
          <w:rFonts w:ascii="仿宋" w:hAnsi="仿宋" w:eastAsia="仿宋"/>
        </w:rPr>
        <w:t>00</w:t>
      </w:r>
      <w:r>
        <w:rPr>
          <w:rFonts w:hint="eastAsia" w:ascii="仿宋" w:hAnsi="仿宋" w:eastAsia="仿宋"/>
        </w:rPr>
        <w:t>%。提升背街小巷的机械化作业水平，推广使用小型机械化设备,到2025年末，背街小巷机械化作业率达到</w:t>
      </w:r>
      <w:r>
        <w:rPr>
          <w:rFonts w:ascii="仿宋" w:hAnsi="仿宋" w:eastAsia="仿宋"/>
        </w:rPr>
        <w:t>80</w:t>
      </w:r>
      <w:r>
        <w:rPr>
          <w:rFonts w:hint="eastAsia" w:ascii="仿宋" w:hAnsi="仿宋" w:eastAsia="仿宋"/>
        </w:rPr>
        <w:t>%。</w:t>
      </w:r>
    </w:p>
    <w:p>
      <w:pPr>
        <w:pStyle w:val="4"/>
        <w:numPr>
          <w:ilvl w:val="0"/>
          <w:numId w:val="5"/>
        </w:numPr>
        <w:rPr>
          <w:rFonts w:ascii="仿宋" w:hAnsi="仿宋" w:eastAsia="仿宋"/>
        </w:rPr>
      </w:pPr>
      <w:r>
        <w:rPr>
          <w:rFonts w:hint="eastAsia" w:ascii="仿宋" w:hAnsi="仿宋" w:eastAsia="仿宋"/>
        </w:rPr>
        <w:t>推进基础设施空间配置与功能融合</w:t>
      </w:r>
    </w:p>
    <w:p>
      <w:pPr>
        <w:ind w:firstLine="562"/>
        <w:rPr>
          <w:rFonts w:ascii="仿宋" w:hAnsi="仿宋" w:eastAsia="仿宋" w:cs="Times New Roman"/>
          <w:szCs w:val="24"/>
        </w:rPr>
      </w:pPr>
      <w:r>
        <w:rPr>
          <w:rFonts w:hint="eastAsia" w:ascii="仿宋" w:hAnsi="仿宋" w:eastAsia="仿宋"/>
          <w:b/>
          <w:bCs/>
        </w:rPr>
        <w:t>挖潜市政设施用地潜力，促进基础设施功能融合与共建</w:t>
      </w:r>
      <w:r>
        <w:rPr>
          <w:rFonts w:ascii="仿宋" w:hAnsi="仿宋" w:eastAsia="仿宋"/>
          <w:b/>
          <w:bCs/>
        </w:rPr>
        <w:t>共享</w:t>
      </w:r>
      <w:r>
        <w:rPr>
          <w:rFonts w:hint="eastAsia" w:ascii="仿宋" w:hAnsi="仿宋" w:eastAsia="仿宋"/>
          <w:b/>
          <w:bCs/>
        </w:rPr>
        <w:t>。</w:t>
      </w:r>
      <w:r>
        <w:rPr>
          <w:rFonts w:hint="eastAsia" w:ascii="仿宋" w:hAnsi="仿宋" w:eastAsia="仿宋" w:cs="Times New Roman"/>
          <w:szCs w:val="24"/>
        </w:rPr>
        <w:t>在保障基础设施安全性、实施性、适用性、经济性的基础上，挖潜设施用地利用潜力，降低占地需求，并充分结合公园绿地、广场、公共厕所、社会停车场以及</w:t>
      </w:r>
      <w:r>
        <w:rPr>
          <w:rFonts w:ascii="仿宋" w:hAnsi="仿宋" w:eastAsia="仿宋" w:cs="Times New Roman"/>
          <w:szCs w:val="24"/>
        </w:rPr>
        <w:t>城市建设的边角</w:t>
      </w:r>
      <w:r>
        <w:rPr>
          <w:rFonts w:hint="eastAsia" w:ascii="仿宋" w:hAnsi="仿宋" w:eastAsia="仿宋" w:cs="Times New Roman"/>
          <w:szCs w:val="24"/>
        </w:rPr>
        <w:t>地、闲置用地等</w:t>
      </w:r>
      <w:r>
        <w:rPr>
          <w:rFonts w:ascii="仿宋" w:hAnsi="仿宋" w:eastAsia="仿宋" w:cs="Times New Roman"/>
          <w:szCs w:val="24"/>
        </w:rPr>
        <w:t>布局</w:t>
      </w:r>
      <w:r>
        <w:rPr>
          <w:rFonts w:hint="eastAsia" w:ascii="仿宋" w:hAnsi="仿宋" w:eastAsia="仿宋" w:cs="Times New Roman"/>
          <w:szCs w:val="24"/>
        </w:rPr>
        <w:t>基础</w:t>
      </w:r>
      <w:r>
        <w:rPr>
          <w:rFonts w:ascii="仿宋" w:hAnsi="仿宋" w:eastAsia="仿宋" w:cs="Times New Roman"/>
          <w:szCs w:val="24"/>
        </w:rPr>
        <w:t>设施</w:t>
      </w:r>
      <w:r>
        <w:rPr>
          <w:rFonts w:hint="eastAsia" w:ascii="仿宋" w:hAnsi="仿宋" w:eastAsia="仿宋" w:cs="Times New Roman"/>
          <w:szCs w:val="24"/>
        </w:rPr>
        <w:t>。</w:t>
      </w:r>
      <w:r>
        <w:rPr>
          <w:rFonts w:ascii="仿宋" w:hAnsi="仿宋" w:eastAsia="仿宋" w:cs="Times New Roman"/>
          <w:szCs w:val="24"/>
        </w:rPr>
        <w:t>同时</w:t>
      </w:r>
      <w:r>
        <w:rPr>
          <w:rFonts w:hint="eastAsia" w:ascii="仿宋" w:hAnsi="仿宋" w:eastAsia="仿宋" w:cs="Times New Roman"/>
          <w:szCs w:val="24"/>
        </w:rPr>
        <w:t>兼顾城市景观、综合</w:t>
      </w:r>
      <w:r>
        <w:rPr>
          <w:rFonts w:ascii="仿宋" w:hAnsi="仿宋" w:eastAsia="仿宋" w:cs="Times New Roman"/>
          <w:szCs w:val="24"/>
        </w:rPr>
        <w:t>服务</w:t>
      </w:r>
      <w:r>
        <w:rPr>
          <w:rFonts w:hint="eastAsia" w:ascii="仿宋" w:hAnsi="仿宋" w:eastAsia="仿宋" w:cs="Times New Roman"/>
          <w:szCs w:val="24"/>
        </w:rPr>
        <w:t>、休闲游憩等需求，推行生态共生的集约化基础设施建设</w:t>
      </w:r>
      <w:r>
        <w:rPr>
          <w:rFonts w:ascii="仿宋" w:hAnsi="仿宋" w:eastAsia="仿宋" w:cs="Times New Roman"/>
          <w:szCs w:val="24"/>
        </w:rPr>
        <w:t>模式</w:t>
      </w:r>
      <w:r>
        <w:rPr>
          <w:rFonts w:hint="eastAsia" w:ascii="仿宋" w:hAnsi="仿宋" w:eastAsia="仿宋" w:cs="Times New Roman"/>
          <w:szCs w:val="24"/>
        </w:rPr>
        <w:t>。完善空间资源复合利用机制，逐步推进</w:t>
      </w:r>
      <w:r>
        <w:rPr>
          <w:rFonts w:ascii="仿宋" w:hAnsi="仿宋" w:eastAsia="仿宋" w:cs="Times New Roman"/>
          <w:szCs w:val="24"/>
        </w:rPr>
        <w:t>现状</w:t>
      </w:r>
      <w:r>
        <w:rPr>
          <w:rFonts w:hint="eastAsia" w:ascii="仿宋" w:hAnsi="仿宋" w:eastAsia="仿宋" w:cs="Times New Roman"/>
          <w:szCs w:val="24"/>
        </w:rPr>
        <w:t>市政基础设施的地下化改造，强化公共服务设施和市政基础设施的功能混合。研究制定绿地复合利用的标准和实施细则。</w:t>
      </w:r>
    </w:p>
    <w:p>
      <w:pPr>
        <w:ind w:firstLine="562"/>
        <w:rPr>
          <w:rFonts w:ascii="仿宋" w:hAnsi="仿宋" w:eastAsia="仿宋"/>
        </w:rPr>
      </w:pPr>
      <w:r>
        <w:rPr>
          <w:rFonts w:hint="eastAsia" w:ascii="仿宋" w:hAnsi="仿宋" w:eastAsia="仿宋" w:cs="Times New Roman"/>
          <w:b/>
          <w:szCs w:val="24"/>
        </w:rPr>
        <w:t>完善公园绿地、道路、停车场以及休憩空间周边的各类公共设施。</w:t>
      </w:r>
      <w:r>
        <w:rPr>
          <w:rFonts w:hint="eastAsia" w:ascii="仿宋" w:hAnsi="仿宋" w:eastAsia="仿宋" w:cs="Times New Roman"/>
          <w:szCs w:val="24"/>
        </w:rPr>
        <w:t>配套改造小区及周边服务设施，合理</w:t>
      </w:r>
      <w:r>
        <w:rPr>
          <w:rFonts w:ascii="仿宋" w:hAnsi="仿宋" w:eastAsia="仿宋" w:cs="Times New Roman"/>
          <w:szCs w:val="24"/>
        </w:rPr>
        <w:t>安排</w:t>
      </w:r>
      <w:r>
        <w:rPr>
          <w:rFonts w:hint="eastAsia" w:ascii="仿宋" w:hAnsi="仿宋" w:eastAsia="仿宋" w:cs="Times New Roman"/>
          <w:szCs w:val="24"/>
        </w:rPr>
        <w:t>停车</w:t>
      </w:r>
      <w:r>
        <w:rPr>
          <w:rFonts w:ascii="仿宋" w:hAnsi="仿宋" w:eastAsia="仿宋" w:cs="Times New Roman"/>
          <w:szCs w:val="24"/>
        </w:rPr>
        <w:t>空间</w:t>
      </w:r>
      <w:r>
        <w:rPr>
          <w:rFonts w:hint="eastAsia" w:ascii="仿宋" w:hAnsi="仿宋" w:eastAsia="仿宋" w:cs="Times New Roman"/>
          <w:szCs w:val="24"/>
        </w:rPr>
        <w:t>及公共活动空间，保留老年人、儿童的活动交流场所，适当增加适老、适幼设施，优化设施设置密度、丰富设置形式，并对破损的座椅、栏杆等设施进行更换，打造“全龄型”宜居环境，释放空间活力。同时，结合群众居住</w:t>
      </w:r>
      <w:r>
        <w:rPr>
          <w:rFonts w:ascii="仿宋" w:hAnsi="仿宋" w:eastAsia="仿宋" w:cs="Times New Roman"/>
          <w:szCs w:val="24"/>
        </w:rPr>
        <w:t>生活、</w:t>
      </w:r>
      <w:r>
        <w:rPr>
          <w:rFonts w:hint="eastAsia" w:ascii="仿宋" w:hAnsi="仿宋" w:eastAsia="仿宋" w:cs="Times New Roman"/>
          <w:szCs w:val="24"/>
        </w:rPr>
        <w:t>健身出行</w:t>
      </w:r>
      <w:r>
        <w:rPr>
          <w:rFonts w:ascii="仿宋" w:hAnsi="仿宋" w:eastAsia="仿宋" w:cs="Times New Roman"/>
          <w:szCs w:val="24"/>
        </w:rPr>
        <w:t>、</w:t>
      </w:r>
      <w:r>
        <w:rPr>
          <w:rFonts w:hint="eastAsia" w:ascii="仿宋" w:hAnsi="仿宋" w:eastAsia="仿宋" w:cs="Times New Roman"/>
          <w:szCs w:val="24"/>
        </w:rPr>
        <w:t>阅读交流等</w:t>
      </w:r>
      <w:r>
        <w:rPr>
          <w:rFonts w:ascii="仿宋" w:hAnsi="仿宋" w:eastAsia="仿宋" w:cs="Times New Roman"/>
          <w:szCs w:val="24"/>
        </w:rPr>
        <w:t>实际需要，</w:t>
      </w:r>
      <w:r>
        <w:rPr>
          <w:rFonts w:hint="eastAsia" w:ascii="仿宋" w:hAnsi="仿宋" w:eastAsia="仿宋" w:cs="Times New Roman"/>
          <w:szCs w:val="24"/>
        </w:rPr>
        <w:t>适当增设遮阳棚、书报亭、自动贩卖机、指引牌、地图牌等，满足各类使用需求，提升城市魅力。</w:t>
      </w:r>
    </w:p>
    <w:p>
      <w:pPr>
        <w:pStyle w:val="4"/>
        <w:numPr>
          <w:ilvl w:val="0"/>
          <w:numId w:val="5"/>
        </w:numPr>
        <w:rPr>
          <w:rFonts w:ascii="仿宋" w:hAnsi="仿宋" w:eastAsia="仿宋"/>
        </w:rPr>
      </w:pPr>
      <w:r>
        <w:rPr>
          <w:rFonts w:hint="eastAsia" w:ascii="仿宋" w:hAnsi="仿宋" w:eastAsia="仿宋"/>
        </w:rPr>
        <w:t>有序推进地下管线及老旧设施隐患排查和更新</w:t>
      </w:r>
    </w:p>
    <w:p>
      <w:pPr>
        <w:ind w:firstLine="562"/>
        <w:rPr>
          <w:rFonts w:ascii="仿宋" w:hAnsi="仿宋" w:eastAsia="仿宋"/>
        </w:rPr>
      </w:pPr>
      <w:r>
        <w:rPr>
          <w:rFonts w:ascii="仿宋" w:hAnsi="仿宋" w:eastAsia="仿宋"/>
          <w:b/>
        </w:rPr>
        <w:t>做好</w:t>
      </w:r>
      <w:r>
        <w:rPr>
          <w:rFonts w:hint="eastAsia" w:ascii="仿宋" w:hAnsi="仿宋" w:eastAsia="仿宋"/>
          <w:b/>
        </w:rPr>
        <w:t>基础</w:t>
      </w:r>
      <w:r>
        <w:rPr>
          <w:rFonts w:ascii="仿宋" w:hAnsi="仿宋" w:eastAsia="仿宋"/>
          <w:b/>
        </w:rPr>
        <w:t>设施安全</w:t>
      </w:r>
      <w:r>
        <w:rPr>
          <w:rFonts w:hint="eastAsia" w:ascii="仿宋" w:hAnsi="仿宋" w:eastAsia="仿宋"/>
          <w:b/>
        </w:rPr>
        <w:t>巡检，健全隐患排查治理日常工作机制。</w:t>
      </w:r>
      <w:r>
        <w:rPr>
          <w:rFonts w:hint="eastAsia" w:ascii="仿宋" w:hAnsi="仿宋" w:eastAsia="仿宋"/>
        </w:rPr>
        <w:t>进一步完善市政设施及市政管网的日常管养和维护机制，对全区所有井盖、阀门井进行编码，建立专属电子档案，并且对照现场每口检查井逐一标明标号、产权单位，确保损坏后可以及时联系到相关责任单位，督促其对损坏井进行维修。加强</w:t>
      </w:r>
      <w:r>
        <w:rPr>
          <w:rFonts w:ascii="仿宋" w:hAnsi="仿宋" w:eastAsia="仿宋"/>
        </w:rPr>
        <w:t>对</w:t>
      </w:r>
      <w:r>
        <w:rPr>
          <w:rFonts w:hint="eastAsia" w:ascii="仿宋" w:hAnsi="仿宋" w:eastAsia="仿宋"/>
        </w:rPr>
        <w:t>老旧</w:t>
      </w:r>
      <w:r>
        <w:rPr>
          <w:rFonts w:ascii="仿宋" w:hAnsi="仿宋" w:eastAsia="仿宋"/>
        </w:rPr>
        <w:t>设施</w:t>
      </w:r>
      <w:r>
        <w:rPr>
          <w:rFonts w:hint="eastAsia" w:ascii="仿宋" w:hAnsi="仿宋" w:eastAsia="仿宋"/>
        </w:rPr>
        <w:t>、</w:t>
      </w:r>
      <w:r>
        <w:rPr>
          <w:rFonts w:ascii="仿宋" w:hAnsi="仿宋" w:eastAsia="仿宋"/>
        </w:rPr>
        <w:t>管网</w:t>
      </w:r>
      <w:r>
        <w:rPr>
          <w:rFonts w:hint="eastAsia" w:ascii="仿宋" w:hAnsi="仿宋" w:eastAsia="仿宋"/>
        </w:rPr>
        <w:t>、井盖、</w:t>
      </w:r>
      <w:r>
        <w:rPr>
          <w:rFonts w:ascii="仿宋" w:hAnsi="仿宋" w:eastAsia="仿宋"/>
        </w:rPr>
        <w:t>阀门井</w:t>
      </w:r>
      <w:r>
        <w:rPr>
          <w:rFonts w:hint="eastAsia" w:ascii="仿宋" w:hAnsi="仿宋" w:eastAsia="仿宋"/>
        </w:rPr>
        <w:t>的隐患</w:t>
      </w:r>
      <w:r>
        <w:rPr>
          <w:rFonts w:ascii="仿宋" w:hAnsi="仿宋" w:eastAsia="仿宋"/>
        </w:rPr>
        <w:t>排查及安全检查</w:t>
      </w:r>
      <w:r>
        <w:rPr>
          <w:rFonts w:hint="eastAsia" w:ascii="仿宋" w:hAnsi="仿宋" w:eastAsia="仿宋"/>
        </w:rPr>
        <w:t>，</w:t>
      </w:r>
      <w:r>
        <w:rPr>
          <w:rFonts w:ascii="仿宋" w:hAnsi="仿宋" w:eastAsia="仿宋"/>
        </w:rPr>
        <w:t>建立</w:t>
      </w:r>
      <w:r>
        <w:rPr>
          <w:rFonts w:hint="eastAsia" w:ascii="仿宋" w:hAnsi="仿宋" w:eastAsia="仿宋"/>
        </w:rPr>
        <w:t>完善</w:t>
      </w:r>
      <w:r>
        <w:rPr>
          <w:rFonts w:ascii="仿宋" w:hAnsi="仿宋" w:eastAsia="仿宋"/>
        </w:rPr>
        <w:t>老旧隐患</w:t>
      </w:r>
      <w:r>
        <w:rPr>
          <w:rFonts w:hint="eastAsia" w:ascii="仿宋" w:hAnsi="仿宋" w:eastAsia="仿宋"/>
        </w:rPr>
        <w:t>设施</w:t>
      </w:r>
      <w:r>
        <w:rPr>
          <w:rFonts w:ascii="仿宋" w:hAnsi="仿宋" w:eastAsia="仿宋"/>
        </w:rPr>
        <w:t>、管线台账</w:t>
      </w:r>
      <w:r>
        <w:rPr>
          <w:rFonts w:hint="eastAsia" w:ascii="仿宋" w:hAnsi="仿宋" w:eastAsia="仿宋"/>
        </w:rPr>
        <w:t>及</w:t>
      </w:r>
      <w:r>
        <w:rPr>
          <w:rFonts w:ascii="仿宋" w:hAnsi="仿宋" w:eastAsia="仿宋"/>
        </w:rPr>
        <w:t>信息系统，</w:t>
      </w:r>
      <w:r>
        <w:rPr>
          <w:rFonts w:hint="eastAsia" w:ascii="仿宋" w:hAnsi="仿宋" w:eastAsia="仿宋"/>
        </w:rPr>
        <w:t>提高隐患日常排查质量，健全巡查质量考评机制，深入落实安保防恐、火灾防控工作要求，到2025年末，各类管网普查建档率达到8</w:t>
      </w:r>
      <w:r>
        <w:rPr>
          <w:rFonts w:ascii="仿宋" w:hAnsi="仿宋" w:eastAsia="仿宋"/>
        </w:rPr>
        <w:t>0%</w:t>
      </w:r>
      <w:r>
        <w:rPr>
          <w:rFonts w:hint="eastAsia" w:ascii="仿宋" w:hAnsi="仿宋" w:eastAsia="仿宋"/>
        </w:rPr>
        <w:t>。</w:t>
      </w:r>
    </w:p>
    <w:p>
      <w:pPr>
        <w:ind w:firstLine="562"/>
        <w:rPr>
          <w:rFonts w:ascii="仿宋" w:hAnsi="仿宋" w:eastAsia="仿宋"/>
        </w:rPr>
      </w:pPr>
      <w:r>
        <w:rPr>
          <w:rFonts w:ascii="仿宋" w:hAnsi="仿宋" w:eastAsia="仿宋"/>
          <w:b/>
        </w:rPr>
        <w:t>加快老旧设施</w:t>
      </w:r>
      <w:r>
        <w:rPr>
          <w:rFonts w:hint="eastAsia" w:ascii="仿宋" w:hAnsi="仿宋" w:eastAsia="仿宋"/>
          <w:b/>
        </w:rPr>
        <w:t>及</w:t>
      </w:r>
      <w:r>
        <w:rPr>
          <w:rFonts w:ascii="仿宋" w:hAnsi="仿宋" w:eastAsia="仿宋"/>
          <w:b/>
        </w:rPr>
        <w:t>地下管网的更新改造</w:t>
      </w:r>
      <w:r>
        <w:rPr>
          <w:rFonts w:hint="eastAsia" w:ascii="仿宋" w:hAnsi="仿宋" w:eastAsia="仿宋"/>
          <w:b/>
        </w:rPr>
        <w:t>，</w:t>
      </w:r>
      <w:r>
        <w:rPr>
          <w:rFonts w:ascii="仿宋" w:hAnsi="仿宋" w:eastAsia="仿宋"/>
          <w:b/>
        </w:rPr>
        <w:t>提升设施安全保障水平。</w:t>
      </w:r>
      <w:r>
        <w:rPr>
          <w:rFonts w:hint="eastAsia" w:ascii="仿宋" w:hAnsi="仿宋" w:eastAsia="仿宋"/>
        </w:rPr>
        <w:t>积极加强对轨道交通、桥梁涵洞等老旧和病险设施消隐改造，并联合市自来水集团、排水集团、燃气集团等多家管线单位，运用</w:t>
      </w:r>
      <w:r>
        <w:rPr>
          <w:rFonts w:ascii="仿宋" w:hAnsi="仿宋" w:eastAsia="仿宋"/>
        </w:rPr>
        <w:t>非开挖修复等技术手段，加快推进</w:t>
      </w:r>
      <w:r>
        <w:rPr>
          <w:rFonts w:hint="eastAsia" w:ascii="仿宋" w:hAnsi="仿宋" w:eastAsia="仿宋"/>
        </w:rPr>
        <w:t>老旧</w:t>
      </w:r>
      <w:r>
        <w:rPr>
          <w:rFonts w:ascii="仿宋" w:hAnsi="仿宋" w:eastAsia="仿宋"/>
        </w:rPr>
        <w:t>、超期运行</w:t>
      </w:r>
      <w:r>
        <w:rPr>
          <w:rFonts w:hint="eastAsia" w:ascii="仿宋" w:hAnsi="仿宋" w:eastAsia="仿宋"/>
        </w:rPr>
        <w:t>的</w:t>
      </w:r>
      <w:r>
        <w:rPr>
          <w:rFonts w:ascii="仿宋" w:hAnsi="仿宋" w:eastAsia="仿宋"/>
        </w:rPr>
        <w:t>供水管道、排水管</w:t>
      </w:r>
      <w:r>
        <w:rPr>
          <w:rFonts w:hint="eastAsia" w:ascii="仿宋" w:hAnsi="仿宋" w:eastAsia="仿宋"/>
        </w:rPr>
        <w:t>道</w:t>
      </w:r>
      <w:r>
        <w:rPr>
          <w:rFonts w:ascii="仿宋" w:hAnsi="仿宋" w:eastAsia="仿宋"/>
        </w:rPr>
        <w:t>及电力管道的更新改造，整治供热、燃气支线户</w:t>
      </w:r>
      <w:r>
        <w:rPr>
          <w:rFonts w:hint="eastAsia" w:ascii="仿宋" w:hAnsi="仿宋" w:eastAsia="仿宋"/>
        </w:rPr>
        <w:t>线隐患</w:t>
      </w:r>
      <w:r>
        <w:rPr>
          <w:rFonts w:ascii="仿宋" w:hAnsi="仿宋" w:eastAsia="仿宋"/>
        </w:rPr>
        <w:t>管道</w:t>
      </w:r>
      <w:r>
        <w:rPr>
          <w:rFonts w:hint="eastAsia" w:ascii="仿宋" w:hAnsi="仿宋" w:eastAsia="仿宋"/>
        </w:rPr>
        <w:t>，</w:t>
      </w:r>
      <w:r>
        <w:rPr>
          <w:rFonts w:ascii="仿宋" w:hAnsi="仿宋" w:eastAsia="仿宋"/>
        </w:rPr>
        <w:t>全面提高市政基础设施安全运行保障能力</w:t>
      </w:r>
      <w:r>
        <w:rPr>
          <w:rFonts w:hint="eastAsia" w:ascii="仿宋" w:hAnsi="仿宋" w:eastAsia="仿宋" w:cs="Times New Roman"/>
          <w:szCs w:val="24"/>
        </w:rPr>
        <w:t>。</w:t>
      </w:r>
    </w:p>
    <w:p>
      <w:pPr>
        <w:pStyle w:val="3"/>
        <w:rPr>
          <w:rFonts w:ascii="仿宋" w:hAnsi="仿宋" w:eastAsia="仿宋"/>
        </w:rPr>
      </w:pPr>
      <w:bookmarkStart w:id="34" w:name="_Toc58491512"/>
      <w:r>
        <w:rPr>
          <w:rFonts w:hint="eastAsia" w:ascii="仿宋" w:hAnsi="仿宋" w:eastAsia="仿宋"/>
        </w:rPr>
        <w:t>三、</w:t>
      </w:r>
      <w:r>
        <w:rPr>
          <w:rFonts w:ascii="仿宋" w:hAnsi="仿宋" w:eastAsia="仿宋"/>
        </w:rPr>
        <w:t>提升</w:t>
      </w:r>
      <w:r>
        <w:rPr>
          <w:rFonts w:hint="eastAsia" w:ascii="仿宋" w:hAnsi="仿宋" w:eastAsia="仿宋"/>
        </w:rPr>
        <w:t>城市综合环境</w:t>
      </w:r>
      <w:r>
        <w:rPr>
          <w:rFonts w:ascii="仿宋" w:hAnsi="仿宋" w:eastAsia="仿宋"/>
        </w:rPr>
        <w:t>品质</w:t>
      </w:r>
      <w:bookmarkEnd w:id="34"/>
    </w:p>
    <w:p>
      <w:pPr>
        <w:pStyle w:val="4"/>
        <w:numPr>
          <w:ilvl w:val="0"/>
          <w:numId w:val="6"/>
        </w:numPr>
        <w:rPr>
          <w:rFonts w:ascii="仿宋" w:hAnsi="仿宋" w:eastAsia="仿宋"/>
        </w:rPr>
      </w:pPr>
      <w:r>
        <w:rPr>
          <w:rFonts w:hint="eastAsia" w:ascii="仿宋" w:hAnsi="仿宋" w:eastAsia="仿宋"/>
        </w:rPr>
        <w:t>持续</w:t>
      </w:r>
      <w:r>
        <w:rPr>
          <w:rFonts w:ascii="仿宋" w:hAnsi="仿宋" w:eastAsia="仿宋"/>
        </w:rPr>
        <w:t>推进重点区域环境</w:t>
      </w:r>
      <w:r>
        <w:rPr>
          <w:rFonts w:hint="eastAsia" w:ascii="仿宋" w:hAnsi="仿宋" w:eastAsia="仿宋"/>
        </w:rPr>
        <w:t>综合</w:t>
      </w:r>
      <w:r>
        <w:rPr>
          <w:rFonts w:ascii="仿宋" w:hAnsi="仿宋" w:eastAsia="仿宋"/>
        </w:rPr>
        <w:t>整治</w:t>
      </w:r>
    </w:p>
    <w:p>
      <w:pPr>
        <w:ind w:firstLine="562"/>
        <w:rPr>
          <w:rFonts w:ascii="仿宋" w:hAnsi="仿宋" w:eastAsia="仿宋"/>
        </w:rPr>
      </w:pPr>
      <w:r>
        <w:rPr>
          <w:rFonts w:hint="eastAsia" w:ascii="仿宋" w:hAnsi="仿宋" w:eastAsia="仿宋"/>
          <w:b/>
          <w:bCs/>
        </w:rPr>
        <w:t>推进重点区域环境综合整治，提升综合环境品质。</w:t>
      </w:r>
      <w:r>
        <w:rPr>
          <w:rFonts w:hint="eastAsia" w:ascii="仿宋" w:hAnsi="仿宋" w:eastAsia="仿宋"/>
        </w:rPr>
        <w:t>以“两轴、一城、一环”为统领，加强重点地区建设，推动中轴线申遗保护综合整治、长安街沿线整体提升以及二环文化景观环线营造。推进什刹海环境整治提升，保护万宁桥等文化遗存，提升滨水景观环境，管控周边秩序，打造老城复兴的典范。做好地安门外大街沿街风貌恢复，推进大栅栏观音寺片区、百万庄街区更新。提升金融街、西单等功能区品质，实施金融街品质提升专项行动，完善文化、商务、生活等配套服务设施。提升西单商圈主街环境品质，推动重点商场业态持续升级，推广直播带货，增强亲子功能，建设高品质休闲目的地。</w:t>
      </w:r>
    </w:p>
    <w:p>
      <w:pPr>
        <w:ind w:firstLine="562"/>
        <w:rPr>
          <w:rFonts w:ascii="仿宋" w:hAnsi="仿宋" w:eastAsia="仿宋" w:cs="Times New Roman"/>
          <w:bCs/>
          <w:szCs w:val="24"/>
        </w:rPr>
      </w:pPr>
      <w:r>
        <w:rPr>
          <w:rFonts w:hint="eastAsia" w:ascii="仿宋" w:hAnsi="仿宋" w:eastAsia="仿宋"/>
          <w:b/>
          <w:bCs/>
        </w:rPr>
        <w:t>进一步改善阜景街、前三门大街等</w:t>
      </w:r>
      <w:r>
        <w:rPr>
          <w:rFonts w:ascii="仿宋" w:hAnsi="仿宋" w:eastAsia="仿宋"/>
          <w:b/>
          <w:bCs/>
        </w:rPr>
        <w:t>12</w:t>
      </w:r>
      <w:r>
        <w:rPr>
          <w:rFonts w:hint="eastAsia" w:ascii="仿宋" w:hAnsi="仿宋" w:eastAsia="仿宋"/>
          <w:b/>
          <w:bCs/>
        </w:rPr>
        <w:t>条大街环境品质，提升步行空间舒适度。</w:t>
      </w:r>
      <w:r>
        <w:rPr>
          <w:rFonts w:hint="eastAsia" w:ascii="仿宋" w:hAnsi="仿宋" w:eastAsia="仿宋"/>
        </w:rPr>
        <w:t>严格落实首都功能核心区街区保护更新导则相关要求,对公共空间进行统筹设计，增加绿荫休憩空间。落实“道路林荫计划”，有序推进新建道路林荫化设计与建设，并对既有道路实施林荫化改造。配合研究平安大街、两广路等道路断面优化提升方案，有计划实施林荫化改造，提升绿化及步行空间占比，提高道路绿视率</w:t>
      </w:r>
      <w:r>
        <w:rPr>
          <w:rFonts w:hint="eastAsia" w:ascii="仿宋" w:hAnsi="仿宋" w:eastAsia="仿宋" w:cs="Times New Roman"/>
          <w:bCs/>
          <w:szCs w:val="24"/>
        </w:rPr>
        <w:t>。</w:t>
      </w:r>
    </w:p>
    <w:p>
      <w:pPr>
        <w:ind w:firstLine="562"/>
        <w:rPr>
          <w:rFonts w:ascii="仿宋" w:hAnsi="仿宋" w:eastAsia="仿宋" w:cs="Times New Roman"/>
          <w:bCs/>
          <w:szCs w:val="24"/>
        </w:rPr>
      </w:pPr>
      <w:r>
        <w:rPr>
          <w:rFonts w:hint="eastAsia" w:ascii="仿宋" w:hAnsi="仿宋" w:eastAsia="仿宋" w:cs="Times New Roman"/>
          <w:b/>
          <w:szCs w:val="24"/>
        </w:rPr>
        <w:t>进一步推进学校、医院周边环境综合整治，营造良好的城市环境。</w:t>
      </w:r>
      <w:r>
        <w:rPr>
          <w:rFonts w:hint="eastAsia" w:ascii="仿宋" w:hAnsi="仿宋" w:eastAsia="仿宋" w:cs="Times New Roman"/>
          <w:bCs/>
          <w:szCs w:val="24"/>
        </w:rPr>
        <w:t>继续开展校园、医院等人流密集地区的环境综合整治，对全区学校、医院周边环境所存在的问题和安全隐患采取集中治理、联合执法或专项治理的方式加以整治，积极管控学校、医院周边流动摊贩占道经营等行为，为西城区学校医院周边营造平安和谐的环境。</w:t>
      </w:r>
    </w:p>
    <w:p>
      <w:pPr>
        <w:ind w:firstLine="562"/>
        <w:rPr>
          <w:rFonts w:ascii="仿宋" w:hAnsi="仿宋" w:eastAsia="仿宋"/>
        </w:rPr>
      </w:pPr>
      <w:r>
        <w:rPr>
          <w:rFonts w:hint="eastAsia" w:ascii="仿宋" w:hAnsi="仿宋" w:eastAsia="仿宋"/>
          <w:b/>
          <w:bCs/>
        </w:rPr>
        <w:t>分区域形成主题鲜明的精品探访线路，推动文化探访路体系建设。</w:t>
      </w:r>
      <w:r>
        <w:rPr>
          <w:rFonts w:hint="eastAsia" w:ascii="仿宋" w:hAnsi="仿宋" w:eastAsia="仿宋"/>
        </w:rPr>
        <w:t>遵循首都功能核心区控规，依托胡同街巷，重点围绕中轴线文化探访路、玉河-什刹海-护国寺-新街口文化探访路、月坛-白塔寺-西四文化探访路、故宫-北大红楼-王府井文化探访路、环天安门广场-前面大栅栏文化探访路、新文化街-宣南文化探访路、天坛-先农坛-天桥文化探访路、白云观-三里河-北京展览馆探访路等路线，对周边市容环境进行整治，系统串接和生动展示散布于各处的历史文化资源。优化文化探访路的空间营造与步行体验，以有绿荫、有鸟鸣声、有老北京味的特色风貌吸引公众探寻历史，推动沿线文物腾退开放与人居环境改善，让历史文化和现代生活融为一体。</w:t>
      </w:r>
    </w:p>
    <w:p>
      <w:pPr>
        <w:pStyle w:val="4"/>
        <w:numPr>
          <w:ilvl w:val="0"/>
          <w:numId w:val="6"/>
        </w:numPr>
        <w:rPr>
          <w:rFonts w:ascii="仿宋" w:hAnsi="仿宋" w:eastAsia="仿宋"/>
        </w:rPr>
      </w:pPr>
      <w:r>
        <w:rPr>
          <w:rFonts w:hint="eastAsia" w:ascii="仿宋" w:hAnsi="仿宋" w:eastAsia="仿宋"/>
        </w:rPr>
        <w:t>塑造古都特色景观风貌</w:t>
      </w:r>
    </w:p>
    <w:p>
      <w:pPr>
        <w:ind w:firstLine="562"/>
        <w:rPr>
          <w:rFonts w:ascii="仿宋" w:hAnsi="仿宋" w:eastAsia="仿宋" w:cs="Times New Roman"/>
          <w:szCs w:val="24"/>
        </w:rPr>
      </w:pPr>
      <w:r>
        <w:rPr>
          <w:rFonts w:hint="eastAsia" w:ascii="仿宋" w:hAnsi="仿宋" w:eastAsia="仿宋" w:cs="Times New Roman"/>
          <w:b/>
          <w:bCs/>
          <w:szCs w:val="24"/>
        </w:rPr>
        <w:t>强化特色风貌街巷塑造，展现多元化街巷景观。</w:t>
      </w:r>
      <w:r>
        <w:rPr>
          <w:rFonts w:hint="eastAsia" w:ascii="仿宋" w:hAnsi="仿宋" w:eastAsia="仿宋" w:cs="Times New Roman"/>
          <w:szCs w:val="24"/>
        </w:rPr>
        <w:t>通过街巷环境治理加强特色塑造，形成具有不同时代特征、不同功能特点的特色风貌街巷。依据核心区控规，重点加强对街巷内各类环境要素的整体性、精细化、差异化管控，营造风貌特色突出、功能类型多样、空间形态丰富的特色街巷，展示首都风范、古都风韵、时代风貌多元共生的街巷景观，打造更具文化魅力的公共空间环境。</w:t>
      </w:r>
    </w:p>
    <w:p>
      <w:pPr>
        <w:ind w:firstLine="562"/>
        <w:rPr>
          <w:rFonts w:ascii="仿宋" w:hAnsi="仿宋" w:eastAsia="仿宋" w:cs="Times New Roman"/>
          <w:szCs w:val="24"/>
        </w:rPr>
      </w:pPr>
      <w:r>
        <w:rPr>
          <w:rFonts w:hint="eastAsia" w:ascii="仿宋" w:hAnsi="仿宋" w:eastAsia="仿宋" w:cs="Times New Roman"/>
          <w:b/>
          <w:bCs/>
          <w:szCs w:val="24"/>
        </w:rPr>
        <w:t>规范治理广告牌匾，提升广告牌匾标识品质。</w:t>
      </w:r>
      <w:r>
        <w:rPr>
          <w:rFonts w:hint="eastAsia" w:ascii="仿宋" w:hAnsi="仿宋" w:eastAsia="仿宋" w:cs="Times New Roman"/>
          <w:szCs w:val="24"/>
        </w:rPr>
        <w:t>编制《西城区户外广告控制性规划》、《西城区牌匾标识设置导则》、《西城区户外广告设置规划》等专业性规划，明确户外广告设施设置点位及设置规则。实行牌匾标识分区分类管理，发挥责任规划师、小巷管家的作用，指导商户、企业自主设置牌匾标识。</w:t>
      </w:r>
      <w:r>
        <w:rPr>
          <w:rFonts w:hint="eastAsia" w:ascii="仿宋" w:hAnsi="仿宋" w:eastAsia="仿宋"/>
        </w:rPr>
        <w:t>对各类违规、破损独立式广告牌、附属式广告牌、商招店招、各类小广告等进行集中治理，加大处罚力度，对违法设置者进行“按日计罚”、追究利益相关方责任、授权执法机构采取行政强制措施。</w:t>
      </w:r>
    </w:p>
    <w:p>
      <w:pPr>
        <w:ind w:firstLine="562"/>
        <w:rPr>
          <w:rFonts w:ascii="仿宋" w:hAnsi="仿宋" w:eastAsia="仿宋"/>
        </w:rPr>
      </w:pPr>
      <w:r>
        <w:rPr>
          <w:rFonts w:hint="eastAsia" w:ascii="仿宋" w:hAnsi="仿宋" w:eastAsia="仿宋"/>
          <w:b/>
          <w:bCs/>
        </w:rPr>
        <w:t>加强城市景观照明建设，提升城市整体形象。</w:t>
      </w:r>
      <w:r>
        <w:rPr>
          <w:rFonts w:hint="eastAsia" w:ascii="仿宋" w:hAnsi="仿宋" w:eastAsia="仿宋"/>
        </w:rPr>
        <w:t>对有路无灯道路进行普查，协调相关部门，加强在无路灯道路安装路灯，彻底解决有路无灯问题。排查立交桥下区域和巡河路段，推进亮度不足、缺少灯具等问题的解决，到2025年末，城市道路照明亮灯率达到1</w:t>
      </w:r>
      <w:r>
        <w:rPr>
          <w:rFonts w:ascii="仿宋" w:hAnsi="仿宋" w:eastAsia="仿宋"/>
        </w:rPr>
        <w:t>00%</w:t>
      </w:r>
      <w:r>
        <w:rPr>
          <w:rFonts w:hint="eastAsia" w:ascii="仿宋" w:hAnsi="仿宋" w:eastAsia="仿宋"/>
        </w:rPr>
        <w:t>。优化长安街沿线夜景照明，在城市景观大道、步行街道、历史街区等具有突出景观价值和风貌特征的重点区域，采用具有一定观赏性的道路照明灯具，提升景观照明品质。</w:t>
      </w:r>
    </w:p>
    <w:p>
      <w:pPr>
        <w:pStyle w:val="4"/>
        <w:numPr>
          <w:ilvl w:val="0"/>
          <w:numId w:val="6"/>
        </w:numPr>
        <w:rPr>
          <w:rFonts w:ascii="仿宋" w:hAnsi="仿宋" w:eastAsia="仿宋"/>
        </w:rPr>
      </w:pPr>
      <w:r>
        <w:rPr>
          <w:rFonts w:hint="eastAsia" w:ascii="仿宋" w:hAnsi="仿宋" w:eastAsia="仿宋"/>
        </w:rPr>
        <w:t>推进背街小巷环境</w:t>
      </w:r>
      <w:r>
        <w:rPr>
          <w:rFonts w:ascii="仿宋" w:hAnsi="仿宋" w:eastAsia="仿宋"/>
        </w:rPr>
        <w:t>精细化</w:t>
      </w:r>
      <w:r>
        <w:rPr>
          <w:rFonts w:hint="eastAsia" w:ascii="仿宋" w:hAnsi="仿宋" w:eastAsia="仿宋"/>
        </w:rPr>
        <w:t>整治提升</w:t>
      </w:r>
    </w:p>
    <w:p>
      <w:pPr>
        <w:ind w:firstLine="562"/>
        <w:rPr>
          <w:rFonts w:ascii="仿宋" w:hAnsi="仿宋" w:eastAsia="仿宋" w:cs="仿宋_GB2312"/>
        </w:rPr>
      </w:pPr>
      <w:r>
        <w:rPr>
          <w:rFonts w:hint="eastAsia" w:ascii="仿宋" w:hAnsi="仿宋" w:eastAsia="仿宋" w:cs="仿宋_GB2312"/>
          <w:b/>
          <w:bCs/>
        </w:rPr>
        <w:t>巩固背街小巷环境治理成果，打造西城品牌。</w:t>
      </w:r>
      <w:r>
        <w:rPr>
          <w:rFonts w:hint="eastAsia" w:ascii="仿宋" w:hAnsi="仿宋" w:eastAsia="仿宋" w:cs="仿宋_GB2312"/>
        </w:rPr>
        <w:t>统筹考虑中国共产党建党100周年、冬奥会等重大活动和疏解整治促提升等工作任务，紧扣群众诉求，着力加强背街小巷日常运行管理，治顽症、促提升、保长效。坚持问题导向，以停车自治、绿色景观、公共设施和环境卫生等为治理重点，着力提升背街小巷环境面貌，力争将更多背街小巷打造成为“北京最美街巷”。</w:t>
      </w:r>
    </w:p>
    <w:p>
      <w:pPr>
        <w:ind w:firstLine="562"/>
        <w:rPr>
          <w:rFonts w:ascii="仿宋" w:hAnsi="仿宋" w:eastAsia="仿宋" w:cs="仿宋_GB2312"/>
        </w:rPr>
      </w:pPr>
      <w:r>
        <w:rPr>
          <w:rFonts w:hint="eastAsia" w:ascii="仿宋" w:hAnsi="仿宋" w:eastAsia="仿宋" w:cs="仿宋_GB2312"/>
          <w:b/>
          <w:bCs/>
        </w:rPr>
        <w:t>加强宣传动员，营造良好文明风尚。</w:t>
      </w:r>
      <w:r>
        <w:rPr>
          <w:rFonts w:hint="eastAsia" w:ascii="仿宋" w:hAnsi="仿宋" w:eastAsia="仿宋" w:cs="仿宋_GB2312"/>
        </w:rPr>
        <w:t>街巷宣传栏、宣传展板内容定期更换,设施完善整洁。引导居民积极参与垃圾减量分类、礼让斑马线、烟头不落地、美丽街巷我的家等宣传活动，引导居民参加背街小巷整治提升工作，努力提高背街小巷整治工作群众关注度、知晓率和参与度。设立志愿服务岗，发挥文明引导员、社区志愿者等队伍作用，积极开展志愿服务活动。</w:t>
      </w:r>
    </w:p>
    <w:p>
      <w:pPr>
        <w:ind w:firstLine="562"/>
        <w:rPr>
          <w:rFonts w:ascii="仿宋" w:hAnsi="仿宋" w:eastAsia="仿宋"/>
        </w:rPr>
      </w:pPr>
      <w:r>
        <w:rPr>
          <w:rFonts w:hint="eastAsia" w:ascii="仿宋" w:hAnsi="仿宋" w:eastAsia="仿宋" w:cs="仿宋_GB2312"/>
          <w:b/>
        </w:rPr>
        <w:t>深入开展支路</w:t>
      </w:r>
      <w:r>
        <w:rPr>
          <w:rFonts w:ascii="仿宋" w:hAnsi="仿宋" w:eastAsia="仿宋" w:cs="仿宋_GB2312"/>
          <w:b/>
        </w:rPr>
        <w:t>胡同</w:t>
      </w:r>
      <w:r>
        <w:rPr>
          <w:rFonts w:hint="eastAsia" w:ascii="仿宋" w:hAnsi="仿宋" w:eastAsia="仿宋" w:cs="仿宋_GB2312"/>
          <w:b/>
        </w:rPr>
        <w:t>、</w:t>
      </w:r>
      <w:r>
        <w:rPr>
          <w:rFonts w:ascii="仿宋" w:hAnsi="仿宋" w:eastAsia="仿宋" w:cs="仿宋_GB2312"/>
          <w:b/>
        </w:rPr>
        <w:t>背街小巷架空线</w:t>
      </w:r>
      <w:r>
        <w:rPr>
          <w:rFonts w:hint="eastAsia" w:ascii="仿宋" w:hAnsi="仿宋" w:eastAsia="仿宋" w:cs="仿宋_GB2312"/>
          <w:b/>
        </w:rPr>
        <w:t>规范</w:t>
      </w:r>
      <w:r>
        <w:rPr>
          <w:rFonts w:ascii="仿宋" w:hAnsi="仿宋" w:eastAsia="仿宋" w:cs="仿宋_GB2312"/>
          <w:b/>
        </w:rPr>
        <w:t>化整治。</w:t>
      </w:r>
      <w:r>
        <w:rPr>
          <w:rFonts w:hint="eastAsia" w:ascii="仿宋" w:hAnsi="仿宋" w:eastAsia="仿宋" w:cs="仿宋_GB2312"/>
        </w:rPr>
        <w:t>继续保质保量地完成支路电力线及路灯线入地改造工作，并深入研究</w:t>
      </w:r>
      <w:r>
        <w:rPr>
          <w:rFonts w:ascii="仿宋" w:hAnsi="仿宋" w:eastAsia="仿宋" w:cs="仿宋_GB2312"/>
        </w:rPr>
        <w:t>15</w:t>
      </w:r>
      <w:r>
        <w:rPr>
          <w:rFonts w:hint="eastAsia" w:ascii="仿宋" w:hAnsi="仿宋" w:eastAsia="仿宋" w:cs="仿宋_GB2312"/>
        </w:rPr>
        <w:t>个街道片区支路胡同架空线入地改造条件，</w:t>
      </w:r>
      <w:r>
        <w:rPr>
          <w:rFonts w:ascii="仿宋" w:hAnsi="仿宋" w:eastAsia="仿宋" w:cs="仿宋_GB2312"/>
        </w:rPr>
        <w:t>对</w:t>
      </w:r>
      <w:r>
        <w:rPr>
          <w:rFonts w:hint="eastAsia" w:ascii="仿宋" w:hAnsi="仿宋" w:eastAsia="仿宋" w:cs="仿宋_GB2312"/>
        </w:rPr>
        <w:t>具备架空线入地条件的胡同，全部实施电力、路灯架空线入地改造。同时</w:t>
      </w:r>
      <w:r>
        <w:rPr>
          <w:rFonts w:ascii="仿宋" w:hAnsi="仿宋" w:eastAsia="仿宋" w:cs="仿宋_GB2312"/>
        </w:rPr>
        <w:t>，</w:t>
      </w:r>
      <w:r>
        <w:rPr>
          <w:rFonts w:hint="eastAsia" w:ascii="仿宋" w:hAnsi="仿宋" w:eastAsia="仿宋" w:cs="仿宋_GB2312"/>
        </w:rPr>
        <w:t>会同</w:t>
      </w:r>
      <w:r>
        <w:rPr>
          <w:rFonts w:ascii="仿宋" w:hAnsi="仿宋" w:eastAsia="仿宋" w:cs="仿宋_GB2312"/>
        </w:rPr>
        <w:t>街道、</w:t>
      </w:r>
      <w:r>
        <w:rPr>
          <w:rFonts w:hint="eastAsia" w:ascii="仿宋" w:hAnsi="仿宋" w:eastAsia="仿宋" w:cs="仿宋_GB2312"/>
        </w:rPr>
        <w:t>社区</w:t>
      </w:r>
      <w:r>
        <w:rPr>
          <w:rFonts w:ascii="仿宋" w:hAnsi="仿宋" w:eastAsia="仿宋" w:cs="仿宋_GB2312"/>
        </w:rPr>
        <w:t>居委会</w:t>
      </w:r>
      <w:r>
        <w:rPr>
          <w:rFonts w:hint="eastAsia" w:ascii="仿宋" w:hAnsi="仿宋" w:eastAsia="仿宋" w:cs="仿宋_GB2312"/>
        </w:rPr>
        <w:t>联合</w:t>
      </w:r>
      <w:r>
        <w:rPr>
          <w:rFonts w:ascii="仿宋" w:hAnsi="仿宋" w:eastAsia="仿宋" w:cs="仿宋_GB2312"/>
        </w:rPr>
        <w:t>制定</w:t>
      </w:r>
      <w:r>
        <w:rPr>
          <w:rFonts w:hint="eastAsia" w:ascii="仿宋" w:hAnsi="仿宋" w:eastAsia="仿宋" w:cs="仿宋_GB2312"/>
        </w:rPr>
        <w:t>《</w:t>
      </w:r>
      <w:r>
        <w:rPr>
          <w:rFonts w:ascii="仿宋" w:hAnsi="仿宋" w:eastAsia="仿宋" w:cs="仿宋_GB2312"/>
        </w:rPr>
        <w:t>住区</w:t>
      </w:r>
      <w:r>
        <w:rPr>
          <w:rFonts w:hint="eastAsia" w:ascii="仿宋" w:hAnsi="仿宋" w:eastAsia="仿宋" w:cs="仿宋_GB2312"/>
        </w:rPr>
        <w:t>线缆</w:t>
      </w:r>
      <w:r>
        <w:rPr>
          <w:rFonts w:ascii="仿宋" w:hAnsi="仿宋" w:eastAsia="仿宋" w:cs="仿宋_GB2312"/>
        </w:rPr>
        <w:t>规范化管理守则</w:t>
      </w:r>
      <w:r>
        <w:rPr>
          <w:rFonts w:hint="eastAsia" w:ascii="仿宋" w:hAnsi="仿宋" w:eastAsia="仿宋" w:cs="仿宋_GB2312"/>
        </w:rPr>
        <w:t>》</w:t>
      </w:r>
      <w:r>
        <w:rPr>
          <w:rFonts w:ascii="仿宋" w:hAnsi="仿宋" w:eastAsia="仿宋" w:cs="仿宋_GB2312"/>
        </w:rPr>
        <w:t>，</w:t>
      </w:r>
      <w:r>
        <w:rPr>
          <w:rFonts w:hint="eastAsia" w:ascii="仿宋" w:hAnsi="仿宋" w:eastAsia="仿宋" w:cs="仿宋_GB2312"/>
        </w:rPr>
        <w:t>与相关</w:t>
      </w:r>
      <w:r>
        <w:rPr>
          <w:rFonts w:ascii="仿宋" w:hAnsi="仿宋" w:eastAsia="仿宋" w:cs="仿宋_GB2312"/>
        </w:rPr>
        <w:t>管线单位签订“</w:t>
      </w:r>
      <w:r>
        <w:rPr>
          <w:rFonts w:hint="eastAsia" w:ascii="仿宋" w:hAnsi="仿宋" w:eastAsia="仿宋" w:cs="仿宋_GB2312"/>
        </w:rPr>
        <w:t>线缆</w:t>
      </w:r>
      <w:r>
        <w:rPr>
          <w:rFonts w:ascii="仿宋" w:hAnsi="仿宋" w:eastAsia="仿宋" w:cs="仿宋_GB2312"/>
        </w:rPr>
        <w:t>规范化建设”协议</w:t>
      </w:r>
      <w:r>
        <w:rPr>
          <w:rFonts w:hint="eastAsia" w:ascii="仿宋" w:hAnsi="仿宋" w:eastAsia="仿宋" w:cs="仿宋_GB2312"/>
        </w:rPr>
        <w:t>。</w:t>
      </w:r>
    </w:p>
    <w:p>
      <w:pPr>
        <w:pStyle w:val="4"/>
        <w:numPr>
          <w:ilvl w:val="0"/>
          <w:numId w:val="6"/>
        </w:numPr>
        <w:rPr>
          <w:rFonts w:ascii="仿宋" w:hAnsi="仿宋" w:eastAsia="仿宋"/>
        </w:rPr>
      </w:pPr>
      <w:r>
        <w:rPr>
          <w:rFonts w:hint="eastAsia" w:ascii="仿宋" w:hAnsi="仿宋" w:eastAsia="仿宋"/>
        </w:rPr>
        <w:t>创建和谐有序的市容环境秩序</w:t>
      </w:r>
    </w:p>
    <w:p>
      <w:pPr>
        <w:ind w:firstLine="562"/>
        <w:rPr>
          <w:rFonts w:ascii="仿宋" w:hAnsi="仿宋" w:eastAsia="仿宋"/>
        </w:rPr>
      </w:pPr>
      <w:r>
        <w:rPr>
          <w:rFonts w:hint="eastAsia" w:ascii="仿宋" w:hAnsi="仿宋" w:eastAsia="仿宋"/>
          <w:b/>
          <w:bCs/>
        </w:rPr>
        <w:t>创建美丽市容市貌，提升人居环境品质。</w:t>
      </w:r>
      <w:r>
        <w:rPr>
          <w:rFonts w:hint="eastAsia" w:ascii="仿宋" w:hAnsi="仿宋" w:eastAsia="仿宋"/>
        </w:rPr>
        <w:t>主动对标全球未来城市发展领先标准,精心打造</w:t>
      </w:r>
      <w:r>
        <w:rPr>
          <w:rFonts w:ascii="仿宋" w:hAnsi="仿宋" w:eastAsia="仿宋"/>
        </w:rPr>
        <w:t>美丽宜居的</w:t>
      </w:r>
      <w:r>
        <w:rPr>
          <w:rFonts w:hint="eastAsia" w:ascii="仿宋" w:hAnsi="仿宋" w:eastAsia="仿宋"/>
        </w:rPr>
        <w:t>市容环境，优化道路沿街环境及业态，提升街头小品文化内涵，以“标准化、国际化、特色化”的创新理念，创造宜人的道路景观，建设具有老北京特色、多元文化交融的魅力走廊。</w:t>
      </w:r>
    </w:p>
    <w:p>
      <w:pPr>
        <w:ind w:firstLine="562"/>
        <w:rPr>
          <w:rFonts w:ascii="仿宋" w:hAnsi="仿宋" w:eastAsia="仿宋"/>
          <w:b/>
          <w:bCs/>
        </w:rPr>
      </w:pPr>
      <w:r>
        <w:rPr>
          <w:rFonts w:hint="eastAsia" w:ascii="仿宋" w:hAnsi="仿宋" w:eastAsia="仿宋"/>
          <w:b/>
          <w:bCs/>
        </w:rPr>
        <w:t>强化对违法建设管理力度，优化城市环境秩序。</w:t>
      </w:r>
      <w:r>
        <w:rPr>
          <w:rFonts w:hint="eastAsia" w:ascii="仿宋" w:hAnsi="仿宋" w:eastAsia="仿宋"/>
        </w:rPr>
        <w:t>严格控制新生违建，以“零容忍”的态度保持新生违法建设“零增长”。推进既有违法建设拆除工作，优先拆除安全隐患大、群众反应强烈、挂账督办以及主次干道沿线、大型交通枢纽周边的违法建设。</w:t>
      </w:r>
    </w:p>
    <w:p>
      <w:pPr>
        <w:ind w:firstLine="562"/>
        <w:rPr>
          <w:rFonts w:ascii="仿宋" w:hAnsi="仿宋" w:eastAsia="仿宋"/>
        </w:rPr>
      </w:pPr>
      <w:r>
        <w:rPr>
          <w:rFonts w:hint="eastAsia" w:ascii="仿宋" w:hAnsi="仿宋" w:eastAsia="仿宋"/>
          <w:b/>
          <w:bCs/>
        </w:rPr>
        <w:t>巩固开墙打洞治理成果，疏堵结合提升治理效果。</w:t>
      </w:r>
      <w:r>
        <w:rPr>
          <w:rFonts w:hint="eastAsia" w:ascii="仿宋" w:hAnsi="仿宋" w:eastAsia="仿宋"/>
        </w:rPr>
        <w:t>对违规开墙打洞、违规占道经营进行综合整治，建立精细化管理长效机制，巩固治理成果，实现“开墙打洞”的动态清零。同时，通过疏解整治与优化提升并举的方式破解开墙打洞经营难题，让居民</w:t>
      </w:r>
      <w:r>
        <w:rPr>
          <w:rFonts w:ascii="仿宋" w:hAnsi="仿宋" w:eastAsia="仿宋"/>
        </w:rPr>
        <w:t>享受到便利舒心的生活服务</w:t>
      </w:r>
      <w:r>
        <w:rPr>
          <w:rFonts w:hint="eastAsia" w:ascii="仿宋" w:hAnsi="仿宋" w:eastAsia="仿宋"/>
        </w:rPr>
        <w:t>，切实改善人居环境。</w:t>
      </w:r>
    </w:p>
    <w:p>
      <w:pPr>
        <w:ind w:firstLine="562"/>
        <w:rPr>
          <w:rFonts w:ascii="仿宋" w:hAnsi="仿宋" w:eastAsia="仿宋"/>
        </w:rPr>
      </w:pPr>
      <w:r>
        <w:rPr>
          <w:rFonts w:hint="eastAsia" w:ascii="仿宋" w:hAnsi="仿宋" w:eastAsia="仿宋"/>
          <w:b/>
          <w:bCs/>
        </w:rPr>
        <w:t>扎实推进“共杆共箱”整治，改善提升城区市容环境。</w:t>
      </w:r>
      <w:r>
        <w:rPr>
          <w:rFonts w:hint="eastAsia" w:ascii="仿宋" w:hAnsi="仿宋" w:eastAsia="仿宋"/>
        </w:rPr>
        <w:t>深入</w:t>
      </w:r>
      <w:r>
        <w:rPr>
          <w:rFonts w:ascii="仿宋" w:hAnsi="仿宋" w:eastAsia="仿宋"/>
        </w:rPr>
        <w:t>落实</w:t>
      </w:r>
      <w:r>
        <w:rPr>
          <w:rFonts w:hint="eastAsia" w:ascii="仿宋" w:hAnsi="仿宋" w:eastAsia="仿宋"/>
        </w:rPr>
        <w:t>北京市核心区重点区域779台电力、路灯箱体隐形化、小型化、景观化三年整治</w:t>
      </w:r>
      <w:r>
        <w:rPr>
          <w:rFonts w:ascii="仿宋" w:hAnsi="仿宋" w:eastAsia="仿宋"/>
        </w:rPr>
        <w:t>计划，</w:t>
      </w:r>
      <w:r>
        <w:rPr>
          <w:rFonts w:hint="eastAsia" w:ascii="仿宋" w:hAnsi="仿宋" w:eastAsia="仿宋"/>
        </w:rPr>
        <w:t>系统开展城市道路杆箱“减法”工作。针对重点区域、重点路段率先开展杆箱情况大排查，包括路名牌、标识牌、路灯杆、配变电箱等，并在满足行业标准、功能要求、安全性的前提下，按照“多杆合一、多箱合一、分仓使用”的方式，对各类杆件和箱体进行整合，难以整合的部分变电箱和控制柜等，应尽量保持尺寸相同、颜色一致、样式统一。相关部门要</w:t>
      </w:r>
      <w:r>
        <w:rPr>
          <w:rFonts w:ascii="仿宋" w:hAnsi="仿宋" w:eastAsia="仿宋"/>
        </w:rPr>
        <w:t>加大排查力度，</w:t>
      </w:r>
      <w:r>
        <w:rPr>
          <w:rFonts w:hint="eastAsia" w:ascii="仿宋" w:hAnsi="仿宋" w:eastAsia="仿宋"/>
        </w:rPr>
        <w:t>及时清理废弃或不规范的标识、杆件、箱体等道路设施，并注明各类设施的种类、管理单位及责任人等信息，实现精细化管养。</w:t>
      </w:r>
    </w:p>
    <w:p>
      <w:pPr>
        <w:ind w:firstLine="562"/>
        <w:rPr>
          <w:rFonts w:ascii="仿宋" w:hAnsi="仿宋" w:eastAsia="仿宋"/>
        </w:rPr>
      </w:pPr>
      <w:r>
        <w:rPr>
          <w:rFonts w:hint="eastAsia" w:ascii="仿宋" w:hAnsi="仿宋" w:eastAsia="仿宋"/>
          <w:b/>
          <w:bCs/>
        </w:rPr>
        <w:t>健全井盖设施统一规划制度，提升井盖品质。</w:t>
      </w:r>
      <w:r>
        <w:rPr>
          <w:rFonts w:hint="eastAsia" w:ascii="仿宋" w:hAnsi="仿宋" w:eastAsia="仿宋"/>
        </w:rPr>
        <w:t>对井盖进行统一规划，明确井盖样式、材质、尺寸等，为日后井盖的养护维修材料供应方面提供可靠的基础性保证，有效的降低将来井盖的维护成本。研究制定出台统一的井盖质量标准，在材质规格等方面做出统一的规定。</w:t>
      </w:r>
    </w:p>
    <w:p>
      <w:pPr>
        <w:pStyle w:val="3"/>
        <w:rPr>
          <w:rFonts w:ascii="仿宋" w:hAnsi="仿宋" w:eastAsia="仿宋"/>
        </w:rPr>
      </w:pPr>
      <w:bookmarkStart w:id="35" w:name="_Toc58491513"/>
      <w:r>
        <w:rPr>
          <w:rFonts w:hint="eastAsia" w:ascii="仿宋" w:hAnsi="仿宋" w:eastAsia="仿宋"/>
        </w:rPr>
        <w:t>四、积极</w:t>
      </w:r>
      <w:r>
        <w:rPr>
          <w:rFonts w:ascii="仿宋" w:hAnsi="仿宋" w:eastAsia="仿宋"/>
        </w:rPr>
        <w:t>推进强制</w:t>
      </w:r>
      <w:r>
        <w:rPr>
          <w:rFonts w:hint="eastAsia" w:ascii="仿宋" w:hAnsi="仿宋" w:eastAsia="仿宋"/>
        </w:rPr>
        <w:t>垃圾</w:t>
      </w:r>
      <w:r>
        <w:rPr>
          <w:rFonts w:ascii="仿宋" w:hAnsi="仿宋" w:eastAsia="仿宋"/>
        </w:rPr>
        <w:t>分类</w:t>
      </w:r>
      <w:r>
        <w:rPr>
          <w:rFonts w:hint="eastAsia" w:ascii="仿宋" w:hAnsi="仿宋" w:eastAsia="仿宋"/>
        </w:rPr>
        <w:t>及源头</w:t>
      </w:r>
      <w:r>
        <w:rPr>
          <w:rFonts w:ascii="仿宋" w:hAnsi="仿宋" w:eastAsia="仿宋"/>
        </w:rPr>
        <w:t>减量</w:t>
      </w:r>
      <w:bookmarkEnd w:id="35"/>
    </w:p>
    <w:p>
      <w:pPr>
        <w:pStyle w:val="4"/>
        <w:numPr>
          <w:ilvl w:val="0"/>
          <w:numId w:val="7"/>
        </w:numPr>
        <w:rPr>
          <w:rFonts w:ascii="仿宋" w:hAnsi="仿宋" w:eastAsia="仿宋"/>
        </w:rPr>
      </w:pPr>
      <w:r>
        <w:rPr>
          <w:rFonts w:hint="eastAsia" w:ascii="仿宋" w:hAnsi="仿宋" w:eastAsia="仿宋"/>
        </w:rPr>
        <w:t>加强垃圾分类全流程管控</w:t>
      </w:r>
    </w:p>
    <w:p>
      <w:pPr>
        <w:ind w:firstLine="562"/>
        <w:rPr>
          <w:rFonts w:ascii="仿宋" w:hAnsi="仿宋" w:eastAsia="仿宋"/>
        </w:rPr>
      </w:pPr>
      <w:r>
        <w:rPr>
          <w:rFonts w:hint="eastAsia" w:ascii="仿宋" w:hAnsi="仿宋" w:eastAsia="仿宋"/>
          <w:b/>
        </w:rPr>
        <w:t>切实提升源头分类质量，提高垃圾分类正确率。</w:t>
      </w:r>
      <w:r>
        <w:rPr>
          <w:rFonts w:hint="eastAsia" w:ascii="仿宋" w:hAnsi="仿宋" w:eastAsia="仿宋"/>
        </w:rPr>
        <w:t>强化垃圾分类源头产品生产流通环节指导与管理，逐步规范家庭用垃圾分类收集容器及垃圾袋。逐步推进居民家中设置“两桶一袋”，分类收集垃圾。全区4296家餐饮服务单位有条件的全部安装油水分离等前端处理设备。不断完善垃圾按量按类收费制度，推广补贴奖惩制度，建立绿色账户积分兑换制度，利用多种经济手段，调动全民垃圾分类积极性。全面推广“不分类，不收运”的倒逼机制，对未实行垃圾分类或垃圾分类不符合要求的小区，管理部门要提出整改意见，收运部门可以拒绝收运；对多次违规拒不整改的、拒绝收运的小区和单位，移交执法部门处罚。</w:t>
      </w:r>
    </w:p>
    <w:p>
      <w:pPr>
        <w:ind w:firstLine="562"/>
        <w:rPr>
          <w:rFonts w:ascii="仿宋" w:hAnsi="仿宋" w:eastAsia="仿宋"/>
        </w:rPr>
      </w:pPr>
      <w:r>
        <w:rPr>
          <w:rFonts w:hint="eastAsia" w:ascii="仿宋" w:hAnsi="仿宋" w:eastAsia="仿宋"/>
          <w:b/>
        </w:rPr>
        <w:t>完善投放设施建设和监管，实现生活垃圾准确投放。</w:t>
      </w:r>
      <w:r>
        <w:rPr>
          <w:rFonts w:hint="eastAsia" w:ascii="仿宋" w:hAnsi="仿宋" w:eastAsia="仿宋"/>
        </w:rPr>
        <w:t>因地制宜规范建设分类桶站、大力推动分类驿站建设，并纳入日常监督检查内容，实现所有分类投放点容器、标识、宣传、公示、配置“五规范”。鼓励各街道因地制宜创新投放模式，合理选择垃圾分类小屋（有人值守）、上门或定点回收、智能垃圾箱等投放方式。通过垃圾分类</w:t>
      </w:r>
      <w:r>
        <w:rPr>
          <w:rFonts w:ascii="仿宋" w:hAnsi="仿宋" w:eastAsia="仿宋"/>
        </w:rPr>
        <w:t>指导员监督检查、</w:t>
      </w:r>
      <w:r>
        <w:rPr>
          <w:rFonts w:hint="eastAsia" w:ascii="仿宋" w:hAnsi="仿宋" w:eastAsia="仿宋"/>
        </w:rPr>
        <w:t>二维码</w:t>
      </w:r>
      <w:r>
        <w:rPr>
          <w:rFonts w:ascii="仿宋" w:hAnsi="仿宋" w:eastAsia="仿宋"/>
        </w:rPr>
        <w:t>、人脸识别、摄像头</w:t>
      </w:r>
      <w:r>
        <w:rPr>
          <w:rFonts w:hint="eastAsia" w:ascii="仿宋" w:hAnsi="仿宋" w:eastAsia="仿宋"/>
        </w:rPr>
        <w:t>等多种手段逐步实现去匿名化投放监管，提升垃圾分类投放质量。</w:t>
      </w:r>
    </w:p>
    <w:p>
      <w:pPr>
        <w:ind w:firstLine="562"/>
        <w:rPr>
          <w:rFonts w:ascii="仿宋" w:hAnsi="仿宋" w:eastAsia="仿宋"/>
        </w:rPr>
      </w:pPr>
      <w:r>
        <w:rPr>
          <w:rFonts w:hint="eastAsia" w:ascii="仿宋" w:hAnsi="仿宋" w:eastAsia="仿宋"/>
          <w:b/>
        </w:rPr>
        <w:t>坚决杜绝“混装混运”，严格执行生活垃圾分类收运。</w:t>
      </w:r>
      <w:r>
        <w:rPr>
          <w:rFonts w:hint="eastAsia" w:ascii="仿宋" w:hAnsi="仿宋" w:eastAsia="仿宋"/>
        </w:rPr>
        <w:t>物业公司和其他垃圾分类管理责任人与具有资质的生活垃圾收运单位签订垃圾收集运输服务合同，餐饮服务单位厨余垃圾规范收运率保持100%。鼓励垃圾运输单位建立“绿色车队”，实施分类运输车辆身份识别、行驶轨迹、称重计量等信息实时监控。生活垃圾收集运输单位应根据小区实际选择分类收集模式，确保收运全过程密闭，无二次污染。逐步扩大定时定点“不落地收运”模式的应用范围，实现垃圾不落地全覆盖。建立全程分类运输双向监督机制，对拒不配合进行源头分类驳运的物业企业依法予以处罚；严格查处收运企业“混装混运”行为，对情节严重的要逐出市场。</w:t>
      </w:r>
    </w:p>
    <w:p>
      <w:pPr>
        <w:ind w:firstLine="562"/>
        <w:rPr>
          <w:rFonts w:ascii="仿宋" w:hAnsi="仿宋" w:eastAsia="仿宋"/>
        </w:rPr>
      </w:pPr>
      <w:r>
        <w:rPr>
          <w:rFonts w:hint="eastAsia" w:ascii="仿宋" w:hAnsi="仿宋" w:eastAsia="仿宋"/>
          <w:b/>
        </w:rPr>
        <w:t>加强就地处理及资源化利用，保障后端垃圾及时处理。</w:t>
      </w:r>
      <w:r>
        <w:rPr>
          <w:rFonts w:hint="eastAsia" w:ascii="仿宋" w:hAnsi="仿宋" w:eastAsia="仿宋"/>
        </w:rPr>
        <w:t>探索推广厨余垃圾就地处理技术，有条件的居住区、家庭可以安装符合标准的厨余垃圾处理装置。推广新街口街道集宣教培训、厨余垃圾就地化减量处理设备、多功能于一体的“绿色生活馆”或厨余垃圾资源化一体机，厨余垃圾经过降解后生成肥料，用于屋顶花园、绿地养护等，实现厨余垃圾资源化利用。持续推进“两网融合”，在全区逐步推广再生资源“预约回收服务＋定点投放计量返现”机制，构建政府、社区、回收企业、信托基金等多元参与的资源回收制度，提高垃圾资源化利用率。加强垃圾焚烧飞灰的资源化处置，实现垃圾分类处理、资源利用、废物处置无缝高效衔接。积极协调市区相关部门，解决在处理垃圾过程中出现的各类问题，保障后端垃圾处理及时。</w:t>
      </w:r>
    </w:p>
    <w:p>
      <w:pPr>
        <w:pStyle w:val="4"/>
        <w:numPr>
          <w:ilvl w:val="0"/>
          <w:numId w:val="7"/>
        </w:numPr>
        <w:rPr>
          <w:rFonts w:ascii="仿宋" w:hAnsi="仿宋" w:eastAsia="仿宋"/>
        </w:rPr>
      </w:pPr>
      <w:r>
        <w:rPr>
          <w:rFonts w:hint="eastAsia" w:ascii="仿宋" w:hAnsi="仿宋" w:eastAsia="仿宋"/>
        </w:rPr>
        <w:t>推进源头减量和过程减量</w:t>
      </w:r>
    </w:p>
    <w:p>
      <w:pPr>
        <w:ind w:firstLine="562"/>
        <w:rPr>
          <w:rFonts w:ascii="仿宋" w:hAnsi="仿宋" w:eastAsia="仿宋"/>
        </w:rPr>
      </w:pPr>
      <w:r>
        <w:rPr>
          <w:rFonts w:hint="eastAsia" w:ascii="仿宋" w:hAnsi="仿宋" w:eastAsia="仿宋"/>
          <w:b/>
        </w:rPr>
        <w:t>倡导绿色生产生活方式，减少垃圾产生量。</w:t>
      </w:r>
      <w:r>
        <w:rPr>
          <w:rFonts w:hint="eastAsia" w:ascii="仿宋" w:hAnsi="仿宋" w:eastAsia="仿宋"/>
        </w:rPr>
        <w:t>以减少进入焚烧和填埋处理设施的垃圾量为目的，明确减量目标，组织落实生活垃圾总量控制计划。促进单位和个人在日常工作生活中，倡导绿色低碳生活方式，推广限制过度包装、严格限制一次性用品使用、推广无纸化办公、开展旧货交易、实施“光盘行动”、推行净菜半净菜上市、试点垃圾分类计价、计量收费等措施，厉行节约、减少浪费。加强可回收物回收体系建设，推动再生资源回收链条向居民小区延伸。</w:t>
      </w:r>
    </w:p>
    <w:p>
      <w:pPr>
        <w:ind w:firstLine="562"/>
        <w:rPr>
          <w:rFonts w:ascii="仿宋" w:hAnsi="仿宋" w:eastAsia="仿宋"/>
          <w:b/>
        </w:rPr>
      </w:pPr>
      <w:r>
        <w:rPr>
          <w:rFonts w:hint="eastAsia" w:ascii="仿宋" w:hAnsi="仿宋" w:eastAsia="仿宋"/>
          <w:b/>
        </w:rPr>
        <w:t>进行源头分拣、机械分选或人工分选，减少垃圾终端处理量。</w:t>
      </w:r>
      <w:r>
        <w:rPr>
          <w:rFonts w:hint="eastAsia" w:ascii="仿宋" w:hAnsi="仿宋" w:eastAsia="仿宋"/>
        </w:rPr>
        <w:t>各分类小区以“定时、定点、定岗、定责”为基本原则配备分拣员、指导员、志愿者，定时到岗指导居民进行分类投放，对混装垃圾进行分拣，并分类收集存放。鼓励有场地条件的写字楼、商厦、旅馆、医院，对从公共区域收集的其他垃圾进行源头分拣，规范建设垃圾分拣点，分出其中的可回收物、厨余垃圾。在有条件的垃圾楼，可通过采用垃圾楼机械分选和人工分选的方式，最大限度增加金属、塑料、纸张等可回收物的</w:t>
      </w:r>
      <w:r>
        <w:rPr>
          <w:rFonts w:ascii="仿宋" w:hAnsi="仿宋" w:eastAsia="仿宋"/>
        </w:rPr>
        <w:t>分</w:t>
      </w:r>
      <w:r>
        <w:rPr>
          <w:rFonts w:hint="eastAsia" w:ascii="仿宋" w:hAnsi="仿宋" w:eastAsia="仿宋"/>
        </w:rPr>
        <w:t>出</w:t>
      </w:r>
      <w:r>
        <w:rPr>
          <w:rFonts w:ascii="仿宋" w:hAnsi="仿宋" w:eastAsia="仿宋"/>
        </w:rPr>
        <w:t>量</w:t>
      </w:r>
      <w:r>
        <w:rPr>
          <w:rFonts w:hint="eastAsia" w:ascii="仿宋" w:hAnsi="仿宋" w:eastAsia="仿宋"/>
        </w:rPr>
        <w:t>。</w:t>
      </w:r>
    </w:p>
    <w:p>
      <w:pPr>
        <w:pStyle w:val="4"/>
        <w:numPr>
          <w:ilvl w:val="0"/>
          <w:numId w:val="7"/>
        </w:numPr>
        <w:rPr>
          <w:rFonts w:ascii="仿宋" w:hAnsi="仿宋" w:eastAsia="仿宋"/>
        </w:rPr>
      </w:pPr>
      <w:r>
        <w:rPr>
          <w:rFonts w:hint="eastAsia" w:ascii="仿宋" w:hAnsi="仿宋" w:eastAsia="仿宋"/>
        </w:rPr>
        <w:t>完善保障措施与长效机制</w:t>
      </w:r>
    </w:p>
    <w:p>
      <w:pPr>
        <w:ind w:firstLine="562"/>
        <w:rPr>
          <w:rFonts w:ascii="仿宋" w:hAnsi="仿宋" w:eastAsia="仿宋"/>
        </w:rPr>
      </w:pPr>
      <w:r>
        <w:rPr>
          <w:rFonts w:hint="eastAsia" w:ascii="仿宋" w:hAnsi="仿宋" w:eastAsia="仿宋"/>
          <w:b/>
        </w:rPr>
        <w:t>坚持党建引领，完善基层治理。</w:t>
      </w:r>
      <w:r>
        <w:rPr>
          <w:rFonts w:hint="eastAsia" w:ascii="仿宋" w:hAnsi="仿宋" w:eastAsia="仿宋"/>
        </w:rPr>
        <w:t>借助党员“双报到”机制，把垃圾分类纳入社区治理，充分发挥社区党组织、居民委员会以及业委会（物管会）、物业企业、辖区单位的作用，用好街巷长、小巷管家等力量。街道督促物业服务企业依法履行生活垃圾分类管理责任人义务。物业企业将垃圾分类纳入日常管理，落实生活垃圾分类管理责任人义务。建立全生命周期的生活垃圾管理系统，鼓励社会专业企业参与垃圾分类与处理，并向社区前端延伸。</w:t>
      </w:r>
    </w:p>
    <w:p>
      <w:pPr>
        <w:ind w:firstLine="562"/>
        <w:rPr>
          <w:rFonts w:ascii="仿宋" w:hAnsi="仿宋" w:eastAsia="仿宋"/>
        </w:rPr>
      </w:pPr>
      <w:r>
        <w:rPr>
          <w:rFonts w:hint="eastAsia" w:ascii="仿宋" w:hAnsi="仿宋" w:eastAsia="仿宋"/>
          <w:b/>
        </w:rPr>
        <w:t>强制垃圾分类，加大执法力度。</w:t>
      </w:r>
      <w:r>
        <w:rPr>
          <w:rFonts w:hint="eastAsia" w:ascii="仿宋" w:hAnsi="仿宋" w:eastAsia="仿宋"/>
        </w:rPr>
        <w:t>严格落实《北京市生活垃圾管理条例》，加大强制执法力度和执法频次。健全垃圾分类日常执法检查机制和联合执法机制，不断推进执法进社区。紧盯生活垃圾分类十类管理责任主体，持续开展集中整治行动，通过执法倒逼机制促进企业、个人自觉履行法定义务和社会责任。将垃圾分类纳入“门前三包”管理范围，由“门前三包”督导员负责指导、督促商业门点进行垃圾分类。</w:t>
      </w:r>
    </w:p>
    <w:p>
      <w:pPr>
        <w:ind w:firstLine="562"/>
        <w:rPr>
          <w:rFonts w:ascii="仿宋" w:hAnsi="仿宋" w:eastAsia="仿宋"/>
        </w:rPr>
      </w:pPr>
      <w:r>
        <w:rPr>
          <w:rFonts w:hint="eastAsia" w:ascii="仿宋" w:hAnsi="仿宋" w:eastAsia="仿宋"/>
          <w:b/>
        </w:rPr>
        <w:t>完善管理体制，强化调研、监督、考核机制。</w:t>
      </w:r>
      <w:r>
        <w:rPr>
          <w:rFonts w:hint="eastAsia" w:ascii="仿宋" w:hAnsi="仿宋" w:eastAsia="仿宋"/>
        </w:rPr>
        <w:t>持续运行垃圾分类联席会议制度（垃圾分类工作专班），建立完善生活垃圾综合管理协调机制，完善垃圾管理配套制度和生活垃圾跨区处理经济补偿机制。积极开展垃圾分类工作调研，了解垃圾分类真实情况，解决垃圾分类推动工作中存在的问题。采用社会监督员制度，聘请垃圾分类社会监督员、垃圾分类检查员等监督指导居民垃圾分类。建立和完善生活垃圾管理的综合考核制度，并纳入政府考核指标。</w:t>
      </w:r>
    </w:p>
    <w:p>
      <w:pPr>
        <w:ind w:firstLine="562"/>
        <w:rPr>
          <w:rFonts w:ascii="仿宋" w:hAnsi="仿宋" w:eastAsia="仿宋"/>
        </w:rPr>
      </w:pPr>
      <w:r>
        <w:rPr>
          <w:rFonts w:hint="eastAsia" w:ascii="仿宋" w:hAnsi="仿宋" w:eastAsia="仿宋"/>
          <w:b/>
        </w:rPr>
        <w:t>加强垃圾分类宣传培训，切实提高环保意识。</w:t>
      </w:r>
      <w:r>
        <w:rPr>
          <w:rFonts w:hint="eastAsia" w:ascii="仿宋" w:hAnsi="仿宋" w:eastAsia="仿宋"/>
        </w:rPr>
        <w:t>持续开展垃圾分类相关主题活动和培训，树立医院、学校、社区、商超等各领域垃圾分类典型案例，大力宣传，逐步推开。广泛推行垃圾分类知识“进机关、进校园、进课堂”，重点深入开展中小学垃圾分类教育，普及分类知识。加大垃圾分类公益广告投播力度，联合电视、报纸、新媒体等多种媒介，营造更浓厚的宣传氛围。紧密结合西城家园APP，开发多场景应用，寓教于乐。充分发挥垃圾分类指导员、党员、小巷管家和城市管理志愿者作用，引导广大市民“减、分、投”。十四五期间，居民垃圾分类知晓率、参与率、正确投放率不断提高，厨余垃圾分出率始终不低于20%。到2022年全面推进垃圾分类示范片区创建工作，实现覆盖率100%。到2025年末，居民垃圾分类参与率达到90%，生活垃圾回收利用率达到40%。</w:t>
      </w:r>
    </w:p>
    <w:p>
      <w:pPr>
        <w:pStyle w:val="3"/>
        <w:rPr>
          <w:rFonts w:ascii="仿宋" w:hAnsi="仿宋" w:eastAsia="仿宋"/>
        </w:rPr>
      </w:pPr>
      <w:bookmarkStart w:id="36" w:name="_Toc58491514"/>
      <w:r>
        <w:rPr>
          <w:rFonts w:hint="eastAsia" w:ascii="仿宋" w:hAnsi="仿宋" w:eastAsia="仿宋"/>
        </w:rPr>
        <w:t>五、打造首善之区节水示范及“幸福河湖”新名片</w:t>
      </w:r>
      <w:bookmarkEnd w:id="36"/>
    </w:p>
    <w:p>
      <w:pPr>
        <w:pStyle w:val="4"/>
        <w:numPr>
          <w:ilvl w:val="0"/>
          <w:numId w:val="8"/>
        </w:numPr>
        <w:rPr>
          <w:rFonts w:ascii="仿宋" w:hAnsi="仿宋" w:eastAsia="仿宋"/>
        </w:rPr>
      </w:pPr>
      <w:r>
        <w:rPr>
          <w:rFonts w:hint="eastAsia" w:ascii="仿宋" w:hAnsi="仿宋" w:eastAsia="仿宋"/>
        </w:rPr>
        <w:t>全面深化</w:t>
      </w:r>
      <w:r>
        <w:rPr>
          <w:rFonts w:ascii="仿宋" w:hAnsi="仿宋" w:eastAsia="仿宋"/>
        </w:rPr>
        <w:t>落实</w:t>
      </w:r>
      <w:r>
        <w:rPr>
          <w:rFonts w:hint="eastAsia" w:ascii="仿宋" w:hAnsi="仿宋" w:eastAsia="仿宋"/>
        </w:rPr>
        <w:t>北京节水行动</w:t>
      </w:r>
    </w:p>
    <w:p>
      <w:pPr>
        <w:ind w:firstLine="562"/>
        <w:rPr>
          <w:rFonts w:ascii="仿宋" w:hAnsi="仿宋" w:eastAsia="仿宋"/>
          <w:szCs w:val="28"/>
        </w:rPr>
      </w:pPr>
      <w:r>
        <w:rPr>
          <w:rFonts w:hint="eastAsia" w:ascii="仿宋" w:hAnsi="仿宋" w:eastAsia="仿宋"/>
          <w:b/>
          <w:szCs w:val="28"/>
        </w:rPr>
        <w:t>继续把水资源作为最大的刚性约束，强化用水管理。</w:t>
      </w:r>
      <w:r>
        <w:rPr>
          <w:rFonts w:hint="eastAsia" w:ascii="仿宋" w:hAnsi="仿宋" w:eastAsia="仿宋"/>
          <w:szCs w:val="28"/>
        </w:rPr>
        <w:t>落实“节水优先”战略和“四定”原则要求，推进把水资源作为最大的刚性约束。健全分区域、分行业的用水总量、用水强度控制指标体系，明确节水责任主体，强化用水管理。根据年度用水计划、相关行业用水定额和用水单位的生活、生产经营需要，核定下达用水指标到用水单位，严格实施“单月预警、双月考核”及非居民用水超额计划累进加价制度。强化节水监督考核，逐步建立节水目标责任制，将用水计划和用水效率的主要指标纳入经济社会发展综合评价体系，落实最严格水资源管理制度考核。</w:t>
      </w:r>
    </w:p>
    <w:p>
      <w:pPr>
        <w:ind w:firstLine="562"/>
        <w:rPr>
          <w:rFonts w:ascii="仿宋" w:hAnsi="仿宋" w:eastAsia="仿宋"/>
          <w:szCs w:val="28"/>
        </w:rPr>
      </w:pPr>
      <w:r>
        <w:rPr>
          <w:rFonts w:hint="eastAsia" w:ascii="仿宋" w:hAnsi="仿宋" w:eastAsia="仿宋"/>
          <w:b/>
          <w:szCs w:val="28"/>
        </w:rPr>
        <w:t>全面落实北京节水行动，有序推进节水型社会建设。</w:t>
      </w:r>
      <w:r>
        <w:rPr>
          <w:rFonts w:hint="eastAsia" w:ascii="仿宋" w:hAnsi="仿宋" w:eastAsia="仿宋"/>
          <w:szCs w:val="28"/>
        </w:rPr>
        <w:t>全面实施《北京市节水行动实施方案》，细化分解目标任务，制定出台西城节水行动方案和年度实施计划。结合水利部新颁布的节水标准，持续抓好节水载体创建，加快园林、绿化用水再生水替代及精准计量，加强高校等重点单位节水及专项执法检查。同时，继续推广先进适用的节水技术与工艺，推动建立节水型生产方式、生活方式和消费方式。</w:t>
      </w:r>
    </w:p>
    <w:p>
      <w:pPr>
        <w:ind w:firstLine="562"/>
        <w:rPr>
          <w:rFonts w:ascii="仿宋" w:hAnsi="仿宋" w:eastAsia="仿宋"/>
        </w:rPr>
      </w:pPr>
      <w:r>
        <w:rPr>
          <w:rFonts w:hint="eastAsia" w:ascii="仿宋" w:hAnsi="仿宋" w:eastAsia="仿宋"/>
          <w:b/>
          <w:szCs w:val="28"/>
        </w:rPr>
        <w:t>大力开展节水宣传，提高全民节水意识。</w:t>
      </w:r>
      <w:r>
        <w:rPr>
          <w:rFonts w:hint="eastAsia" w:ascii="仿宋" w:hAnsi="仿宋" w:eastAsia="仿宋"/>
          <w:szCs w:val="28"/>
        </w:rPr>
        <w:t>在全区259个社区与街道节水员、社区管水员、专业节水宣传队伍一起，通过线上、线下等多种方式常态开展“节水大讲堂”、家庭节水小窍门、节水器具推广等宣传活动，动员全社会开展深入、持久、自觉的节水行动，全面实现节水社会化。</w:t>
      </w:r>
    </w:p>
    <w:p>
      <w:pPr>
        <w:pStyle w:val="4"/>
        <w:numPr>
          <w:ilvl w:val="0"/>
          <w:numId w:val="8"/>
        </w:numPr>
        <w:rPr>
          <w:rFonts w:ascii="仿宋" w:hAnsi="仿宋" w:eastAsia="仿宋"/>
        </w:rPr>
      </w:pPr>
      <w:r>
        <w:rPr>
          <w:rFonts w:hint="eastAsia" w:ascii="仿宋" w:hAnsi="仿宋" w:eastAsia="仿宋"/>
        </w:rPr>
        <w:t>系统提升水系统精</w:t>
      </w:r>
      <w:r>
        <w:rPr>
          <w:rFonts w:ascii="仿宋" w:hAnsi="仿宋" w:eastAsia="仿宋"/>
        </w:rPr>
        <w:t>治共治</w:t>
      </w:r>
      <w:r>
        <w:rPr>
          <w:rFonts w:hint="eastAsia" w:ascii="仿宋" w:hAnsi="仿宋" w:eastAsia="仿宋"/>
        </w:rPr>
        <w:t>能力</w:t>
      </w:r>
    </w:p>
    <w:p>
      <w:pPr>
        <w:ind w:firstLine="562"/>
        <w:rPr>
          <w:rFonts w:ascii="仿宋" w:hAnsi="仿宋" w:eastAsia="仿宋"/>
        </w:rPr>
      </w:pPr>
      <w:r>
        <w:rPr>
          <w:rFonts w:hint="eastAsia" w:ascii="仿宋" w:hAnsi="仿宋" w:eastAsia="仿宋"/>
          <w:b/>
          <w:bCs/>
        </w:rPr>
        <w:t>系统提升水务服务保障水平，加强水安全保障，强化水环境监管。</w:t>
      </w:r>
      <w:r>
        <w:rPr>
          <w:rFonts w:hint="eastAsia" w:ascii="仿宋" w:hAnsi="仿宋" w:eastAsia="仿宋"/>
        </w:rPr>
        <w:t>结合老城整体保护与复兴，消隐改造老旧供水管网，并采取雨污分流、截流、调蓄和海绵化改造等综合措施改造老城排水系统，构建安全可靠的防洪排涝工程体系，降低内涝风险。同时，将河长制与背街小巷环境整治提升、街区整理等专项工作相结合，坚持水岸同治思维，深入落实河长制湖长制工作制度要求，坚持开展全流域“清河行动”和河湖“清四乱”，压实各级河（湖）长责任，督促各级河长、湖长和巡河、巡湖人员按照规定开展河湖巡查，及时发现、高效处理问题。研究建立河湖水系与滨水空间一体化管控机制。</w:t>
      </w:r>
    </w:p>
    <w:p>
      <w:pPr>
        <w:ind w:firstLine="562"/>
        <w:rPr>
          <w:rFonts w:ascii="仿宋" w:hAnsi="仿宋" w:eastAsia="仿宋"/>
        </w:rPr>
      </w:pPr>
      <w:r>
        <w:rPr>
          <w:rFonts w:hint="eastAsia" w:ascii="仿宋" w:hAnsi="仿宋" w:eastAsia="仿宋"/>
          <w:b/>
        </w:rPr>
        <w:t>全面加强排水系统信息化、账册化管理，系统推进排水提质增效。</w:t>
      </w:r>
      <w:r>
        <w:rPr>
          <w:rFonts w:hint="eastAsia" w:ascii="仿宋" w:hAnsi="仿宋" w:eastAsia="仿宋"/>
        </w:rPr>
        <w:t>联合排水集团加快制定管网溢流污染和面源污染治理专项工作方案，集中整治雨污管涵混接、错接，围绕排水户、排水管网深入推进“清管行动”及雨水口污染清理治理，并以大栅栏雨水口污染治理为试点逐渐向全区推广。同时，将排水管网堵（漏）、分（流）、修（复）、截（污）、改（造）、补（短）纳入常态化管养，理清排水截流系统,注重对排水管网的排查和周期性检测，实现对管网的信息化、账册化管理,确保排水不畅时责任到人及时疏通整治。</w:t>
      </w:r>
    </w:p>
    <w:p>
      <w:pPr>
        <w:ind w:firstLine="562"/>
        <w:rPr>
          <w:rFonts w:ascii="仿宋" w:hAnsi="仿宋" w:eastAsia="仿宋"/>
        </w:rPr>
      </w:pPr>
      <w:r>
        <w:rPr>
          <w:rFonts w:hint="eastAsia" w:ascii="仿宋" w:hAnsi="仿宋" w:eastAsia="仿宋"/>
          <w:b/>
        </w:rPr>
        <w:t>多方参与全民共管，系统提升水治理能力。</w:t>
      </w:r>
      <w:r>
        <w:rPr>
          <w:rFonts w:hint="eastAsia" w:ascii="仿宋" w:hAnsi="仿宋" w:eastAsia="仿宋"/>
        </w:rPr>
        <w:t>在</w:t>
      </w:r>
      <w:r>
        <w:rPr>
          <w:rFonts w:ascii="仿宋" w:hAnsi="仿宋" w:eastAsia="仿宋"/>
        </w:rPr>
        <w:t>排水集团排水员街道报</w:t>
      </w:r>
      <w:r>
        <w:rPr>
          <w:rFonts w:hint="eastAsia" w:ascii="仿宋" w:hAnsi="仿宋" w:eastAsia="仿宋"/>
        </w:rPr>
        <w:t>到</w:t>
      </w:r>
      <w:r>
        <w:rPr>
          <w:rFonts w:ascii="仿宋" w:hAnsi="仿宋" w:eastAsia="仿宋"/>
        </w:rPr>
        <w:t>的</w:t>
      </w:r>
      <w:r>
        <w:rPr>
          <w:rFonts w:hint="eastAsia" w:ascii="仿宋" w:hAnsi="仿宋" w:eastAsia="仿宋"/>
        </w:rPr>
        <w:t>基础</w:t>
      </w:r>
      <w:r>
        <w:rPr>
          <w:rFonts w:ascii="仿宋" w:hAnsi="仿宋" w:eastAsia="仿宋"/>
        </w:rPr>
        <w:t>上</w:t>
      </w:r>
      <w:r>
        <w:rPr>
          <w:rFonts w:hint="eastAsia" w:ascii="仿宋" w:hAnsi="仿宋" w:eastAsia="仿宋"/>
        </w:rPr>
        <w:t>，联合基层</w:t>
      </w:r>
      <w:r>
        <w:rPr>
          <w:rFonts w:ascii="仿宋" w:hAnsi="仿宋" w:eastAsia="仿宋"/>
        </w:rPr>
        <w:t>党组织、学校</w:t>
      </w:r>
      <w:r>
        <w:rPr>
          <w:rFonts w:hint="eastAsia" w:ascii="仿宋" w:hAnsi="仿宋" w:eastAsia="仿宋"/>
        </w:rPr>
        <w:t>等</w:t>
      </w:r>
      <w:r>
        <w:rPr>
          <w:rFonts w:ascii="仿宋" w:hAnsi="仿宋" w:eastAsia="仿宋"/>
        </w:rPr>
        <w:t>单位招募民间志愿者</w:t>
      </w:r>
      <w:r>
        <w:rPr>
          <w:rFonts w:hint="eastAsia" w:ascii="仿宋" w:hAnsi="仿宋" w:eastAsia="仿宋"/>
        </w:rPr>
        <w:t>、</w:t>
      </w:r>
      <w:r>
        <w:rPr>
          <w:rFonts w:ascii="仿宋" w:hAnsi="仿宋" w:eastAsia="仿宋"/>
        </w:rPr>
        <w:t>民间河长</w:t>
      </w:r>
      <w:r>
        <w:rPr>
          <w:rFonts w:hint="eastAsia" w:ascii="仿宋" w:hAnsi="仿宋" w:eastAsia="仿宋"/>
        </w:rPr>
        <w:t>，</w:t>
      </w:r>
      <w:r>
        <w:rPr>
          <w:rFonts w:ascii="仿宋" w:hAnsi="仿宋" w:eastAsia="仿宋"/>
        </w:rPr>
        <w:t>组建“</w:t>
      </w:r>
      <w:r>
        <w:rPr>
          <w:rFonts w:hint="eastAsia" w:ascii="仿宋" w:hAnsi="仿宋" w:eastAsia="仿宋"/>
        </w:rPr>
        <w:t>青年</w:t>
      </w:r>
      <w:r>
        <w:rPr>
          <w:rFonts w:ascii="仿宋" w:hAnsi="仿宋" w:eastAsia="仿宋"/>
        </w:rPr>
        <w:t>爱河护河志愿服务</w:t>
      </w:r>
      <w:r>
        <w:rPr>
          <w:rFonts w:hint="eastAsia" w:ascii="仿宋" w:hAnsi="仿宋" w:eastAsia="仿宋"/>
        </w:rPr>
        <w:t>队</w:t>
      </w:r>
      <w:r>
        <w:rPr>
          <w:rFonts w:ascii="仿宋" w:hAnsi="仿宋" w:eastAsia="仿宋"/>
        </w:rPr>
        <w:t>”、</w:t>
      </w:r>
      <w:r>
        <w:rPr>
          <w:rFonts w:hint="eastAsia" w:ascii="仿宋" w:hAnsi="仿宋" w:eastAsia="仿宋"/>
        </w:rPr>
        <w:t>“红领巾</w:t>
      </w:r>
      <w:r>
        <w:rPr>
          <w:rFonts w:ascii="仿宋" w:hAnsi="仿宋" w:eastAsia="仿宋"/>
        </w:rPr>
        <w:t>护河志愿服务</w:t>
      </w:r>
      <w:r>
        <w:rPr>
          <w:rFonts w:hint="eastAsia" w:ascii="仿宋" w:hAnsi="仿宋" w:eastAsia="仿宋"/>
        </w:rPr>
        <w:t>队”，</w:t>
      </w:r>
      <w:r>
        <w:rPr>
          <w:rFonts w:ascii="仿宋" w:hAnsi="仿宋" w:eastAsia="仿宋"/>
        </w:rPr>
        <w:t>定期开展</w:t>
      </w:r>
      <w:r>
        <w:rPr>
          <w:rFonts w:hint="eastAsia" w:ascii="仿宋" w:hAnsi="仿宋" w:eastAsia="仿宋"/>
        </w:rPr>
        <w:t>河道</w:t>
      </w:r>
      <w:r>
        <w:rPr>
          <w:rFonts w:ascii="仿宋" w:hAnsi="仿宋" w:eastAsia="仿宋"/>
        </w:rPr>
        <w:t>垃圾清理及“</w:t>
      </w:r>
      <w:r>
        <w:rPr>
          <w:rFonts w:hint="eastAsia" w:ascii="仿宋" w:hAnsi="仿宋" w:eastAsia="仿宋"/>
        </w:rPr>
        <w:t>沿河</w:t>
      </w:r>
      <w:r>
        <w:rPr>
          <w:rFonts w:ascii="仿宋" w:hAnsi="仿宋" w:eastAsia="仿宋"/>
        </w:rPr>
        <w:t>徒步行”</w:t>
      </w:r>
      <w:r>
        <w:rPr>
          <w:rFonts w:hint="eastAsia" w:ascii="仿宋" w:hAnsi="仿宋" w:eastAsia="仿宋"/>
        </w:rPr>
        <w:t>等爱</w:t>
      </w:r>
      <w:r>
        <w:rPr>
          <w:rFonts w:ascii="仿宋" w:hAnsi="仿宋" w:eastAsia="仿宋"/>
        </w:rPr>
        <w:t>河护河主题活动，</w:t>
      </w:r>
      <w:r>
        <w:rPr>
          <w:rFonts w:hint="eastAsia" w:ascii="仿宋" w:hAnsi="仿宋" w:eastAsia="仿宋"/>
          <w:color w:val="333333"/>
          <w:shd w:val="clear" w:color="auto" w:fill="FFFFFF"/>
        </w:rPr>
        <w:t>并通过</w:t>
      </w:r>
      <w:r>
        <w:rPr>
          <w:rFonts w:ascii="仿宋" w:hAnsi="仿宋" w:eastAsia="仿宋"/>
          <w:color w:val="333333"/>
          <w:shd w:val="clear" w:color="auto" w:fill="FFFFFF"/>
        </w:rPr>
        <w:t>入户测评、发放宣传册</w:t>
      </w:r>
      <w:r>
        <w:rPr>
          <w:rFonts w:hint="eastAsia" w:ascii="仿宋" w:hAnsi="仿宋" w:eastAsia="仿宋"/>
          <w:color w:val="333333"/>
          <w:shd w:val="clear" w:color="auto" w:fill="FFFFFF"/>
        </w:rPr>
        <w:t>、</w:t>
      </w:r>
      <w:r>
        <w:rPr>
          <w:rFonts w:ascii="仿宋" w:hAnsi="仿宋" w:eastAsia="仿宋"/>
          <w:color w:val="333333"/>
          <w:shd w:val="clear" w:color="auto" w:fill="FFFFFF"/>
        </w:rPr>
        <w:t>张贴海报</w:t>
      </w:r>
      <w:r>
        <w:rPr>
          <w:rFonts w:hint="eastAsia" w:ascii="仿宋" w:hAnsi="仿宋" w:eastAsia="仿宋"/>
          <w:color w:val="333333"/>
          <w:shd w:val="clear" w:color="auto" w:fill="FFFFFF"/>
        </w:rPr>
        <w:t>、</w:t>
      </w:r>
      <w:r>
        <w:rPr>
          <w:rFonts w:ascii="仿宋" w:hAnsi="仿宋" w:eastAsia="仿宋"/>
          <w:color w:val="333333"/>
          <w:shd w:val="clear" w:color="auto" w:fill="FFFFFF"/>
        </w:rPr>
        <w:t>开展线上有奖问答</w:t>
      </w:r>
      <w:r>
        <w:rPr>
          <w:rFonts w:hint="eastAsia" w:ascii="仿宋" w:hAnsi="仿宋" w:eastAsia="仿宋"/>
          <w:color w:val="333333"/>
          <w:shd w:val="clear" w:color="auto" w:fill="FFFFFF"/>
        </w:rPr>
        <w:t>、</w:t>
      </w:r>
      <w:r>
        <w:rPr>
          <w:rFonts w:ascii="仿宋" w:hAnsi="仿宋" w:eastAsia="仿宋"/>
          <w:color w:val="333333"/>
          <w:shd w:val="clear" w:color="auto" w:fill="FFFFFF"/>
        </w:rPr>
        <w:t>电话回访等</w:t>
      </w:r>
      <w:r>
        <w:rPr>
          <w:rFonts w:hint="eastAsia" w:ascii="仿宋" w:hAnsi="仿宋" w:eastAsia="仿宋"/>
          <w:color w:val="333333"/>
          <w:shd w:val="clear" w:color="auto" w:fill="FFFFFF"/>
        </w:rPr>
        <w:t>多种</w:t>
      </w:r>
      <w:r>
        <w:rPr>
          <w:rFonts w:ascii="仿宋" w:hAnsi="仿宋" w:eastAsia="仿宋"/>
          <w:color w:val="333333"/>
          <w:shd w:val="clear" w:color="auto" w:fill="FFFFFF"/>
        </w:rPr>
        <w:t>形式，向居民介绍水治理工程进展，宣传水污染治理的相关法律知识</w:t>
      </w:r>
      <w:r>
        <w:rPr>
          <w:rFonts w:hint="eastAsia" w:ascii="仿宋" w:hAnsi="仿宋" w:eastAsia="仿宋"/>
        </w:rPr>
        <w:t>，号</w:t>
      </w:r>
      <w:r>
        <w:rPr>
          <w:rFonts w:ascii="仿宋" w:hAnsi="仿宋" w:eastAsia="仿宋"/>
        </w:rPr>
        <w:t>召全</w:t>
      </w:r>
      <w:r>
        <w:rPr>
          <w:rFonts w:hint="eastAsia" w:ascii="仿宋" w:hAnsi="仿宋" w:eastAsia="仿宋"/>
        </w:rPr>
        <w:t>民</w:t>
      </w:r>
      <w:r>
        <w:rPr>
          <w:rFonts w:ascii="仿宋" w:hAnsi="仿宋" w:eastAsia="仿宋"/>
        </w:rPr>
        <w:t>参与城市水治理。</w:t>
      </w:r>
    </w:p>
    <w:p>
      <w:pPr>
        <w:pStyle w:val="4"/>
        <w:numPr>
          <w:ilvl w:val="0"/>
          <w:numId w:val="8"/>
        </w:numPr>
        <w:rPr>
          <w:rFonts w:ascii="仿宋" w:hAnsi="仿宋" w:eastAsia="仿宋"/>
        </w:rPr>
      </w:pPr>
      <w:r>
        <w:rPr>
          <w:rFonts w:hint="eastAsia" w:ascii="仿宋" w:hAnsi="仿宋" w:eastAsia="仿宋"/>
        </w:rPr>
        <w:t>积极落实</w:t>
      </w:r>
      <w:r>
        <w:rPr>
          <w:rFonts w:ascii="仿宋" w:hAnsi="仿宋" w:eastAsia="仿宋"/>
        </w:rPr>
        <w:t>“</w:t>
      </w:r>
      <w:r>
        <w:rPr>
          <w:rFonts w:hint="eastAsia" w:ascii="仿宋" w:hAnsi="仿宋" w:eastAsia="仿宋"/>
        </w:rPr>
        <w:t>生态</w:t>
      </w:r>
      <w:r>
        <w:rPr>
          <w:rFonts w:ascii="仿宋" w:hAnsi="仿宋" w:eastAsia="仿宋"/>
        </w:rPr>
        <w:t>+</w:t>
      </w:r>
      <w:r>
        <w:rPr>
          <w:rFonts w:hint="eastAsia" w:ascii="仿宋" w:hAnsi="仿宋" w:eastAsia="仿宋"/>
        </w:rPr>
        <w:t>海绵</w:t>
      </w:r>
      <w:r>
        <w:rPr>
          <w:rFonts w:ascii="仿宋" w:hAnsi="仿宋" w:eastAsia="仿宋"/>
        </w:rPr>
        <w:t>”</w:t>
      </w:r>
      <w:r>
        <w:rPr>
          <w:rFonts w:hint="eastAsia" w:ascii="仿宋" w:hAnsi="仿宋" w:eastAsia="仿宋"/>
        </w:rPr>
        <w:t>建设</w:t>
      </w:r>
      <w:r>
        <w:rPr>
          <w:rFonts w:ascii="仿宋" w:hAnsi="仿宋" w:eastAsia="仿宋"/>
        </w:rPr>
        <w:t>任务</w:t>
      </w:r>
    </w:p>
    <w:p>
      <w:pPr>
        <w:ind w:firstLine="562"/>
        <w:rPr>
          <w:rFonts w:ascii="仿宋" w:hAnsi="仿宋" w:eastAsia="仿宋"/>
        </w:rPr>
      </w:pPr>
      <w:r>
        <w:rPr>
          <w:rFonts w:hint="eastAsia" w:ascii="仿宋" w:hAnsi="仿宋" w:eastAsia="仿宋"/>
          <w:b/>
        </w:rPr>
        <w:t>划定</w:t>
      </w:r>
      <w:r>
        <w:rPr>
          <w:rFonts w:ascii="仿宋" w:hAnsi="仿宋" w:eastAsia="仿宋"/>
          <w:b/>
        </w:rPr>
        <w:t>水</w:t>
      </w:r>
      <w:r>
        <w:rPr>
          <w:rFonts w:hint="eastAsia" w:ascii="仿宋" w:hAnsi="仿宋" w:eastAsia="仿宋"/>
          <w:b/>
        </w:rPr>
        <w:t>生态</w:t>
      </w:r>
      <w:r>
        <w:rPr>
          <w:rFonts w:ascii="仿宋" w:hAnsi="仿宋" w:eastAsia="仿宋"/>
          <w:b/>
        </w:rPr>
        <w:t>空间，</w:t>
      </w:r>
      <w:r>
        <w:rPr>
          <w:rFonts w:hint="eastAsia" w:ascii="仿宋" w:hAnsi="仿宋" w:eastAsia="仿宋"/>
          <w:b/>
        </w:rPr>
        <w:t>全面加强</w:t>
      </w:r>
      <w:r>
        <w:rPr>
          <w:rFonts w:ascii="仿宋" w:hAnsi="仿宋" w:eastAsia="仿宋"/>
          <w:b/>
        </w:rPr>
        <w:t>河湖空间保护与管控。</w:t>
      </w:r>
      <w:r>
        <w:rPr>
          <w:rFonts w:ascii="仿宋" w:hAnsi="仿宋" w:eastAsia="仿宋"/>
        </w:rPr>
        <w:t>积极</w:t>
      </w:r>
      <w:r>
        <w:rPr>
          <w:rFonts w:hint="eastAsia" w:ascii="仿宋" w:hAnsi="仿宋" w:eastAsia="仿宋"/>
        </w:rPr>
        <w:t>落实</w:t>
      </w:r>
      <w:r>
        <w:rPr>
          <w:rFonts w:ascii="仿宋" w:hAnsi="仿宋" w:eastAsia="仿宋"/>
        </w:rPr>
        <w:t>《</w:t>
      </w:r>
      <w:r>
        <w:rPr>
          <w:rFonts w:hint="eastAsia" w:ascii="仿宋" w:hAnsi="仿宋" w:eastAsia="仿宋"/>
        </w:rPr>
        <w:t>北京</w:t>
      </w:r>
      <w:r>
        <w:rPr>
          <w:rFonts w:ascii="仿宋" w:hAnsi="仿宋" w:eastAsia="仿宋"/>
        </w:rPr>
        <w:t>市河湖水生态空间划定及管控规划技术指导意见》</w:t>
      </w:r>
      <w:r>
        <w:rPr>
          <w:rFonts w:hint="eastAsia" w:ascii="仿宋" w:hAnsi="仿宋" w:eastAsia="仿宋"/>
        </w:rPr>
        <w:t>，</w:t>
      </w:r>
      <w:r>
        <w:rPr>
          <w:rFonts w:ascii="仿宋" w:hAnsi="仿宋" w:eastAsia="仿宋"/>
        </w:rPr>
        <w:t>统筹分析河岸、河道、水体的相互关系，</w:t>
      </w:r>
      <w:r>
        <w:rPr>
          <w:rFonts w:ascii="仿宋" w:hAnsi="仿宋" w:eastAsia="仿宋" w:cs="Times New Roman"/>
          <w:szCs w:val="24"/>
        </w:rPr>
        <w:t>划定河道水域用地和控制范围，明确亲水空间边界</w:t>
      </w:r>
      <w:r>
        <w:rPr>
          <w:rFonts w:hint="eastAsia" w:ascii="仿宋" w:hAnsi="仿宋" w:eastAsia="仿宋"/>
        </w:rPr>
        <w:t>，</w:t>
      </w:r>
      <w:r>
        <w:rPr>
          <w:rFonts w:ascii="仿宋" w:hAnsi="仿宋" w:eastAsia="仿宋"/>
        </w:rPr>
        <w:t>并与</w:t>
      </w:r>
      <w:r>
        <w:rPr>
          <w:rFonts w:hint="eastAsia" w:ascii="仿宋" w:hAnsi="仿宋" w:eastAsia="仿宋"/>
        </w:rPr>
        <w:t>核心区控规充分</w:t>
      </w:r>
      <w:r>
        <w:rPr>
          <w:rFonts w:ascii="仿宋" w:hAnsi="仿宋" w:eastAsia="仿宋"/>
        </w:rPr>
        <w:t>衔接</w:t>
      </w:r>
      <w:r>
        <w:rPr>
          <w:rFonts w:hint="eastAsia" w:ascii="仿宋" w:hAnsi="仿宋" w:eastAsia="仿宋"/>
        </w:rPr>
        <w:t>，</w:t>
      </w:r>
      <w:r>
        <w:rPr>
          <w:rFonts w:ascii="仿宋" w:hAnsi="仿宋" w:eastAsia="仿宋" w:cs="Times New Roman"/>
          <w:szCs w:val="24"/>
        </w:rPr>
        <w:t>强化水系周边生态缓冲带保护、公共空间建设与滨水建筑管控</w:t>
      </w:r>
      <w:r>
        <w:rPr>
          <w:rFonts w:ascii="仿宋" w:hAnsi="仿宋" w:eastAsia="仿宋"/>
        </w:rPr>
        <w:t>。</w:t>
      </w:r>
    </w:p>
    <w:p>
      <w:pPr>
        <w:ind w:firstLine="562"/>
        <w:rPr>
          <w:rFonts w:ascii="仿宋" w:hAnsi="仿宋" w:eastAsia="仿宋"/>
        </w:rPr>
      </w:pPr>
      <w:r>
        <w:rPr>
          <w:rFonts w:hint="eastAsia" w:ascii="仿宋" w:hAnsi="仿宋" w:eastAsia="仿宋"/>
          <w:b/>
          <w:bCs/>
        </w:rPr>
        <w:t>联合</w:t>
      </w:r>
      <w:r>
        <w:rPr>
          <w:rFonts w:ascii="仿宋" w:hAnsi="仿宋" w:eastAsia="仿宋"/>
          <w:b/>
          <w:bCs/>
        </w:rPr>
        <w:t>各相关部门，协同推进海绵城市建设工程。</w:t>
      </w:r>
      <w:r>
        <w:rPr>
          <w:rFonts w:hint="eastAsia" w:ascii="仿宋" w:hAnsi="仿宋" w:eastAsia="仿宋"/>
        </w:rPr>
        <w:t>结合城市更新、背街小巷整治、河湖水系生态保护、道路系统升级改造、景观环境提升等工作，充分融入海绵城市建设理念，联合规划、建设、水务、财政、园林等多部门统筹推进建设工作，助力西城区的海绵城市建设，到2025年末，“70%降雨就地消纳和利用的城市建成区比例”达到市级要求。鼓励已建建筑与小区、商业区等结合自身有机更新、植物维护、景观提升等途径，有计划地进行海绵提升，增加雨水利用；现状道路在道路维护、排水设施提标改造过程</w:t>
      </w:r>
      <w:r>
        <w:rPr>
          <w:rFonts w:ascii="仿宋" w:hAnsi="仿宋" w:eastAsia="仿宋"/>
        </w:rPr>
        <w:t>中，</w:t>
      </w:r>
      <w:r>
        <w:rPr>
          <w:rFonts w:hint="eastAsia" w:ascii="仿宋" w:hAnsi="仿宋" w:eastAsia="仿宋"/>
        </w:rPr>
        <w:t>宜在满足必要使用功能的前提下尽可能减少硬化面积和硬化施工；已建公园绿地可结合植物维护、景观提升等实际需要，适当地进行海绵化提升。</w:t>
      </w:r>
    </w:p>
    <w:p>
      <w:pPr>
        <w:pStyle w:val="4"/>
        <w:numPr>
          <w:ilvl w:val="0"/>
          <w:numId w:val="8"/>
        </w:numPr>
        <w:rPr>
          <w:rFonts w:ascii="仿宋" w:hAnsi="仿宋" w:eastAsia="仿宋"/>
        </w:rPr>
      </w:pPr>
      <w:r>
        <w:rPr>
          <w:rFonts w:hint="eastAsia" w:ascii="仿宋" w:hAnsi="仿宋" w:eastAsia="仿宋"/>
        </w:rPr>
        <w:t>助推历史水系</w:t>
      </w:r>
      <w:r>
        <w:rPr>
          <w:rFonts w:ascii="仿宋" w:hAnsi="仿宋" w:eastAsia="仿宋"/>
        </w:rPr>
        <w:t>恢复提升</w:t>
      </w:r>
      <w:r>
        <w:rPr>
          <w:rFonts w:hint="eastAsia" w:ascii="仿宋" w:hAnsi="仿宋" w:eastAsia="仿宋"/>
        </w:rPr>
        <w:t>河湖</w:t>
      </w:r>
      <w:r>
        <w:rPr>
          <w:rFonts w:ascii="仿宋" w:hAnsi="仿宋" w:eastAsia="仿宋"/>
        </w:rPr>
        <w:t>景观</w:t>
      </w:r>
    </w:p>
    <w:p>
      <w:pPr>
        <w:ind w:firstLine="562"/>
        <w:rPr>
          <w:rFonts w:ascii="仿宋" w:hAnsi="仿宋" w:eastAsia="仿宋"/>
        </w:rPr>
      </w:pPr>
      <w:r>
        <w:rPr>
          <w:rFonts w:hint="eastAsia" w:ascii="仿宋" w:hAnsi="仿宋" w:eastAsia="仿宋"/>
          <w:b/>
        </w:rPr>
        <w:t>深挖古都历史文化，推动历史水系恢复。</w:t>
      </w:r>
      <w:r>
        <w:rPr>
          <w:rFonts w:hint="eastAsia" w:ascii="仿宋" w:hAnsi="仿宋" w:eastAsia="仿宋"/>
        </w:rPr>
        <w:t>积极配合完成西板桥明渠北段（北海-景山公园西门）历史河道恢复及前三门护城河正阳门段恢复，优化南岸建筑界面及公共空间，</w:t>
      </w:r>
      <w:r>
        <w:rPr>
          <w:rFonts w:ascii="仿宋" w:hAnsi="仿宋" w:eastAsia="仿宋"/>
        </w:rPr>
        <w:t>并</w:t>
      </w:r>
      <w:r>
        <w:rPr>
          <w:rFonts w:hint="eastAsia" w:ascii="仿宋" w:hAnsi="仿宋" w:eastAsia="仿宋"/>
        </w:rPr>
        <w:t>综合运用各种手段让历史文化融入城市景观，推动历史水系恢复，</w:t>
      </w:r>
      <w:r>
        <w:rPr>
          <w:rFonts w:ascii="仿宋" w:hAnsi="仿宋" w:eastAsia="仿宋" w:cs="Times New Roman"/>
          <w:szCs w:val="24"/>
        </w:rPr>
        <w:t>加强水系互联互通，</w:t>
      </w:r>
      <w:r>
        <w:rPr>
          <w:rFonts w:hint="eastAsia" w:ascii="仿宋" w:hAnsi="仿宋" w:eastAsia="仿宋"/>
        </w:rPr>
        <w:t>再现</w:t>
      </w:r>
      <w:r>
        <w:rPr>
          <w:rFonts w:ascii="仿宋" w:hAnsi="仿宋" w:eastAsia="仿宋"/>
        </w:rPr>
        <w:t>“</w:t>
      </w:r>
      <w:r>
        <w:rPr>
          <w:rFonts w:hint="eastAsia" w:ascii="仿宋" w:hAnsi="仿宋" w:eastAsia="仿宋"/>
        </w:rPr>
        <w:t>六海</w:t>
      </w:r>
      <w:r>
        <w:rPr>
          <w:rFonts w:ascii="仿宋" w:hAnsi="仿宋" w:eastAsia="仿宋"/>
        </w:rPr>
        <w:t xml:space="preserve">映日月、八水绕京华” </w:t>
      </w:r>
      <w:r>
        <w:rPr>
          <w:rFonts w:hint="eastAsia" w:ascii="仿宋" w:hAnsi="仿宋" w:eastAsia="仿宋"/>
        </w:rPr>
        <w:t>的历史风貌。</w:t>
      </w:r>
    </w:p>
    <w:p>
      <w:pPr>
        <w:ind w:firstLine="562"/>
        <w:rPr>
          <w:rFonts w:ascii="仿宋" w:hAnsi="仿宋" w:eastAsia="仿宋"/>
          <w:bCs/>
        </w:rPr>
      </w:pPr>
      <w:r>
        <w:rPr>
          <w:rFonts w:hint="eastAsia" w:ascii="仿宋" w:hAnsi="仿宋" w:eastAsia="仿宋"/>
          <w:b/>
        </w:rPr>
        <w:t>积极打造环海景观带，提供</w:t>
      </w:r>
      <w:r>
        <w:rPr>
          <w:rFonts w:ascii="仿宋" w:hAnsi="仿宋" w:eastAsia="仿宋"/>
          <w:b/>
        </w:rPr>
        <w:t>“</w:t>
      </w:r>
      <w:r>
        <w:rPr>
          <w:rFonts w:hint="eastAsia" w:ascii="仿宋" w:hAnsi="仿宋" w:eastAsia="仿宋"/>
          <w:b/>
        </w:rPr>
        <w:t>幸福河湖</w:t>
      </w:r>
      <w:r>
        <w:rPr>
          <w:rFonts w:ascii="仿宋" w:hAnsi="仿宋" w:eastAsia="仿宋"/>
          <w:b/>
        </w:rPr>
        <w:t>”</w:t>
      </w:r>
      <w:r>
        <w:rPr>
          <w:rFonts w:hint="eastAsia" w:ascii="仿宋" w:hAnsi="仿宋" w:eastAsia="仿宋"/>
          <w:b/>
        </w:rPr>
        <w:t>近水亲水体检。</w:t>
      </w:r>
      <w:r>
        <w:rPr>
          <w:rFonts w:ascii="仿宋" w:hAnsi="仿宋" w:eastAsia="仿宋"/>
          <w:bCs/>
        </w:rPr>
        <w:t>借助</w:t>
      </w:r>
      <w:r>
        <w:rPr>
          <w:rFonts w:hint="eastAsia" w:ascii="仿宋" w:hAnsi="仿宋" w:eastAsia="仿宋"/>
          <w:bCs/>
        </w:rPr>
        <w:t>西城</w:t>
      </w:r>
      <w:r>
        <w:rPr>
          <w:rFonts w:ascii="仿宋" w:hAnsi="仿宋" w:eastAsia="仿宋"/>
          <w:bCs/>
        </w:rPr>
        <w:t>现有“</w:t>
      </w:r>
      <w:r>
        <w:rPr>
          <w:rFonts w:hint="eastAsia" w:ascii="仿宋" w:hAnsi="仿宋" w:eastAsia="仿宋"/>
          <w:bCs/>
        </w:rPr>
        <w:t>优美河湖</w:t>
      </w:r>
      <w:r>
        <w:rPr>
          <w:rFonts w:ascii="仿宋" w:hAnsi="仿宋" w:eastAsia="仿宋"/>
          <w:bCs/>
        </w:rPr>
        <w:t>”</w:t>
      </w:r>
      <w:r>
        <w:rPr>
          <w:rFonts w:hint="eastAsia" w:ascii="仿宋" w:hAnsi="仿宋" w:eastAsia="仿宋"/>
          <w:bCs/>
        </w:rPr>
        <w:t>的</w:t>
      </w:r>
      <w:r>
        <w:rPr>
          <w:rFonts w:ascii="仿宋" w:hAnsi="仿宋" w:eastAsia="仿宋"/>
          <w:bCs/>
        </w:rPr>
        <w:t>品牌效应，结合历史水系</w:t>
      </w:r>
      <w:r>
        <w:rPr>
          <w:rFonts w:hint="eastAsia" w:ascii="仿宋" w:hAnsi="仿宋" w:eastAsia="仿宋"/>
          <w:bCs/>
        </w:rPr>
        <w:t>保护</w:t>
      </w:r>
      <w:r>
        <w:rPr>
          <w:rFonts w:ascii="仿宋" w:hAnsi="仿宋" w:eastAsia="仿宋"/>
          <w:bCs/>
        </w:rPr>
        <w:t>与恢复，着力打</w:t>
      </w:r>
      <w:r>
        <w:rPr>
          <w:rFonts w:hint="eastAsia" w:ascii="仿宋" w:hAnsi="仿宋" w:eastAsia="仿宋"/>
          <w:bCs/>
        </w:rPr>
        <w:t>通</w:t>
      </w:r>
      <w:r>
        <w:rPr>
          <w:rFonts w:ascii="仿宋" w:hAnsi="仿宋" w:eastAsia="仿宋"/>
          <w:bCs/>
        </w:rPr>
        <w:t>滨水步道断点与堵点，</w:t>
      </w:r>
      <w:r>
        <w:rPr>
          <w:rFonts w:hint="eastAsia" w:ascii="仿宋" w:hAnsi="仿宋" w:eastAsia="仿宋"/>
          <w:bCs/>
        </w:rPr>
        <w:t>将沿线的公园、绿地、文物古迹、滨水绿廊、博物馆、休闲设施和特色驿站用绿道串联起来，利用环湖滨水步道打造亲水宜人、极富老北京传统韵味的</w:t>
      </w:r>
      <w:r>
        <w:rPr>
          <w:rFonts w:ascii="仿宋" w:hAnsi="仿宋" w:eastAsia="仿宋"/>
          <w:bCs/>
        </w:rPr>
        <w:t>环海景观带，</w:t>
      </w:r>
      <w:r>
        <w:rPr>
          <w:rFonts w:hint="eastAsia" w:ascii="仿宋" w:hAnsi="仿宋" w:eastAsia="仿宋"/>
          <w:bCs/>
        </w:rPr>
        <w:t>为</w:t>
      </w:r>
      <w:r>
        <w:rPr>
          <w:rFonts w:ascii="仿宋" w:hAnsi="仿宋" w:eastAsia="仿宋"/>
          <w:bCs/>
        </w:rPr>
        <w:t>居民提供连续开放、绿荫</w:t>
      </w:r>
      <w:r>
        <w:rPr>
          <w:rFonts w:hint="eastAsia" w:ascii="仿宋" w:hAnsi="仿宋" w:eastAsia="仿宋"/>
          <w:bCs/>
        </w:rPr>
        <w:t>环绕</w:t>
      </w:r>
      <w:r>
        <w:rPr>
          <w:rFonts w:ascii="仿宋" w:hAnsi="仿宋" w:eastAsia="仿宋"/>
          <w:bCs/>
        </w:rPr>
        <w:t>、人水和谐的</w:t>
      </w:r>
      <w:r>
        <w:rPr>
          <w:rFonts w:hint="eastAsia" w:ascii="仿宋" w:hAnsi="仿宋" w:eastAsia="仿宋"/>
          <w:bCs/>
        </w:rPr>
        <w:t>亲水</w:t>
      </w:r>
      <w:r>
        <w:rPr>
          <w:rFonts w:ascii="仿宋" w:hAnsi="仿宋" w:eastAsia="仿宋"/>
          <w:bCs/>
        </w:rPr>
        <w:t>近水体验</w:t>
      </w:r>
      <w:r>
        <w:rPr>
          <w:rFonts w:hint="eastAsia" w:ascii="仿宋" w:hAnsi="仿宋" w:eastAsia="仿宋"/>
          <w:bCs/>
        </w:rPr>
        <w:t>。</w:t>
      </w:r>
    </w:p>
    <w:p>
      <w:pPr>
        <w:pStyle w:val="3"/>
        <w:rPr>
          <w:rFonts w:ascii="仿宋" w:hAnsi="仿宋" w:eastAsia="仿宋"/>
        </w:rPr>
      </w:pPr>
      <w:bookmarkStart w:id="37" w:name="_Toc58491515"/>
      <w:r>
        <w:rPr>
          <w:rFonts w:hint="eastAsia" w:ascii="仿宋" w:hAnsi="仿宋" w:eastAsia="仿宋"/>
        </w:rPr>
        <w:t>六、创建高效便捷、绿色友好的出行环境</w:t>
      </w:r>
      <w:bookmarkEnd w:id="37"/>
    </w:p>
    <w:p>
      <w:pPr>
        <w:pStyle w:val="4"/>
        <w:numPr>
          <w:ilvl w:val="0"/>
          <w:numId w:val="9"/>
        </w:numPr>
        <w:rPr>
          <w:rFonts w:ascii="仿宋" w:hAnsi="仿宋" w:eastAsia="仿宋"/>
        </w:rPr>
      </w:pPr>
      <w:r>
        <w:rPr>
          <w:rFonts w:hint="eastAsia" w:ascii="仿宋" w:hAnsi="仿宋" w:eastAsia="仿宋"/>
        </w:rPr>
        <w:t>持续推进道路养护及交通组织优化工程</w:t>
      </w:r>
    </w:p>
    <w:p>
      <w:pPr>
        <w:spacing w:before="156" w:beforeLines="50" w:after="156" w:afterLines="50" w:line="520" w:lineRule="exact"/>
        <w:ind w:firstLine="562"/>
        <w:rPr>
          <w:rFonts w:ascii="仿宋" w:hAnsi="仿宋" w:eastAsia="仿宋"/>
          <w:color w:val="FF0000"/>
        </w:rPr>
      </w:pPr>
      <w:r>
        <w:rPr>
          <w:rFonts w:hint="eastAsia" w:ascii="仿宋" w:hAnsi="仿宋" w:eastAsia="仿宋" w:cs="Times New Roman"/>
          <w:b/>
          <w:bCs/>
          <w:szCs w:val="24"/>
        </w:rPr>
        <w:t>大力推进道路大中修工程，加大交通疏堵力度。</w:t>
      </w:r>
      <w:r>
        <w:rPr>
          <w:rFonts w:hint="eastAsia" w:ascii="仿宋" w:hAnsi="仿宋" w:eastAsia="仿宋" w:cs="Times New Roman"/>
          <w:szCs w:val="24"/>
        </w:rPr>
        <w:t>加快市政道路建设，打通“断头路”，推进道路大中修工程和交通疏堵工程，到2</w:t>
      </w:r>
      <w:r>
        <w:rPr>
          <w:rFonts w:ascii="仿宋" w:hAnsi="仿宋" w:eastAsia="仿宋" w:cs="Times New Roman"/>
          <w:szCs w:val="24"/>
        </w:rPr>
        <w:t>025</w:t>
      </w:r>
      <w:r>
        <w:rPr>
          <w:rFonts w:hint="eastAsia" w:ascii="仿宋" w:hAnsi="仿宋" w:eastAsia="仿宋" w:cs="Times New Roman"/>
          <w:szCs w:val="24"/>
        </w:rPr>
        <w:t>年末，使区属道路完好率达到9</w:t>
      </w:r>
      <w:r>
        <w:rPr>
          <w:rFonts w:ascii="仿宋" w:hAnsi="仿宋" w:eastAsia="仿宋" w:cs="Times New Roman"/>
          <w:szCs w:val="24"/>
        </w:rPr>
        <w:t>6</w:t>
      </w:r>
      <w:r>
        <w:rPr>
          <w:rFonts w:hint="eastAsia" w:ascii="仿宋" w:hAnsi="仿宋" w:eastAsia="仿宋" w:cs="Times New Roman"/>
          <w:szCs w:val="24"/>
        </w:rPr>
        <w:t>%以上。重点加强展览路第一小学、北京市第四中学等中小学幼儿园、北京市积水潭医院等二甲级别以上医院、以及陶然亭、动物园等旅游景区的交通疏堵，提高区域通行效率。加强井盖等设施周边道路维护，提升出行体验。优化交通配套设施，加强重点片区市政道路及道路周边公服设施、护栏、挡车桩等综合治理。对北京北站、金科新区、金融街、动物园等区域及周边范围进行交通优化，从地面交通组织、地下交通工程、市政设施布局等多个方面，提升整体交通环境。</w:t>
      </w:r>
    </w:p>
    <w:p>
      <w:pPr>
        <w:pStyle w:val="4"/>
        <w:numPr>
          <w:ilvl w:val="0"/>
          <w:numId w:val="9"/>
        </w:numPr>
        <w:rPr>
          <w:rFonts w:ascii="仿宋" w:hAnsi="仿宋" w:eastAsia="仿宋"/>
        </w:rPr>
      </w:pPr>
      <w:r>
        <w:rPr>
          <w:rFonts w:hint="eastAsia" w:ascii="仿宋" w:hAnsi="仿宋" w:eastAsia="仿宋"/>
        </w:rPr>
        <w:t>进一步加强停车设施建设及管理</w:t>
      </w:r>
    </w:p>
    <w:p>
      <w:pPr>
        <w:ind w:firstLine="562"/>
        <w:rPr>
          <w:rFonts w:ascii="仿宋" w:hAnsi="仿宋" w:eastAsia="仿宋"/>
        </w:rPr>
      </w:pPr>
      <w:r>
        <w:rPr>
          <w:rFonts w:hint="eastAsia" w:ascii="仿宋" w:hAnsi="仿宋" w:eastAsia="仿宋"/>
          <w:b/>
          <w:bCs/>
        </w:rPr>
        <w:t>加大对停车场备案登记力度，利用各类用地挖掘停车潜力。</w:t>
      </w:r>
      <w:r>
        <w:rPr>
          <w:rFonts w:hint="eastAsia" w:ascii="仿宋" w:hAnsi="仿宋" w:eastAsia="仿宋"/>
        </w:rPr>
        <w:t>利用公共绿地增加停车泊位，积极推进西城区现有城市广场、公共绿地、公园等地下空间的综合改造。协调区教委等相关单位，结合学校改造，利用学校操场增建停车泊位。结合城中村、边角地拆迁改造，协调相关单位，综合考虑停车需求，通过建设“一正三负”立体停车设施等方式，增加停车供给。梳理西城区“城市遗留地”、“征而未建的建设用地”等空闲土地，结合周边停车需求统一规划。利用疏解腾退的院落、厂房、办公场所等空间，深挖停车资源，加快建设停车设施。利用市政道路改造带动停车建设，结合受壁街道路下综合建设市政管廊和地下停车库项目的经验，推进地下停车场建设项目。结合地下人防空间改造项目建设停车泊位，满足老旧小区居民停车需求。</w:t>
      </w:r>
    </w:p>
    <w:p>
      <w:pPr>
        <w:ind w:firstLine="562"/>
        <w:rPr>
          <w:rFonts w:ascii="仿宋" w:hAnsi="仿宋" w:eastAsia="仿宋"/>
        </w:rPr>
      </w:pPr>
      <w:r>
        <w:rPr>
          <w:rFonts w:hint="eastAsia" w:ascii="仿宋" w:hAnsi="仿宋" w:eastAsia="仿宋"/>
          <w:b/>
          <w:bCs/>
        </w:rPr>
        <w:t>结合轨道线路施工，加快推进停车一体化项目。</w:t>
      </w:r>
      <w:r>
        <w:rPr>
          <w:rFonts w:hint="eastAsia" w:ascii="仿宋" w:hAnsi="仿宋" w:eastAsia="仿宋"/>
        </w:rPr>
        <w:t>对地铁线路上未能实施的站前广场、地铁织补工程等项目的用地进行综合利用，对在建的19号线、12号线和未建的3号线西段轨道线路，结合停车一体化项目，综合考虑周边停车问题，集约利用土地，增加基本停车泊位供给。</w:t>
      </w:r>
    </w:p>
    <w:p>
      <w:pPr>
        <w:ind w:firstLine="562"/>
        <w:rPr>
          <w:rFonts w:ascii="仿宋" w:hAnsi="仿宋" w:eastAsia="仿宋"/>
        </w:rPr>
      </w:pPr>
      <w:r>
        <w:rPr>
          <w:rFonts w:hint="eastAsia" w:ascii="仿宋" w:hAnsi="仿宋" w:eastAsia="仿宋"/>
          <w:b/>
          <w:bCs/>
        </w:rPr>
        <w:t>持续推进道路停车改革，鼓励停车资源共享。</w:t>
      </w:r>
      <w:r>
        <w:rPr>
          <w:rFonts w:hint="eastAsia" w:ascii="仿宋" w:hAnsi="仿宋" w:eastAsia="仿宋"/>
        </w:rPr>
        <w:t>提高路侧停车电子收费管理水平，规范治理路侧停车秩序。优化路外停车场管理，加强与企业合作。加强支路胡同违停监管，加快背街小巷停车环境整治。推进错时共享停车项目建设，完善对各停车场开放错时共享的财政补贴政策，制定并出台西城区共享停车实施细则，到</w:t>
      </w:r>
      <w:r>
        <w:rPr>
          <w:rFonts w:hint="eastAsia" w:ascii="仿宋" w:hAnsi="仿宋" w:eastAsia="仿宋" w:cs="Times New Roman"/>
          <w:szCs w:val="24"/>
        </w:rPr>
        <w:t>2</w:t>
      </w:r>
      <w:r>
        <w:rPr>
          <w:rFonts w:ascii="仿宋" w:hAnsi="仿宋" w:eastAsia="仿宋" w:cs="Times New Roman"/>
          <w:szCs w:val="24"/>
        </w:rPr>
        <w:t>025</w:t>
      </w:r>
      <w:r>
        <w:rPr>
          <w:rFonts w:hint="eastAsia" w:ascii="仿宋" w:hAnsi="仿宋" w:eastAsia="仿宋" w:cs="Times New Roman"/>
          <w:szCs w:val="24"/>
        </w:rPr>
        <w:t>年末</w:t>
      </w:r>
      <w:r>
        <w:rPr>
          <w:rFonts w:hint="eastAsia" w:ascii="仿宋" w:hAnsi="仿宋" w:eastAsia="仿宋"/>
        </w:rPr>
        <w:t>，每个街道新增错时共享停车点位达到1处及以上，缓解中心城区主要道路交通拥堵。推进白虚线居住停车自治管理，进一步缓解居住区停车供需矛盾突出的压力。</w:t>
      </w:r>
    </w:p>
    <w:p>
      <w:pPr>
        <w:ind w:firstLine="562"/>
        <w:rPr>
          <w:rFonts w:ascii="仿宋" w:hAnsi="仿宋" w:eastAsia="仿宋"/>
        </w:rPr>
      </w:pPr>
      <w:r>
        <w:rPr>
          <w:rFonts w:hint="eastAsia" w:ascii="仿宋" w:hAnsi="仿宋" w:eastAsia="仿宋"/>
          <w:b/>
          <w:bCs/>
        </w:rPr>
        <w:t>加强互联网租赁自行车管理，推广共享自行车“入栏结算”模式。</w:t>
      </w:r>
      <w:r>
        <w:rPr>
          <w:rFonts w:hint="eastAsia" w:ascii="仿宋" w:hAnsi="仿宋" w:eastAsia="仿宋"/>
        </w:rPr>
        <w:t>统一规范共享单车的停放标准，在轨道交通出入口、人流密集公共场所等重点区域安装电子蓝牙嗅探设备，利用高精准定位技术对互联网自行车采取“定点停放、入栏结算”的管理模式，减少共享单车乱停现象。</w:t>
      </w:r>
    </w:p>
    <w:p>
      <w:pPr>
        <w:pStyle w:val="4"/>
        <w:numPr>
          <w:ilvl w:val="0"/>
          <w:numId w:val="9"/>
        </w:numPr>
        <w:rPr>
          <w:rFonts w:ascii="仿宋" w:hAnsi="仿宋" w:eastAsia="仿宋"/>
        </w:rPr>
      </w:pPr>
      <w:r>
        <w:rPr>
          <w:rFonts w:hint="eastAsia" w:ascii="仿宋" w:hAnsi="仿宋" w:eastAsia="仿宋"/>
        </w:rPr>
        <w:t>加快</w:t>
      </w:r>
      <w:r>
        <w:rPr>
          <w:rFonts w:ascii="仿宋" w:hAnsi="仿宋" w:eastAsia="仿宋"/>
        </w:rPr>
        <w:t>推进</w:t>
      </w:r>
      <w:r>
        <w:rPr>
          <w:rFonts w:hint="eastAsia" w:ascii="仿宋" w:hAnsi="仿宋" w:eastAsia="仿宋"/>
        </w:rPr>
        <w:t>城市林荫道路和</w:t>
      </w:r>
      <w:r>
        <w:rPr>
          <w:rFonts w:ascii="仿宋" w:hAnsi="仿宋" w:eastAsia="仿宋"/>
        </w:rPr>
        <w:t>慢</w:t>
      </w:r>
      <w:r>
        <w:rPr>
          <w:rFonts w:hint="eastAsia" w:ascii="仿宋" w:hAnsi="仿宋" w:eastAsia="仿宋"/>
        </w:rPr>
        <w:t>行</w:t>
      </w:r>
      <w:r>
        <w:rPr>
          <w:rFonts w:ascii="仿宋" w:hAnsi="仿宋" w:eastAsia="仿宋"/>
        </w:rPr>
        <w:t>系统建设</w:t>
      </w:r>
    </w:p>
    <w:p>
      <w:pPr>
        <w:ind w:firstLine="562"/>
        <w:rPr>
          <w:rFonts w:ascii="仿宋" w:hAnsi="仿宋" w:eastAsia="仿宋" w:cs="Times New Roman"/>
          <w:b/>
          <w:bCs/>
          <w:szCs w:val="24"/>
        </w:rPr>
      </w:pPr>
      <w:r>
        <w:rPr>
          <w:rFonts w:hint="eastAsia" w:ascii="仿宋" w:hAnsi="仿宋" w:eastAsia="仿宋" w:cs="Times New Roman"/>
          <w:b/>
          <w:bCs/>
          <w:szCs w:val="24"/>
        </w:rPr>
        <w:t>增加道路绿荫空间，提升公众出行体验。</w:t>
      </w:r>
      <w:r>
        <w:rPr>
          <w:rFonts w:hint="eastAsia" w:ascii="仿宋" w:hAnsi="仿宋" w:eastAsia="仿宋" w:cs="Times New Roman"/>
          <w:szCs w:val="24"/>
        </w:rPr>
        <w:t>到2</w:t>
      </w:r>
      <w:r>
        <w:rPr>
          <w:rFonts w:ascii="仿宋" w:hAnsi="仿宋" w:eastAsia="仿宋" w:cs="Times New Roman"/>
          <w:szCs w:val="24"/>
        </w:rPr>
        <w:t>025</w:t>
      </w:r>
      <w:r>
        <w:rPr>
          <w:rFonts w:hint="eastAsia" w:ascii="仿宋" w:hAnsi="仿宋" w:eastAsia="仿宋" w:cs="Times New Roman"/>
          <w:szCs w:val="24"/>
        </w:rPr>
        <w:t>年末，使绿色出行服务满意率达到9</w:t>
      </w:r>
      <w:r>
        <w:rPr>
          <w:rFonts w:ascii="仿宋" w:hAnsi="仿宋" w:eastAsia="仿宋" w:cs="Times New Roman"/>
          <w:szCs w:val="24"/>
        </w:rPr>
        <w:t>0</w:t>
      </w:r>
      <w:r>
        <w:rPr>
          <w:rFonts w:hint="eastAsia" w:ascii="仿宋" w:hAnsi="仿宋" w:eastAsia="仿宋" w:cs="Times New Roman"/>
          <w:szCs w:val="24"/>
        </w:rPr>
        <w:t>%以上。提高沿街绿荫覆盖，优化城市街道景观，提高绿化及步行空间占比。建设完善林荫路、林荫景观街、林荫漫步道三级林荫街巷，以林荫街巷勾勒强化老城轴线、城廓等历史格局及水系、广场等大型开敞空间边界。结合道路横断面改造方案，增加林荫路两侧行道树和中央绿化带上连续绿荫；补植林荫景观街行道树断点、替换树冠稀疏的行道树，采用国槐等本地浓荫树种或可形成独特街道风貌的树种如银杏（雄株）等；串联滨水空间、公园绿地、历史名园与各类历史文化节点，提高林荫漫步道的连续性与舒适性。</w:t>
      </w:r>
    </w:p>
    <w:p>
      <w:pPr>
        <w:ind w:firstLine="562"/>
        <w:rPr>
          <w:rFonts w:ascii="仿宋" w:hAnsi="仿宋" w:eastAsia="仿宋" w:cs="Times New Roman"/>
          <w:szCs w:val="24"/>
        </w:rPr>
      </w:pPr>
      <w:r>
        <w:rPr>
          <w:rFonts w:hint="eastAsia" w:ascii="仿宋" w:hAnsi="仿宋" w:eastAsia="仿宋" w:cs="Times New Roman"/>
          <w:b/>
          <w:bCs/>
          <w:szCs w:val="24"/>
        </w:rPr>
        <w:t>加强慢行系统建设工作，完善圈层式出行服务。</w:t>
      </w:r>
      <w:r>
        <w:rPr>
          <w:rFonts w:hint="eastAsia" w:ascii="仿宋" w:hAnsi="仿宋" w:eastAsia="仿宋" w:cs="Times New Roman"/>
          <w:szCs w:val="24"/>
        </w:rPr>
        <w:t>加快慢行系统建设，协调交通组织优化、慢行系统、静态交通建设及管理等方面工作，共同打造绿色综合交通体系，进一步提升绿色出行比例。确保慢行系统的连续性，并处理好与公共交通的关系，减少非机动车与公交车辆的交织，</w:t>
      </w:r>
      <w:r>
        <w:rPr>
          <w:rFonts w:hint="eastAsia" w:ascii="仿宋" w:hAnsi="仿宋" w:eastAsia="仿宋"/>
        </w:rPr>
        <w:t>保障自行车骑行路权，实现悦骑，</w:t>
      </w:r>
      <w:r>
        <w:rPr>
          <w:rFonts w:hint="eastAsia" w:ascii="仿宋" w:hAnsi="仿宋" w:eastAsia="仿宋" w:cs="Times New Roman"/>
          <w:szCs w:val="24"/>
        </w:rPr>
        <w:t>缓解交通拥堵压力。完善圈层式出行服务，健全多模式交通系统，1公里生活圈出行以健步为主，</w:t>
      </w:r>
      <w:r>
        <w:rPr>
          <w:rFonts w:ascii="仿宋" w:hAnsi="仿宋" w:eastAsia="仿宋" w:cs="Times New Roman"/>
          <w:szCs w:val="24"/>
        </w:rPr>
        <w:t>1-</w:t>
      </w:r>
      <w:r>
        <w:rPr>
          <w:rFonts w:hint="eastAsia" w:ascii="仿宋" w:hAnsi="仿宋" w:eastAsia="仿宋" w:cs="Times New Roman"/>
          <w:szCs w:val="24"/>
        </w:rPr>
        <w:t>3公里短距离出行以健步和自行车悦骑为主，3</w:t>
      </w:r>
      <w:r>
        <w:rPr>
          <w:rFonts w:ascii="仿宋" w:hAnsi="仿宋" w:eastAsia="仿宋" w:cs="Times New Roman"/>
          <w:szCs w:val="24"/>
        </w:rPr>
        <w:t>-</w:t>
      </w:r>
      <w:r>
        <w:rPr>
          <w:rFonts w:hint="eastAsia" w:ascii="仿宋" w:hAnsi="仿宋" w:eastAsia="仿宋" w:cs="Times New Roman"/>
          <w:szCs w:val="24"/>
        </w:rPr>
        <w:t>8公里中距离出行以自行车悦骑和地面公交畅达为主，实现多样化灵活出行。</w:t>
      </w:r>
    </w:p>
    <w:p>
      <w:pPr>
        <w:ind w:firstLine="562"/>
        <w:rPr>
          <w:rFonts w:ascii="仿宋" w:hAnsi="仿宋" w:eastAsia="仿宋" w:cs="Times New Roman"/>
          <w:szCs w:val="24"/>
        </w:rPr>
      </w:pPr>
      <w:r>
        <w:rPr>
          <w:rFonts w:hint="eastAsia" w:ascii="仿宋" w:hAnsi="仿宋" w:eastAsia="仿宋" w:cs="Times New Roman"/>
          <w:b/>
          <w:bCs/>
          <w:szCs w:val="24"/>
        </w:rPr>
        <w:t>因地制宜制定改造方案，提升慢行交通的出行品质。</w:t>
      </w:r>
      <w:r>
        <w:rPr>
          <w:rFonts w:hint="eastAsia" w:ascii="仿宋" w:hAnsi="仿宋" w:eastAsia="仿宋" w:cs="Arial"/>
          <w:color w:val="191919"/>
          <w:shd w:val="clear" w:color="auto" w:fill="FFFFFF"/>
        </w:rPr>
        <w:t>结合路侧机动车停车位的改造，对于满足条件的道路，采取慢行系统和路侧机动车停车位互换位置的措施，消除驾驶员停车入位时与自行车的冲突隐患。对于人行步道较宽的道路，拆除公交车站后部分人行步道新建非机动车专用通道，实现非机动车道后绕公交车站，机动车和非机动车隔离通行。采用“景、行融合”的概念，在保证慢行系统正常使用的前提下，将慢行系统与周边景观相融合，提升慢行出行体验，在怡人的环境下引导群众回归慢行出行。</w:t>
      </w:r>
    </w:p>
    <w:p>
      <w:pPr>
        <w:pStyle w:val="4"/>
        <w:numPr>
          <w:ilvl w:val="0"/>
          <w:numId w:val="9"/>
        </w:numPr>
        <w:rPr>
          <w:rFonts w:ascii="仿宋" w:hAnsi="仿宋" w:eastAsia="仿宋"/>
        </w:rPr>
      </w:pPr>
      <w:r>
        <w:rPr>
          <w:rFonts w:hint="eastAsia" w:ascii="仿宋" w:hAnsi="仿宋" w:eastAsia="仿宋"/>
        </w:rPr>
        <w:t>强化出行</w:t>
      </w:r>
      <w:r>
        <w:rPr>
          <w:rFonts w:ascii="仿宋" w:hAnsi="仿宋" w:eastAsia="仿宋"/>
        </w:rPr>
        <w:t>空间</w:t>
      </w:r>
      <w:r>
        <w:rPr>
          <w:rFonts w:hint="eastAsia" w:ascii="仿宋" w:hAnsi="仿宋" w:eastAsia="仿宋"/>
        </w:rPr>
        <w:t>的</w:t>
      </w:r>
      <w:r>
        <w:rPr>
          <w:rFonts w:ascii="仿宋" w:hAnsi="仿宋" w:eastAsia="仿宋"/>
        </w:rPr>
        <w:t>无障碍</w:t>
      </w:r>
      <w:r>
        <w:rPr>
          <w:rFonts w:hint="eastAsia" w:ascii="仿宋" w:hAnsi="仿宋" w:eastAsia="仿宋"/>
        </w:rPr>
        <w:t>设施建设</w:t>
      </w:r>
    </w:p>
    <w:p>
      <w:pPr>
        <w:ind w:firstLine="562"/>
        <w:rPr>
          <w:rFonts w:ascii="仿宋" w:hAnsi="仿宋" w:eastAsia="仿宋" w:cs="Times New Roman"/>
          <w:szCs w:val="24"/>
        </w:rPr>
      </w:pPr>
      <w:r>
        <w:rPr>
          <w:rFonts w:hint="eastAsia" w:ascii="仿宋" w:hAnsi="仿宋" w:eastAsia="仿宋" w:cs="Times New Roman"/>
          <w:b/>
          <w:bCs/>
          <w:szCs w:val="24"/>
        </w:rPr>
        <w:t>强化道路无障碍设施建设，提高无障碍设施连续性。</w:t>
      </w:r>
      <w:r>
        <w:rPr>
          <w:rFonts w:hint="eastAsia" w:ascii="仿宋" w:hAnsi="仿宋" w:eastAsia="仿宋"/>
        </w:rPr>
        <w:t>深入开展占道经营、私掘占路整治工作，全面排查全区盲道设置状况，对各类占用盲道行为进行排查整改，对侵占、损毁盲道行为，第一时间进行制止查处，加大盲道日常监管力度，确保盲道帮“盲”。确保人行道在各种路口、出入口位置设置缘石坡道，尽量保证坡面平整、防滑，坡口与车行道之间零高差。加强树池环境整治，加盖篦子并进行平整化处理，实现人行道零高差。有台阶的人行道、过街天桥及地下通道按标准设置满足轮椅通行需求的无障碍坡道、无障碍引导标识，并结合需求配置过街音响提示装置，完善相应管理措施。</w:t>
      </w:r>
      <w:r>
        <w:rPr>
          <w:rFonts w:hint="eastAsia" w:ascii="仿宋" w:hAnsi="仿宋" w:eastAsia="仿宋" w:cs="Times New Roman"/>
          <w:szCs w:val="24"/>
        </w:rPr>
        <w:t>同时实施公交站台无障碍改造，设置进出站台缘石坡道、盲道，方便居民无障碍出行。</w:t>
      </w:r>
    </w:p>
    <w:p>
      <w:pPr>
        <w:ind w:firstLine="562"/>
        <w:rPr>
          <w:rFonts w:ascii="仿宋" w:hAnsi="仿宋" w:eastAsia="仿宋"/>
        </w:rPr>
      </w:pPr>
      <w:r>
        <w:rPr>
          <w:rFonts w:hint="eastAsia" w:ascii="仿宋" w:hAnsi="仿宋" w:eastAsia="仿宋"/>
          <w:b/>
          <w:bCs/>
        </w:rPr>
        <w:t>加强无障碍停车位建设，对备案登记的停车场按规定比例和标准就近设置无障碍停车位。</w:t>
      </w:r>
      <w:r>
        <w:rPr>
          <w:rFonts w:hint="eastAsia" w:ascii="仿宋" w:hAnsi="仿宋" w:eastAsia="仿宋"/>
        </w:rPr>
        <w:t>对已备案的公共停车场、配建停车场和驻车换乘停车场，按2%及以上比例就近设置无障碍停车位。设置轮椅安全通道并设置标识，加强无障碍停车位日常管理，加大执法检查和处罚力度，确保能够正常使用。</w:t>
      </w:r>
    </w:p>
    <w:p>
      <w:pPr>
        <w:pStyle w:val="3"/>
        <w:rPr>
          <w:rFonts w:ascii="仿宋" w:hAnsi="仿宋" w:eastAsia="仿宋"/>
        </w:rPr>
      </w:pPr>
      <w:bookmarkStart w:id="38" w:name="_Toc58491516"/>
      <w:r>
        <w:rPr>
          <w:rFonts w:hint="eastAsia" w:ascii="仿宋" w:hAnsi="仿宋" w:eastAsia="仿宋"/>
        </w:rPr>
        <w:t>七、加强综合应急保障能力建设</w:t>
      </w:r>
      <w:bookmarkEnd w:id="38"/>
    </w:p>
    <w:p>
      <w:pPr>
        <w:pStyle w:val="4"/>
        <w:numPr>
          <w:ilvl w:val="0"/>
          <w:numId w:val="10"/>
        </w:numPr>
        <w:rPr>
          <w:rFonts w:ascii="仿宋" w:hAnsi="仿宋" w:eastAsia="仿宋"/>
        </w:rPr>
      </w:pPr>
      <w:r>
        <w:rPr>
          <w:rFonts w:hint="eastAsia" w:ascii="仿宋" w:hAnsi="仿宋" w:eastAsia="仿宋"/>
        </w:rPr>
        <w:t>建立健全城市管理综合应急保障体系</w:t>
      </w:r>
    </w:p>
    <w:p>
      <w:pPr>
        <w:ind w:firstLine="562"/>
        <w:rPr>
          <w:rFonts w:ascii="仿宋" w:hAnsi="仿宋" w:eastAsia="仿宋"/>
        </w:rPr>
      </w:pPr>
      <w:r>
        <w:rPr>
          <w:rFonts w:hint="eastAsia" w:ascii="仿宋" w:hAnsi="仿宋" w:eastAsia="仿宋"/>
          <w:b/>
          <w:bCs/>
        </w:rPr>
        <w:t>完善应急决策和集中指挥机制。</w:t>
      </w:r>
      <w:r>
        <w:rPr>
          <w:rFonts w:hint="eastAsia" w:ascii="仿宋" w:hAnsi="仿宋" w:eastAsia="仿宋"/>
        </w:rPr>
        <w:t>提升统一指挥和协调处理水平，提升现场处置和救援能力，做到秒级响应、分钟处理。建立应对巨灾的统一应急指挥和责任体系，提升应对突发事件能力。强化基层应急管理，结合网络化社会管理，创新基层公共安全治理体系，建立</w:t>
      </w:r>
      <w:r>
        <w:rPr>
          <w:rFonts w:ascii="仿宋" w:hAnsi="仿宋" w:eastAsia="仿宋"/>
        </w:rPr>
        <w:t>多元化防灾减灾应急组织</w:t>
      </w:r>
      <w:r>
        <w:rPr>
          <w:rFonts w:hint="eastAsia" w:ascii="仿宋" w:hAnsi="仿宋" w:eastAsia="仿宋"/>
        </w:rPr>
        <w:t>体系，加大基层应急管理工作的综合统筹力度。</w:t>
      </w:r>
    </w:p>
    <w:p>
      <w:pPr>
        <w:ind w:firstLine="562"/>
        <w:rPr>
          <w:rFonts w:ascii="仿宋" w:hAnsi="仿宋" w:eastAsia="仿宋"/>
        </w:rPr>
      </w:pPr>
      <w:r>
        <w:rPr>
          <w:rFonts w:hint="eastAsia" w:ascii="仿宋" w:hAnsi="仿宋" w:eastAsia="仿宋"/>
          <w:b/>
          <w:bCs/>
        </w:rPr>
        <w:t>推进应急管理法制体系建设。</w:t>
      </w:r>
      <w:r>
        <w:rPr>
          <w:rFonts w:hint="eastAsia" w:ascii="仿宋" w:hAnsi="仿宋" w:eastAsia="仿宋"/>
        </w:rPr>
        <w:t>坚持法治思维，严格依法依规开展突发事件应急准备、应急处置和善后恢复工作，提升应急管理法治化水平。推动制定、修订城市管理领域法规，进一步明确现场指挥部和指挥员的权限与职责、社会组织和公众参与突发事件应对的权利与义务、社会车辆占用应急通道的法律责任、企事业单位传播突发事件预警信息的社会责任等。广泛开展应急法治宣传普及活动，教育引导公众依法防灾避险和参与突发事件应对。</w:t>
      </w:r>
    </w:p>
    <w:p>
      <w:pPr>
        <w:ind w:firstLine="562"/>
        <w:rPr>
          <w:rFonts w:ascii="仿宋" w:hAnsi="仿宋" w:eastAsia="仿宋"/>
        </w:rPr>
      </w:pPr>
      <w:r>
        <w:rPr>
          <w:rFonts w:hint="eastAsia" w:ascii="仿宋" w:hAnsi="仿宋" w:eastAsia="仿宋"/>
          <w:b/>
          <w:bCs/>
        </w:rPr>
        <w:t>完善突发公共卫生事件应对体系。</w:t>
      </w:r>
      <w:r>
        <w:rPr>
          <w:rFonts w:hint="eastAsia" w:ascii="仿宋" w:hAnsi="仿宋" w:eastAsia="仿宋"/>
        </w:rPr>
        <w:t>构建快速反应机制，坚持底线思维，增强忧患意识，建立智慧化的预警多元触发机制，完善应急预案，分级分类组建卫生应急队伍，提高重大公共卫生事件发现、报告、预警和响应的能力。建设1至2处大型公共建筑可在应急状态时转为方舱医院或后备救济救灾场所。选取2个社区卫生服务中心建设发热筛查哨点，结合已有各级医疗机构发热筛查哨点，实现全区发热筛查有效覆盖。</w:t>
      </w:r>
    </w:p>
    <w:p>
      <w:pPr>
        <w:pStyle w:val="4"/>
        <w:numPr>
          <w:ilvl w:val="0"/>
          <w:numId w:val="10"/>
        </w:numPr>
        <w:rPr>
          <w:rFonts w:ascii="仿宋" w:hAnsi="仿宋" w:eastAsia="仿宋"/>
        </w:rPr>
      </w:pPr>
      <w:r>
        <w:rPr>
          <w:rFonts w:hint="eastAsia" w:ascii="仿宋" w:hAnsi="仿宋" w:eastAsia="仿宋"/>
        </w:rPr>
        <w:t>提升城市公共设施的应急保障能力</w:t>
      </w:r>
    </w:p>
    <w:p>
      <w:pPr>
        <w:ind w:firstLine="562"/>
        <w:rPr>
          <w:rFonts w:ascii="仿宋" w:hAnsi="仿宋" w:eastAsia="仿宋"/>
        </w:rPr>
      </w:pPr>
      <w:r>
        <w:rPr>
          <w:rFonts w:hint="eastAsia" w:ascii="仿宋" w:hAnsi="仿宋" w:eastAsia="仿宋"/>
          <w:b/>
          <w:bCs/>
        </w:rPr>
        <w:t>推进城市安全设施建设。</w:t>
      </w:r>
      <w:r>
        <w:rPr>
          <w:rFonts w:hint="eastAsia" w:ascii="仿宋" w:hAnsi="仿宋" w:eastAsia="仿宋"/>
        </w:rPr>
        <w:t>持续推进多级应急避难场所建设，提高设施覆盖范围，强化敏感要害地区、繁华商业区、公园景区及公共交通地区安全保障，进一步加强消防队站、急救站点建设，加强消防队伍建设。梳理公共区域设施设备，建立设施设备台账及事件处置台账。努力补足街区规划建设短板，优化社区医疗卫生设施配置和服务配置，提高街道和社区治理水平。</w:t>
      </w:r>
    </w:p>
    <w:p>
      <w:pPr>
        <w:ind w:firstLine="562"/>
        <w:rPr>
          <w:rFonts w:ascii="仿宋" w:hAnsi="仿宋" w:eastAsia="仿宋" w:cs="Times New Roman"/>
          <w:szCs w:val="24"/>
        </w:rPr>
      </w:pPr>
      <w:r>
        <w:rPr>
          <w:rFonts w:hint="eastAsia" w:ascii="仿宋" w:hAnsi="仿宋" w:eastAsia="仿宋"/>
          <w:b/>
          <w:bCs/>
        </w:rPr>
        <w:t>加强区域停车设施应急管理。</w:t>
      </w:r>
      <w:r>
        <w:rPr>
          <w:rFonts w:hint="eastAsia" w:ascii="仿宋" w:hAnsi="仿宋" w:eastAsia="仿宋" w:cs="Times New Roman"/>
          <w:szCs w:val="24"/>
        </w:rPr>
        <w:t>加大对停车场备案登记工作力度，针对各类突发情况，统筹协调安排备案停车场营业状况，有效保障停车秩序。制定在重大疫情等特殊情况期间路侧停车的收费标准，引导社会车辆在特殊时期合理停放，减少街边违停现象发生。</w:t>
      </w:r>
    </w:p>
    <w:p>
      <w:pPr>
        <w:ind w:firstLine="562"/>
        <w:rPr>
          <w:rFonts w:ascii="仿宋" w:hAnsi="仿宋" w:eastAsia="仿宋" w:cs="Times New Roman"/>
          <w:szCs w:val="24"/>
        </w:rPr>
      </w:pPr>
      <w:r>
        <w:rPr>
          <w:rFonts w:hint="eastAsia" w:ascii="仿宋" w:hAnsi="仿宋" w:eastAsia="仿宋"/>
          <w:b/>
          <w:bCs/>
        </w:rPr>
        <w:t>完善供排水应急调度指挥系统。</w:t>
      </w:r>
      <w:r>
        <w:rPr>
          <w:rFonts w:hint="eastAsia" w:ascii="仿宋" w:hAnsi="仿宋" w:eastAsia="仿宋"/>
        </w:rPr>
        <w:t>结合智慧水务管理系统，健全完善安全事故、应急预案、资源调度、模拟仿真于一体的可视化、数字化安全应急管理体系，通过涉水区域流程图、</w:t>
      </w:r>
      <w:r>
        <w:rPr>
          <w:rFonts w:ascii="仿宋" w:hAnsi="仿宋" w:eastAsia="仿宋"/>
        </w:rPr>
        <w:t>GIS</w:t>
      </w:r>
      <w:r>
        <w:rPr>
          <w:rFonts w:hint="eastAsia" w:ascii="仿宋" w:hAnsi="仿宋" w:eastAsia="仿宋"/>
        </w:rPr>
        <w:t>跟踪、视频监控、移动应用等多种方式，实现安全应急事件的动态感知、智能分析和辅助决策，提高水务应急调度能力及应急事件响应速度</w:t>
      </w:r>
      <w:r>
        <w:rPr>
          <w:rFonts w:hint="eastAsia" w:ascii="仿宋" w:hAnsi="仿宋" w:eastAsia="仿宋" w:cs="Times New Roman"/>
          <w:szCs w:val="24"/>
        </w:rPr>
        <w:t>。</w:t>
      </w:r>
    </w:p>
    <w:p>
      <w:pPr>
        <w:ind w:firstLine="562"/>
        <w:rPr>
          <w:rFonts w:ascii="仿宋" w:hAnsi="仿宋" w:eastAsia="仿宋"/>
        </w:rPr>
      </w:pPr>
      <w:r>
        <w:rPr>
          <w:rFonts w:hint="eastAsia" w:ascii="仿宋" w:hAnsi="仿宋" w:eastAsia="仿宋"/>
          <w:b/>
          <w:bCs/>
        </w:rPr>
        <w:t>提高突发事件能源供应保障能力。</w:t>
      </w:r>
      <w:r>
        <w:rPr>
          <w:rFonts w:ascii="仿宋" w:hAnsi="仿宋" w:eastAsia="仿宋" w:cs="Times New Roman"/>
          <w:szCs w:val="24"/>
        </w:rPr>
        <w:t>有针对性的加强重点设施、重点区域的能源供应保障</w:t>
      </w:r>
      <w:r>
        <w:rPr>
          <w:rFonts w:hint="eastAsia" w:ascii="仿宋" w:hAnsi="仿宋" w:eastAsia="仿宋" w:cs="Times New Roman"/>
          <w:szCs w:val="24"/>
        </w:rPr>
        <w:t>能力</w:t>
      </w:r>
      <w:r>
        <w:rPr>
          <w:rFonts w:ascii="仿宋" w:hAnsi="仿宋" w:eastAsia="仿宋" w:cs="Times New Roman"/>
          <w:szCs w:val="24"/>
        </w:rPr>
        <w:t>，</w:t>
      </w:r>
      <w:r>
        <w:rPr>
          <w:rFonts w:hint="eastAsia" w:ascii="仿宋" w:hAnsi="仿宋" w:eastAsia="仿宋" w:cs="Times New Roman"/>
          <w:szCs w:val="24"/>
        </w:rPr>
        <w:t>设置备用分散取暖设施、储气设备、基于分布式磷酸铁锂等电池技术的应急发电车等，快速有效</w:t>
      </w:r>
      <w:r>
        <w:rPr>
          <w:rFonts w:ascii="仿宋" w:hAnsi="仿宋" w:eastAsia="仿宋" w:cs="Times New Roman"/>
          <w:szCs w:val="24"/>
        </w:rPr>
        <w:t>应对突发事件，</w:t>
      </w:r>
      <w:r>
        <w:rPr>
          <w:rFonts w:hint="eastAsia" w:ascii="仿宋" w:hAnsi="仿宋" w:eastAsia="仿宋" w:cs="Times New Roman"/>
          <w:szCs w:val="24"/>
        </w:rPr>
        <w:t>满足能源利用需求。</w:t>
      </w:r>
    </w:p>
    <w:p>
      <w:pPr>
        <w:pStyle w:val="4"/>
        <w:numPr>
          <w:ilvl w:val="0"/>
          <w:numId w:val="10"/>
        </w:numPr>
        <w:rPr>
          <w:rFonts w:ascii="仿宋" w:hAnsi="仿宋" w:eastAsia="仿宋"/>
        </w:rPr>
      </w:pPr>
      <w:r>
        <w:rPr>
          <w:rFonts w:hint="eastAsia" w:ascii="仿宋" w:hAnsi="仿宋" w:eastAsia="仿宋"/>
        </w:rPr>
        <w:t>提高</w:t>
      </w:r>
      <w:r>
        <w:rPr>
          <w:rFonts w:ascii="仿宋" w:hAnsi="仿宋" w:eastAsia="仿宋"/>
        </w:rPr>
        <w:t>应对</w:t>
      </w:r>
      <w:r>
        <w:rPr>
          <w:rFonts w:hint="eastAsia" w:ascii="仿宋" w:hAnsi="仿宋" w:eastAsia="仿宋"/>
        </w:rPr>
        <w:t>突发重大公共事件的城市管理能力</w:t>
      </w:r>
    </w:p>
    <w:p>
      <w:pPr>
        <w:ind w:firstLine="562"/>
        <w:rPr>
          <w:rFonts w:ascii="仿宋" w:hAnsi="仿宋" w:eastAsia="仿宋"/>
        </w:rPr>
      </w:pPr>
      <w:r>
        <w:rPr>
          <w:rFonts w:hint="eastAsia" w:ascii="仿宋" w:hAnsi="仿宋" w:eastAsia="仿宋"/>
          <w:b/>
          <w:bCs/>
        </w:rPr>
        <w:t>强化城市公共安全风险管理。</w:t>
      </w:r>
      <w:r>
        <w:rPr>
          <w:rFonts w:hint="eastAsia" w:ascii="仿宋" w:hAnsi="仿宋" w:eastAsia="仿宋"/>
        </w:rPr>
        <w:t>推进城市公共安全风险评估，形成基于地理信息系统的城市风险“一张图”，并对重大风险源进行实时监控。推进生命线工程全生命周期风险管理，做好房屋建筑、城市桥梁、广告牌匾、城市轨道交通（隧道、高架结构）、地下综合管廊和管线等运行使用的风险评估与安全监管。推行常态与应急管理相结合的城市网格化管理模式，建立健全城市应急管理单元，规范网格巡查标准化操作流程。</w:t>
      </w:r>
    </w:p>
    <w:p>
      <w:pPr>
        <w:ind w:firstLine="562"/>
        <w:rPr>
          <w:rFonts w:ascii="仿宋" w:hAnsi="仿宋" w:eastAsia="仿宋"/>
        </w:rPr>
      </w:pPr>
      <w:r>
        <w:rPr>
          <w:rFonts w:hint="eastAsia" w:ascii="仿宋" w:hAnsi="仿宋" w:eastAsia="仿宋"/>
          <w:b/>
          <w:bCs/>
        </w:rPr>
        <w:t>强化属地管理和精准施策。</w:t>
      </w:r>
      <w:r>
        <w:rPr>
          <w:rFonts w:hint="eastAsia" w:ascii="仿宋" w:hAnsi="仿宋" w:eastAsia="仿宋"/>
        </w:rPr>
        <w:t>坚持综合协调、分类指导、属地管理和精准施策的原则，健全区、街道、社区三级应急防控体系及责任体系，同时，结合网格化的社会治理机制，把防控体系触角延伸至网格、小区和楼栋，建立横向到边、纵向到底、全面覆盖、分工协作、信息共享的网络化、常态化的防控体系。</w:t>
      </w:r>
    </w:p>
    <w:p>
      <w:pPr>
        <w:pStyle w:val="3"/>
        <w:rPr>
          <w:rFonts w:ascii="仿宋" w:hAnsi="仿宋" w:eastAsia="仿宋"/>
        </w:rPr>
      </w:pPr>
      <w:bookmarkStart w:id="39" w:name="_Toc58491517"/>
      <w:r>
        <w:rPr>
          <w:rFonts w:hint="eastAsia" w:ascii="仿宋" w:hAnsi="仿宋" w:eastAsia="仿宋"/>
        </w:rPr>
        <w:t>八、着力推进</w:t>
      </w:r>
      <w:r>
        <w:rPr>
          <w:rFonts w:ascii="仿宋" w:hAnsi="仿宋" w:eastAsia="仿宋"/>
        </w:rPr>
        <w:t>城市管理</w:t>
      </w:r>
      <w:r>
        <w:rPr>
          <w:rFonts w:hint="eastAsia" w:ascii="仿宋" w:hAnsi="仿宋" w:eastAsia="仿宋"/>
        </w:rPr>
        <w:t>智慧化建设</w:t>
      </w:r>
      <w:bookmarkEnd w:id="39"/>
    </w:p>
    <w:p>
      <w:pPr>
        <w:pStyle w:val="4"/>
        <w:numPr>
          <w:ilvl w:val="0"/>
          <w:numId w:val="11"/>
        </w:numPr>
        <w:rPr>
          <w:rFonts w:ascii="仿宋" w:hAnsi="仿宋" w:eastAsia="仿宋"/>
        </w:rPr>
      </w:pPr>
      <w:r>
        <w:rPr>
          <w:rFonts w:hint="eastAsia" w:ascii="仿宋" w:hAnsi="仿宋" w:eastAsia="仿宋"/>
        </w:rPr>
        <w:t>强化城市管理的智慧化顶层设计</w:t>
      </w:r>
    </w:p>
    <w:p>
      <w:pPr>
        <w:ind w:firstLine="562"/>
        <w:rPr>
          <w:rFonts w:ascii="仿宋" w:hAnsi="仿宋" w:eastAsia="仿宋"/>
        </w:rPr>
      </w:pPr>
      <w:r>
        <w:rPr>
          <w:rFonts w:hint="eastAsia" w:ascii="仿宋" w:hAnsi="仿宋" w:eastAsia="仿宋"/>
          <w:b/>
        </w:rPr>
        <w:t>加强市、区衔接，进一步厘清西城区在北京市智慧城市建设中的角色和任务。</w:t>
      </w:r>
      <w:r>
        <w:rPr>
          <w:rFonts w:hint="eastAsia" w:ascii="仿宋" w:hAnsi="仿宋" w:eastAsia="仿宋"/>
        </w:rPr>
        <w:t>不断完善西城区城市大脑，</w:t>
      </w:r>
      <w:r>
        <w:rPr>
          <w:rFonts w:ascii="仿宋" w:hAnsi="仿宋" w:eastAsia="仿宋"/>
        </w:rPr>
        <w:t>加强</w:t>
      </w:r>
      <w:r>
        <w:rPr>
          <w:rFonts w:hint="eastAsia" w:ascii="仿宋" w:hAnsi="仿宋" w:eastAsia="仿宋"/>
        </w:rPr>
        <w:t>西城区城市大脑与北京市相关智慧管理平台的有机衔接，推动建设北京市新一代智慧城市有机体。深化“场景对接”，强化在北京市重点关注的市政、交通、</w:t>
      </w:r>
      <w:r>
        <w:rPr>
          <w:rFonts w:ascii="仿宋" w:hAnsi="仿宋" w:eastAsia="仿宋"/>
        </w:rPr>
        <w:t>环保</w:t>
      </w:r>
      <w:r>
        <w:rPr>
          <w:rFonts w:hint="eastAsia" w:ascii="仿宋" w:hAnsi="仿宋" w:eastAsia="仿宋"/>
        </w:rPr>
        <w:t>等领域，以及金融街、西长安街、西单等重点区域的智慧化场景应用，促使西城区重点领域和重点区域的智慧化应用水平大幅提升。</w:t>
      </w:r>
    </w:p>
    <w:p>
      <w:pPr>
        <w:ind w:firstLine="562"/>
        <w:rPr>
          <w:rFonts w:ascii="仿宋" w:hAnsi="仿宋" w:eastAsia="仿宋"/>
        </w:rPr>
      </w:pPr>
      <w:r>
        <w:rPr>
          <w:rFonts w:hint="eastAsia" w:ascii="仿宋" w:hAnsi="仿宋" w:eastAsia="仿宋"/>
          <w:b/>
        </w:rPr>
        <w:t>加强大数据顶层设计和城市管理领域智能中枢建设。</w:t>
      </w:r>
      <w:r>
        <w:rPr>
          <w:rFonts w:hint="eastAsia" w:ascii="仿宋" w:hAnsi="仿宋" w:eastAsia="仿宋"/>
        </w:rPr>
        <w:t>建立数据采集设施设备产权人信息网，推动城市管理领域大数据与西城区大数据体系的衔接，协同构建西城区“一张网、一体云、一中心”的基础设施统筹格局和“一个入口、一个出口”的全区数据交换格局。结合西城区城市大脑建设，构建城市管理领域智能中枢，完善城市大脑的统筹协调功能，推进城市管理领域基础数据融通和共性技术融合。加强城市大脑与区级大数据平台的交互，强化与城市管理各业务部门的对接，形成西城区“一脑统领，智能监测，场景驱动”的智慧化城市管理新局面。</w:t>
      </w:r>
    </w:p>
    <w:p>
      <w:pPr>
        <w:pStyle w:val="4"/>
        <w:numPr>
          <w:ilvl w:val="0"/>
          <w:numId w:val="11"/>
        </w:numPr>
        <w:rPr>
          <w:rFonts w:ascii="仿宋" w:hAnsi="仿宋" w:eastAsia="仿宋"/>
        </w:rPr>
      </w:pPr>
      <w:r>
        <w:rPr>
          <w:rFonts w:hint="eastAsia" w:ascii="仿宋" w:hAnsi="仿宋" w:eastAsia="仿宋"/>
        </w:rPr>
        <w:t>补齐城市管理智慧化平台建设短板</w:t>
      </w:r>
    </w:p>
    <w:p>
      <w:pPr>
        <w:ind w:firstLine="562"/>
        <w:rPr>
          <w:rFonts w:ascii="仿宋" w:hAnsi="仿宋" w:eastAsia="仿宋"/>
        </w:rPr>
      </w:pPr>
      <w:r>
        <w:rPr>
          <w:rFonts w:hint="eastAsia" w:ascii="仿宋" w:hAnsi="仿宋" w:eastAsia="仿宋"/>
          <w:b/>
        </w:rPr>
        <w:t>完善物联网监测体系和城市管理综合巡查体系，提升城市的综合感知能力。</w:t>
      </w:r>
      <w:r>
        <w:rPr>
          <w:rFonts w:hint="eastAsia" w:ascii="仿宋" w:hAnsi="仿宋" w:eastAsia="仿宋"/>
        </w:rPr>
        <w:t>继续发挥物联网监测平台在城市运行动态监测、风险管理、突发事件预测预警及科学应对等方面的优势，以雨雪、积水、井盖监测和大型广告牌倾倒、沿街广告牌匾监管，以及背街小巷二维码等为基础，进一步优化平台职能，加强对各类城市部件的智慧化监测。进一步完善西城区市政市容精细化综合巡查系统，全面加强视野范围内街面环境秩序的现状体检，提升发现与解决问题、协调处置问题的能力。强化物联网监测平台、市政市容精细化综合巡查系统与“城市大脑”对接，实现业务流程数据实时同步，提升“大脑”的决策指挥能力。</w:t>
      </w:r>
    </w:p>
    <w:p>
      <w:pPr>
        <w:ind w:firstLine="562"/>
        <w:rPr>
          <w:rFonts w:ascii="仿宋" w:hAnsi="仿宋" w:eastAsia="仿宋"/>
        </w:rPr>
      </w:pPr>
      <w:r>
        <w:rPr>
          <w:rFonts w:hint="eastAsia" w:ascii="仿宋" w:hAnsi="仿宋" w:eastAsia="仿宋"/>
          <w:b/>
        </w:rPr>
        <w:t>优化完善垃圾分类全品类全主体全流程精细化管理系统。</w:t>
      </w:r>
      <w:r>
        <w:rPr>
          <w:rFonts w:hint="eastAsia" w:ascii="仿宋" w:hAnsi="仿宋" w:eastAsia="仿宋"/>
        </w:rPr>
        <w:t>加快西城区及各街道垃圾精细化管理系统搭建，实现与市级平台对接，进一步优化对垃圾投放、收集、运输、末端处置的全流程监管。通过对小区垃圾桶、垃圾楼、转运车辆加装身份识别和称重计量设备，对责任主体产生的各类垃圾进行全流程实时监管，逐步实现垃圾分类动态数据进入大数据库。加快推进全区生活垃圾处理设施计量称重系统升级改造，对全区密闭式清洁站（含垃圾楼）进行计量称重及监控系统改造。实现对全区各品类垃圾运输车辆进行定位、称重、身份识别及监控等管理功能改造。</w:t>
      </w:r>
    </w:p>
    <w:p>
      <w:pPr>
        <w:ind w:firstLine="562"/>
        <w:rPr>
          <w:rFonts w:ascii="仿宋" w:hAnsi="仿宋" w:eastAsia="仿宋" w:cs="Times New Roman"/>
          <w:szCs w:val="24"/>
        </w:rPr>
      </w:pPr>
      <w:r>
        <w:rPr>
          <w:rFonts w:hint="eastAsia" w:ascii="仿宋" w:hAnsi="仿宋" w:eastAsia="仿宋"/>
          <w:b/>
        </w:rPr>
        <w:t>加快智慧水务建设步伐，提升水务管理水平。</w:t>
      </w:r>
      <w:r>
        <w:rPr>
          <w:rFonts w:hint="eastAsia" w:ascii="仿宋" w:hAnsi="仿宋" w:eastAsia="仿宋" w:cs="Times New Roman"/>
          <w:szCs w:val="24"/>
        </w:rPr>
        <w:t>围绕西城区“供水-节水-排水”的各个环节，共享其他政府部门人、地、房、产、地理信息、遥感影像等行业数据以及抓取购买的社会数据，开展区块链、云计算、大数据等新技术的水务应用研究，进一步完善智慧水务管理体系，覆盖水量、水质、水压、水设施信息采集、处理与控制、远程抄表等多个技术环节，实现“用数据决策、用数据治理、用数据创新”，显著提高水务精细化管理及服务水平。</w:t>
      </w:r>
    </w:p>
    <w:p>
      <w:pPr>
        <w:ind w:firstLine="562"/>
        <w:rPr>
          <w:rFonts w:ascii="仿宋" w:hAnsi="仿宋" w:eastAsia="仿宋" w:cs="Times New Roman"/>
          <w:szCs w:val="24"/>
        </w:rPr>
      </w:pPr>
      <w:r>
        <w:rPr>
          <w:rFonts w:hint="eastAsia" w:ascii="仿宋" w:hAnsi="仿宋" w:eastAsia="仿宋"/>
          <w:b/>
          <w:bCs/>
        </w:rPr>
        <w:t>建设供热运行监测系统，</w:t>
      </w:r>
      <w:bookmarkStart w:id="40" w:name="_Toc43326974"/>
      <w:r>
        <w:rPr>
          <w:rFonts w:hint="eastAsia" w:ascii="仿宋" w:hAnsi="仿宋" w:eastAsia="仿宋" w:cs="Times New Roman"/>
          <w:b/>
          <w:szCs w:val="24"/>
        </w:rPr>
        <w:t>构建高效能源供应</w:t>
      </w:r>
      <w:bookmarkEnd w:id="40"/>
      <w:r>
        <w:rPr>
          <w:rFonts w:hint="eastAsia" w:ascii="仿宋" w:hAnsi="仿宋" w:eastAsia="仿宋" w:cs="Times New Roman"/>
          <w:b/>
          <w:szCs w:val="24"/>
        </w:rPr>
        <w:t>体系</w:t>
      </w:r>
      <w:r>
        <w:rPr>
          <w:rFonts w:hint="eastAsia" w:ascii="仿宋" w:hAnsi="仿宋" w:eastAsia="仿宋"/>
          <w:b/>
        </w:rPr>
        <w:t>。</w:t>
      </w:r>
      <w:r>
        <w:rPr>
          <w:rFonts w:ascii="仿宋" w:hAnsi="仿宋" w:eastAsia="仿宋" w:cs="Times New Roman"/>
          <w:szCs w:val="24"/>
        </w:rPr>
        <w:t>综合利用</w:t>
      </w:r>
      <w:r>
        <w:rPr>
          <w:rFonts w:hint="eastAsia" w:ascii="仿宋" w:hAnsi="仿宋" w:eastAsia="仿宋" w:cs="Times New Roman"/>
          <w:szCs w:val="24"/>
        </w:rPr>
        <w:t>“物联网+互联网”技术，借助大数据平台实现电力、燃气、供热等能源供应行业的综合管控和协同发展，利用云平台实现辖区范围内重点用户的能源应用实时监控调度，提高供应端及用户端响应速度</w:t>
      </w:r>
      <w:r>
        <w:rPr>
          <w:rFonts w:ascii="仿宋" w:hAnsi="仿宋" w:eastAsia="仿宋" w:cs="Times New Roman"/>
          <w:szCs w:val="24"/>
        </w:rPr>
        <w:t>。建设供热锅炉运行安全监测系统</w:t>
      </w:r>
      <w:r>
        <w:rPr>
          <w:rFonts w:hint="eastAsia" w:ascii="仿宋" w:hAnsi="仿宋" w:eastAsia="仿宋" w:cs="Times New Roman"/>
          <w:szCs w:val="24"/>
        </w:rPr>
        <w:t>，实时监测供热企业锅炉运行温度，实现高效的供暖系统调度管理，有力保障供热系统的运行安全及居民的供热质量。</w:t>
      </w:r>
    </w:p>
    <w:p>
      <w:pPr>
        <w:ind w:firstLine="562"/>
        <w:rPr>
          <w:rFonts w:ascii="仿宋" w:hAnsi="仿宋" w:eastAsia="仿宋"/>
          <w:highlight w:val="yellow"/>
        </w:rPr>
      </w:pPr>
      <w:r>
        <w:rPr>
          <w:rFonts w:hint="eastAsia" w:ascii="仿宋" w:hAnsi="仿宋" w:eastAsia="仿宋"/>
          <w:b/>
        </w:rPr>
        <w:t>构建管线综合管理平台，提升城市各类管网普查建档率。</w:t>
      </w:r>
      <w:r>
        <w:rPr>
          <w:rFonts w:hint="eastAsia" w:ascii="仿宋" w:hAnsi="仿宋" w:eastAsia="仿宋" w:cs="Times New Roman"/>
          <w:szCs w:val="24"/>
        </w:rPr>
        <w:t>进一步细化辖区</w:t>
      </w:r>
      <w:r>
        <w:rPr>
          <w:rFonts w:ascii="仿宋" w:hAnsi="仿宋" w:eastAsia="仿宋" w:cs="Times New Roman"/>
          <w:szCs w:val="24"/>
        </w:rPr>
        <w:t>内交通信号、通信信息、广播电视等地下管线基础信息统计工作</w:t>
      </w:r>
      <w:r>
        <w:rPr>
          <w:rFonts w:hint="eastAsia" w:ascii="仿宋" w:hAnsi="仿宋" w:eastAsia="仿宋" w:cs="Times New Roman"/>
          <w:szCs w:val="24"/>
        </w:rPr>
        <w:t>，积极</w:t>
      </w:r>
      <w:r>
        <w:rPr>
          <w:rFonts w:ascii="仿宋" w:hAnsi="仿宋" w:eastAsia="仿宋" w:cs="Times New Roman"/>
          <w:szCs w:val="24"/>
        </w:rPr>
        <w:t>协调自来水、园林绿化、排水、再生水、燃气、供热、城市照明</w:t>
      </w:r>
      <w:r>
        <w:rPr>
          <w:rFonts w:hint="eastAsia" w:ascii="仿宋" w:hAnsi="仿宋" w:eastAsia="仿宋" w:cs="Times New Roman"/>
          <w:szCs w:val="24"/>
        </w:rPr>
        <w:t>等</w:t>
      </w:r>
      <w:r>
        <w:rPr>
          <w:rFonts w:ascii="仿宋" w:hAnsi="仿宋" w:eastAsia="仿宋" w:cs="Times New Roman"/>
          <w:szCs w:val="24"/>
        </w:rPr>
        <w:t>行业主管部门，</w:t>
      </w:r>
      <w:r>
        <w:rPr>
          <w:rFonts w:hint="eastAsia" w:ascii="仿宋" w:hAnsi="仿宋" w:eastAsia="仿宋" w:cs="Times New Roman"/>
          <w:szCs w:val="24"/>
        </w:rPr>
        <w:t>完善辖区</w:t>
      </w:r>
      <w:r>
        <w:rPr>
          <w:rFonts w:ascii="仿宋" w:hAnsi="仿宋" w:eastAsia="仿宋" w:cs="Times New Roman"/>
          <w:szCs w:val="24"/>
        </w:rPr>
        <w:t>范围内地下管线基础信息统计工作</w:t>
      </w:r>
      <w:r>
        <w:rPr>
          <w:rFonts w:hint="eastAsia" w:ascii="仿宋" w:hAnsi="仿宋" w:eastAsia="仿宋" w:cs="Times New Roman"/>
          <w:szCs w:val="24"/>
        </w:rPr>
        <w:t>，并借助互联网、大数据等方式构建全区地下管网综合管理平台，动态更新老旧地下管线台账，到2025年末，城市各类管网普查建档率达到8</w:t>
      </w:r>
      <w:r>
        <w:rPr>
          <w:rFonts w:ascii="仿宋" w:hAnsi="仿宋" w:eastAsia="仿宋" w:cs="Times New Roman"/>
          <w:szCs w:val="24"/>
        </w:rPr>
        <w:t>0%</w:t>
      </w:r>
      <w:r>
        <w:rPr>
          <w:rFonts w:hint="eastAsia" w:ascii="仿宋" w:hAnsi="仿宋" w:eastAsia="仿宋" w:cs="Times New Roman"/>
          <w:szCs w:val="24"/>
        </w:rPr>
        <w:t>。</w:t>
      </w:r>
    </w:p>
    <w:p>
      <w:pPr>
        <w:pStyle w:val="4"/>
        <w:numPr>
          <w:ilvl w:val="0"/>
          <w:numId w:val="11"/>
        </w:numPr>
        <w:rPr>
          <w:rFonts w:ascii="仿宋" w:hAnsi="仿宋" w:eastAsia="仿宋"/>
        </w:rPr>
      </w:pPr>
      <w:r>
        <w:rPr>
          <w:rFonts w:hint="eastAsia" w:ascii="仿宋" w:hAnsi="仿宋" w:eastAsia="仿宋"/>
        </w:rPr>
        <w:t>加强城市管理领域数据融通和平台统筹</w:t>
      </w:r>
    </w:p>
    <w:p>
      <w:pPr>
        <w:ind w:firstLine="562"/>
        <w:rPr>
          <w:rFonts w:ascii="仿宋" w:hAnsi="仿宋" w:eastAsia="仿宋"/>
        </w:rPr>
      </w:pPr>
      <w:r>
        <w:rPr>
          <w:rFonts w:hint="eastAsia" w:ascii="仿宋" w:hAnsi="仿宋" w:eastAsia="仿宋"/>
          <w:b/>
        </w:rPr>
        <w:t>深化数据融通共享，协同构建“一个入口、一个出口”的全区数据交换格局</w:t>
      </w:r>
      <w:r>
        <w:rPr>
          <w:rFonts w:hint="eastAsia" w:ascii="仿宋" w:hAnsi="仿宋" w:eastAsia="仿宋"/>
        </w:rPr>
        <w:t>。加强数据标准化建设，探索建立西城区城市管理领域的数据标准体系和数据安全保障体系，</w:t>
      </w:r>
      <w:r>
        <w:rPr>
          <w:rFonts w:ascii="仿宋" w:hAnsi="仿宋" w:eastAsia="仿宋"/>
        </w:rPr>
        <w:t>促进</w:t>
      </w:r>
      <w:r>
        <w:rPr>
          <w:rFonts w:hint="eastAsia" w:ascii="仿宋" w:hAnsi="仿宋" w:eastAsia="仿宋"/>
        </w:rPr>
        <w:t>城市管理领域各部门的数据资源深度融合，重点夯实城市大脑的综合数据地基。推动数据共享与业务协同，为各业务部门提供标准、智能的数据服务，同时有效保证数据的安全。</w:t>
      </w:r>
    </w:p>
    <w:p>
      <w:pPr>
        <w:ind w:firstLine="562"/>
        <w:rPr>
          <w:rFonts w:ascii="仿宋" w:hAnsi="仿宋" w:eastAsia="仿宋"/>
        </w:rPr>
      </w:pPr>
      <w:r>
        <w:rPr>
          <w:rFonts w:hint="eastAsia" w:ascii="仿宋" w:hAnsi="仿宋" w:eastAsia="仿宋"/>
          <w:b/>
        </w:rPr>
        <w:t>推进城市大脑建设，打造城市管理领域智能中枢。</w:t>
      </w:r>
      <w:r>
        <w:rPr>
          <w:rFonts w:hint="eastAsia" w:ascii="仿宋" w:hAnsi="仿宋" w:eastAsia="仿宋"/>
        </w:rPr>
        <w:t>按照“一个地基、四个中心、N个应用和移动端”的建设思路加快城市大脑建设，以城市大脑为依托，构建城市管理领域的业务中台。在业务中台的基础上，强化城市管理领域的通用业务应用组件开发，提升应用组件的复用能力和灵活组合能力，简化领域应用开发流程，加快上层应用开发进度和落地速度。</w:t>
      </w:r>
    </w:p>
    <w:p>
      <w:pPr>
        <w:ind w:firstLine="562"/>
        <w:rPr>
          <w:rFonts w:ascii="仿宋" w:hAnsi="仿宋" w:eastAsia="仿宋"/>
        </w:rPr>
      </w:pPr>
      <w:r>
        <w:rPr>
          <w:rFonts w:hint="eastAsia" w:ascii="仿宋" w:hAnsi="仿宋" w:eastAsia="仿宋"/>
          <w:b/>
        </w:rPr>
        <w:t>深化场景应用，形成西城区“一脑统领，智能监测，场景驱动”的智慧化城市管理新局面。</w:t>
      </w:r>
      <w:r>
        <w:rPr>
          <w:rFonts w:hint="eastAsia" w:ascii="仿宋" w:hAnsi="仿宋" w:eastAsia="仿宋"/>
        </w:rPr>
        <w:t>按照急用先行的原则不断完善城市管理重点领域的智能应用，全面提高市政、交通、环境等重点领域的场景设计。强化重点区域智能应用，深入推进金融街、西长安街、金科新区、西单等重点地区的应用试点建设。</w:t>
      </w:r>
    </w:p>
    <w:p>
      <w:pPr>
        <w:pStyle w:val="4"/>
        <w:numPr>
          <w:ilvl w:val="0"/>
          <w:numId w:val="11"/>
        </w:numPr>
        <w:rPr>
          <w:rFonts w:ascii="仿宋" w:hAnsi="仿宋" w:eastAsia="仿宋"/>
        </w:rPr>
      </w:pPr>
      <w:r>
        <w:rPr>
          <w:rFonts w:hint="eastAsia" w:ascii="仿宋" w:hAnsi="仿宋" w:eastAsia="仿宋"/>
        </w:rPr>
        <w:t>实现城市管理的科学化决策和精准化服务</w:t>
      </w:r>
    </w:p>
    <w:p>
      <w:pPr>
        <w:ind w:firstLine="562"/>
        <w:rPr>
          <w:rFonts w:ascii="仿宋" w:hAnsi="仿宋" w:eastAsia="仿宋"/>
          <w:highlight w:val="cyan"/>
        </w:rPr>
      </w:pPr>
      <w:r>
        <w:rPr>
          <w:rFonts w:ascii="仿宋" w:hAnsi="仿宋" w:eastAsia="仿宋"/>
          <w:b/>
        </w:rPr>
        <w:t>加强数据计算和重点工作的专题分析</w:t>
      </w:r>
      <w:r>
        <w:rPr>
          <w:rFonts w:hint="eastAsia" w:ascii="仿宋" w:hAnsi="仿宋" w:eastAsia="仿宋"/>
          <w:b/>
        </w:rPr>
        <w:t>，提升精准响应和高效联动处置能力水平。</w:t>
      </w:r>
      <w:r>
        <w:rPr>
          <w:rFonts w:hint="eastAsia" w:ascii="仿宋" w:hAnsi="仿宋" w:eastAsia="仿宋"/>
        </w:rPr>
        <w:t>充分利用现有大数据关键技术，结合区块链、A</w:t>
      </w:r>
      <w:r>
        <w:rPr>
          <w:rFonts w:ascii="仿宋" w:hAnsi="仿宋" w:eastAsia="仿宋"/>
        </w:rPr>
        <w:t>I</w:t>
      </w:r>
      <w:r>
        <w:rPr>
          <w:rFonts w:hint="eastAsia" w:ascii="仿宋" w:hAnsi="仿宋" w:eastAsia="仿宋"/>
        </w:rPr>
        <w:t>人工智能、物联网、云计算等技术特点，不断优化城市管理领域的数据计算。加强对现有城市管理数据和1</w:t>
      </w:r>
      <w:r>
        <w:rPr>
          <w:rFonts w:ascii="仿宋" w:hAnsi="仿宋" w:eastAsia="仿宋"/>
        </w:rPr>
        <w:t>2345热线案件中</w:t>
      </w:r>
      <w:r>
        <w:rPr>
          <w:rFonts w:hint="eastAsia" w:ascii="仿宋" w:hAnsi="仿宋" w:eastAsia="仿宋"/>
        </w:rPr>
        <w:t>高频事件、热点区域等内容的深度分析，找准城市管理的“发力点”。实时汇集各种时空数据，进一步提升城市主动发现问题、提前预测预警的能力，为实施具有预见性的管理提供依据。以高效解决城市管理问题为目标，强化大数据挖掘分析和评估使用，结合智慧化监测预警和城市管理问题规律研判等，加强资源整合和信息共享，深化“街乡吹哨，部门报到”工作，建设职权匹配的协调处置流程，健全风险预警预报机制，形成集监控预警、应急响应、跨领域协同等为一体的高效处置模式。</w:t>
      </w:r>
    </w:p>
    <w:p>
      <w:pPr>
        <w:ind w:firstLine="562"/>
        <w:rPr>
          <w:rFonts w:ascii="仿宋" w:hAnsi="仿宋" w:eastAsia="仿宋"/>
        </w:rPr>
      </w:pPr>
      <w:r>
        <w:rPr>
          <w:rFonts w:hint="eastAsia" w:ascii="仿宋" w:hAnsi="仿宋" w:eastAsia="仿宋"/>
          <w:b/>
        </w:rPr>
        <w:t>以贴近需求端为导向、以先进分析技术为依托，提升精准化和智慧化服务水平。</w:t>
      </w:r>
      <w:r>
        <w:rPr>
          <w:rFonts w:hint="eastAsia" w:ascii="仿宋" w:hAnsi="仿宋" w:eastAsia="仿宋"/>
        </w:rPr>
        <w:t>聚焦“</w:t>
      </w:r>
      <w:r>
        <w:rPr>
          <w:rFonts w:hint="eastAsia" w:ascii="仿宋" w:hAnsi="仿宋" w:eastAsia="仿宋"/>
          <w:bCs/>
        </w:rPr>
        <w:t>七有”“五性”要求，深入推进</w:t>
      </w:r>
      <w:r>
        <w:rPr>
          <w:rFonts w:hint="eastAsia" w:ascii="仿宋" w:hAnsi="仿宋" w:eastAsia="仿宋"/>
        </w:rPr>
        <w:t>“接诉即办”工作，逐步建立管理供给端与需求端更密切、无时差的反馈关系。借助大数据存储和分析技术，精准识别公共事务的发展规律和特征、精准定位相关主体的任务和利益诉求，以较低成本实现较高产出为原则，制定适度的问题解决方案，促进城市管理资源的优化配置和管理与服务效能整体提升。借助数据融通和互联网技术等，去除城市管理相关部门的数据壁垒、优化居民办事流程，在节约时间成本、经济成本、行政成本的同时，不断提升政务服务的品质、提高居民对城市管理工作的满意度。</w:t>
      </w:r>
    </w:p>
    <w:p>
      <w:pPr>
        <w:pStyle w:val="2"/>
        <w:ind w:firstLine="0" w:firstLineChars="0"/>
        <w:jc w:val="center"/>
        <w:rPr>
          <w:rFonts w:ascii="仿宋" w:hAnsi="仿宋" w:eastAsia="仿宋"/>
        </w:rPr>
        <w:sectPr>
          <w:headerReference r:id="rId17" w:type="default"/>
          <w:footerReference r:id="rId18" w:type="default"/>
          <w:pgSz w:w="11906" w:h="16838"/>
          <w:pgMar w:top="1440" w:right="1800" w:bottom="1440" w:left="1800" w:header="851" w:footer="992" w:gutter="0"/>
          <w:cols w:space="425" w:num="1"/>
          <w:docGrid w:type="lines" w:linePitch="312" w:charSpace="0"/>
        </w:sectPr>
      </w:pPr>
    </w:p>
    <w:p>
      <w:pPr>
        <w:pStyle w:val="2"/>
        <w:ind w:firstLine="0" w:firstLineChars="0"/>
        <w:jc w:val="center"/>
        <w:rPr>
          <w:rFonts w:ascii="仿宋" w:hAnsi="仿宋" w:eastAsia="仿宋"/>
        </w:rPr>
      </w:pPr>
      <w:bookmarkStart w:id="41" w:name="_Toc58491518"/>
      <w:r>
        <w:rPr>
          <w:rFonts w:hint="eastAsia" w:ascii="仿宋" w:hAnsi="仿宋" w:eastAsia="仿宋"/>
        </w:rPr>
        <w:t>第五章 规划实施</w:t>
      </w:r>
      <w:r>
        <w:rPr>
          <w:rFonts w:ascii="仿宋" w:hAnsi="仿宋" w:eastAsia="仿宋"/>
        </w:rPr>
        <w:t>保障</w:t>
      </w:r>
      <w:bookmarkEnd w:id="41"/>
    </w:p>
    <w:p>
      <w:pPr>
        <w:pStyle w:val="3"/>
        <w:rPr>
          <w:rFonts w:ascii="仿宋" w:hAnsi="仿宋" w:eastAsia="仿宋"/>
        </w:rPr>
      </w:pPr>
      <w:bookmarkStart w:id="42" w:name="_Toc58491519"/>
      <w:r>
        <w:rPr>
          <w:rFonts w:hint="eastAsia" w:ascii="仿宋" w:hAnsi="仿宋" w:eastAsia="仿宋"/>
        </w:rPr>
        <w:t>一、加强</w:t>
      </w:r>
      <w:r>
        <w:rPr>
          <w:rFonts w:ascii="仿宋" w:hAnsi="仿宋" w:eastAsia="仿宋"/>
        </w:rPr>
        <w:t>规划</w:t>
      </w:r>
      <w:r>
        <w:rPr>
          <w:rFonts w:hint="eastAsia" w:ascii="仿宋" w:hAnsi="仿宋" w:eastAsia="仿宋"/>
        </w:rPr>
        <w:t>衔接与统筹</w:t>
      </w:r>
      <w:r>
        <w:rPr>
          <w:rFonts w:ascii="仿宋" w:hAnsi="仿宋" w:eastAsia="仿宋"/>
        </w:rPr>
        <w:t>协调</w:t>
      </w:r>
      <w:bookmarkEnd w:id="42"/>
    </w:p>
    <w:p>
      <w:pPr>
        <w:pStyle w:val="4"/>
        <w:numPr>
          <w:ilvl w:val="0"/>
          <w:numId w:val="12"/>
        </w:numPr>
        <w:rPr>
          <w:rFonts w:ascii="仿宋" w:hAnsi="仿宋" w:eastAsia="仿宋"/>
        </w:rPr>
      </w:pPr>
      <w:r>
        <w:rPr>
          <w:rFonts w:hint="eastAsia" w:ascii="仿宋" w:hAnsi="仿宋" w:eastAsia="仿宋"/>
        </w:rPr>
        <w:t>做好相关规划的统筹衔接工作</w:t>
      </w:r>
    </w:p>
    <w:p>
      <w:pPr>
        <w:ind w:firstLine="560"/>
        <w:rPr>
          <w:rFonts w:ascii="仿宋" w:hAnsi="仿宋" w:eastAsia="仿宋"/>
        </w:rPr>
      </w:pPr>
      <w:r>
        <w:rPr>
          <w:rFonts w:hint="eastAsia" w:ascii="仿宋" w:hAnsi="仿宋" w:eastAsia="仿宋"/>
        </w:rPr>
        <w:t>认真落实《北京城市总体规划（2016年—2035年）》、《首都功能核心区控制性详细规划（街区层面）（2018年－2035年）》、《北京市西城区国民经济和社会发展第十四个五年规划纲要》等上位规划的目标要求，</w:t>
      </w:r>
      <w:bookmarkStart w:id="43" w:name="OLE_LINK17"/>
      <w:r>
        <w:rPr>
          <w:rFonts w:hint="eastAsia" w:ascii="仿宋" w:hAnsi="仿宋" w:eastAsia="仿宋"/>
        </w:rPr>
        <w:t>统一思想、明确</w:t>
      </w:r>
      <w:bookmarkEnd w:id="43"/>
      <w:r>
        <w:rPr>
          <w:rFonts w:hint="eastAsia" w:ascii="仿宋" w:hAnsi="仿宋" w:eastAsia="仿宋"/>
        </w:rPr>
        <w:t>重点。切实加强与“十四五”时期相关专项规划统筹衔接，确保规划的合理性和科学性。围绕城市管理方面的关键领域和薄弱环节，着力解决突出问题，结合自身实际，突出西城区特色，加强指标和重点任务的衔接，确保规划安排落到实处。</w:t>
      </w:r>
    </w:p>
    <w:p>
      <w:pPr>
        <w:pStyle w:val="4"/>
        <w:numPr>
          <w:ilvl w:val="0"/>
          <w:numId w:val="12"/>
        </w:numPr>
        <w:rPr>
          <w:rFonts w:ascii="仿宋" w:hAnsi="仿宋" w:eastAsia="仿宋"/>
        </w:rPr>
      </w:pPr>
      <w:r>
        <w:rPr>
          <w:rFonts w:hint="eastAsia" w:ascii="仿宋" w:hAnsi="仿宋" w:eastAsia="仿宋"/>
        </w:rPr>
        <w:t>充分发挥各职能部门间的协同作用</w:t>
      </w:r>
    </w:p>
    <w:p>
      <w:pPr>
        <w:ind w:firstLine="560"/>
        <w:rPr>
          <w:rFonts w:ascii="仿宋" w:hAnsi="仿宋" w:eastAsia="仿宋"/>
        </w:rPr>
      </w:pPr>
      <w:r>
        <w:rPr>
          <w:rFonts w:hint="eastAsia" w:ascii="仿宋" w:hAnsi="仿宋" w:eastAsia="仿宋"/>
        </w:rPr>
        <w:t>加强跨领域、跨部门统筹协调，</w:t>
      </w:r>
      <w:bookmarkStart w:id="44" w:name="OLE_LINK18"/>
      <w:r>
        <w:rPr>
          <w:rFonts w:hint="eastAsia" w:ascii="仿宋" w:hAnsi="仿宋" w:eastAsia="仿宋"/>
        </w:rPr>
        <w:t>全面落实规划工作。</w:t>
      </w:r>
      <w:bookmarkEnd w:id="44"/>
      <w:r>
        <w:rPr>
          <w:rFonts w:hint="eastAsia" w:ascii="仿宋" w:hAnsi="仿宋" w:eastAsia="仿宋"/>
        </w:rPr>
        <w:t>认真履行相关部门各自职责，加强各部门统筹协调，建立健全沟通协作机制，用好各方面优质力量和资源，切实做到各部门同心推动规划落实。统筹当前建设和长远发展需要，做好各部门之间需求论证、规划衔接、任务对接，确保规划项目接续推进。加强各部门在公共财政投入、土地供应、重大项目推进与空间布局等方面的相互协调，实现市区协调、部门联动、同步高效。</w:t>
      </w:r>
    </w:p>
    <w:p>
      <w:pPr>
        <w:pStyle w:val="3"/>
        <w:rPr>
          <w:rFonts w:ascii="仿宋" w:hAnsi="仿宋" w:eastAsia="仿宋"/>
        </w:rPr>
      </w:pPr>
      <w:bookmarkStart w:id="45" w:name="_Toc58491520"/>
      <w:r>
        <w:rPr>
          <w:rFonts w:hint="eastAsia" w:ascii="仿宋" w:hAnsi="仿宋" w:eastAsia="仿宋"/>
        </w:rPr>
        <w:t>二、明确</w:t>
      </w:r>
      <w:r>
        <w:rPr>
          <w:rFonts w:ascii="仿宋" w:hAnsi="仿宋" w:eastAsia="仿宋"/>
        </w:rPr>
        <w:t>建设</w:t>
      </w:r>
      <w:r>
        <w:rPr>
          <w:rFonts w:hint="eastAsia" w:ascii="仿宋" w:hAnsi="仿宋" w:eastAsia="仿宋"/>
        </w:rPr>
        <w:t>时序与</w:t>
      </w:r>
      <w:r>
        <w:rPr>
          <w:rFonts w:ascii="仿宋" w:hAnsi="仿宋" w:eastAsia="仿宋"/>
        </w:rPr>
        <w:t>重点</w:t>
      </w:r>
      <w:r>
        <w:rPr>
          <w:rFonts w:hint="eastAsia" w:ascii="仿宋" w:hAnsi="仿宋" w:eastAsia="仿宋"/>
        </w:rPr>
        <w:t>任务</w:t>
      </w:r>
      <w:bookmarkEnd w:id="45"/>
    </w:p>
    <w:p>
      <w:pPr>
        <w:pStyle w:val="4"/>
        <w:numPr>
          <w:ilvl w:val="0"/>
          <w:numId w:val="13"/>
        </w:numPr>
        <w:rPr>
          <w:rFonts w:ascii="仿宋" w:hAnsi="仿宋" w:eastAsia="仿宋"/>
        </w:rPr>
      </w:pPr>
      <w:r>
        <w:rPr>
          <w:rFonts w:hint="eastAsia" w:ascii="仿宋" w:hAnsi="仿宋" w:eastAsia="仿宋"/>
        </w:rPr>
        <w:t>分阶段落实规划指标</w:t>
      </w:r>
    </w:p>
    <w:p>
      <w:pPr>
        <w:ind w:firstLine="560"/>
        <w:rPr>
          <w:rFonts w:ascii="仿宋" w:hAnsi="仿宋" w:eastAsia="仿宋"/>
        </w:rPr>
      </w:pPr>
      <w:r>
        <w:rPr>
          <w:rFonts w:hint="eastAsia" w:ascii="仿宋" w:hAnsi="仿宋" w:eastAsia="仿宋"/>
        </w:rPr>
        <w:t>健全规划行动机制，明确指标实施的牵头单位和工作内容，加强对“十四五”时期相关规划目标任务的分解落实和实施推动。建立规划指标逐级落实、分阶段落实机制，并进行常态化评估，评估结果作为规划动态维护和近期行动计划编制的重要依据，实现对规划实施工作的及时反馈和调整。结合市、区两级的重大工作部署、年度重大项目建设安排、财政支出计划等，滚动编制年度实施方案。</w:t>
      </w:r>
    </w:p>
    <w:p>
      <w:pPr>
        <w:pStyle w:val="4"/>
        <w:numPr>
          <w:ilvl w:val="0"/>
          <w:numId w:val="13"/>
        </w:numPr>
        <w:rPr>
          <w:rFonts w:ascii="仿宋" w:hAnsi="仿宋" w:eastAsia="仿宋"/>
        </w:rPr>
      </w:pPr>
      <w:r>
        <w:rPr>
          <w:rFonts w:hint="eastAsia" w:ascii="仿宋" w:hAnsi="仿宋" w:eastAsia="仿宋"/>
        </w:rPr>
        <w:t>积极推进重点建设项目</w:t>
      </w:r>
    </w:p>
    <w:p>
      <w:pPr>
        <w:ind w:firstLine="560"/>
        <w:rPr>
          <w:rFonts w:ascii="仿宋" w:hAnsi="仿宋" w:eastAsia="仿宋"/>
        </w:rPr>
      </w:pPr>
      <w:bookmarkStart w:id="46" w:name="OLE_LINK19"/>
      <w:r>
        <w:rPr>
          <w:rFonts w:hint="eastAsia" w:ascii="仿宋" w:hAnsi="仿宋" w:eastAsia="仿宋"/>
        </w:rPr>
        <w:t>坚持以规划确定项目、以项目落实规划</w:t>
      </w:r>
      <w:bookmarkEnd w:id="46"/>
      <w:r>
        <w:rPr>
          <w:rFonts w:hint="eastAsia" w:ascii="仿宋" w:hAnsi="仿宋" w:eastAsia="仿宋"/>
        </w:rPr>
        <w:t>，发挥好重大项目对规划落实的支撑作用。有计划实施一批关系全局和长远发展的重大项目，打造国际一流和谐宜居之都首善之区。积极推进道路大中修工程、道路交通疏堵工程、道路无障碍设施建设及修复工程、慢行系统综合改造和路外停车场综合治理工程，优化西城区出行环境。统筹海绵城市项目建设，推进清河行动及排水提质增效，加强非常规水资源利用。落实能源设施及管网改造项目，搭建智慧化供热管理平台项目，加强密闭式清洁站升级改造，保障市政设施安全运行。推进支路电力（路灯）架空线入地改造工程，加强背街小巷综合整治提升。围绕金科新区核心区、金融街核心区等重点区域，创建高标准示范项目。</w:t>
      </w:r>
      <w:bookmarkStart w:id="47" w:name="OLE_LINK1"/>
      <w:bookmarkStart w:id="48" w:name="OLE_LINK2"/>
      <w:r>
        <w:rPr>
          <w:rFonts w:hint="eastAsia" w:ascii="仿宋" w:hAnsi="仿宋" w:eastAsia="仿宋"/>
        </w:rPr>
        <w:t>建立健全重大项目推进机制，明确建设时序，对各阶段项目建设情况进行考核评估，强化项目实施管理。</w:t>
      </w:r>
      <w:bookmarkEnd w:id="47"/>
    </w:p>
    <w:bookmarkEnd w:id="48"/>
    <w:p>
      <w:pPr>
        <w:pStyle w:val="3"/>
        <w:rPr>
          <w:rFonts w:ascii="仿宋" w:hAnsi="仿宋" w:eastAsia="仿宋"/>
        </w:rPr>
      </w:pPr>
      <w:bookmarkStart w:id="49" w:name="_Toc58491521"/>
      <w:r>
        <w:rPr>
          <w:rFonts w:hint="eastAsia" w:ascii="仿宋" w:hAnsi="仿宋" w:eastAsia="仿宋"/>
        </w:rPr>
        <w:t>三、</w:t>
      </w:r>
      <w:r>
        <w:rPr>
          <w:rFonts w:ascii="仿宋" w:hAnsi="仿宋" w:eastAsia="仿宋"/>
        </w:rPr>
        <w:t>强化</w:t>
      </w:r>
      <w:r>
        <w:rPr>
          <w:rFonts w:hint="eastAsia" w:ascii="仿宋" w:hAnsi="仿宋" w:eastAsia="仿宋"/>
        </w:rPr>
        <w:t>规划</w:t>
      </w:r>
      <w:r>
        <w:rPr>
          <w:rFonts w:ascii="仿宋" w:hAnsi="仿宋" w:eastAsia="仿宋"/>
        </w:rPr>
        <w:t>动态评估</w:t>
      </w:r>
      <w:r>
        <w:rPr>
          <w:rFonts w:hint="eastAsia" w:ascii="仿宋" w:hAnsi="仿宋" w:eastAsia="仿宋"/>
        </w:rPr>
        <w:t>与</w:t>
      </w:r>
      <w:r>
        <w:rPr>
          <w:rFonts w:ascii="仿宋" w:hAnsi="仿宋" w:eastAsia="仿宋"/>
        </w:rPr>
        <w:t>更新</w:t>
      </w:r>
      <w:bookmarkEnd w:id="49"/>
    </w:p>
    <w:p>
      <w:pPr>
        <w:pStyle w:val="4"/>
        <w:numPr>
          <w:ilvl w:val="0"/>
          <w:numId w:val="14"/>
        </w:numPr>
        <w:rPr>
          <w:rFonts w:ascii="仿宋" w:hAnsi="仿宋" w:eastAsia="仿宋"/>
        </w:rPr>
      </w:pPr>
      <w:r>
        <w:rPr>
          <w:rFonts w:hint="eastAsia" w:ascii="仿宋" w:hAnsi="仿宋" w:eastAsia="仿宋"/>
        </w:rPr>
        <w:t>建立实时监测、定期报告的指标统计、监测体系</w:t>
      </w:r>
    </w:p>
    <w:p>
      <w:pPr>
        <w:ind w:firstLine="560"/>
        <w:rPr>
          <w:rFonts w:ascii="仿宋" w:hAnsi="仿宋" w:eastAsia="仿宋"/>
        </w:rPr>
      </w:pPr>
      <w:r>
        <w:rPr>
          <w:rFonts w:hint="eastAsia" w:ascii="仿宋" w:hAnsi="仿宋" w:eastAsia="仿宋"/>
        </w:rPr>
        <w:t>依托西城区城市管理发展相关的精细化智慧数据平台，完善规划实施的基础信息数据库，开展各项规划指标的实时监测，加强全过程信息化监管。建立关键指标落实的评估反馈机制，定期发布监测报告，将监测结果作为开展规划实施评估的基础依据。</w:t>
      </w:r>
    </w:p>
    <w:p>
      <w:pPr>
        <w:pStyle w:val="4"/>
        <w:numPr>
          <w:ilvl w:val="0"/>
          <w:numId w:val="14"/>
        </w:numPr>
        <w:rPr>
          <w:rFonts w:ascii="仿宋" w:hAnsi="仿宋" w:eastAsia="仿宋"/>
        </w:rPr>
      </w:pPr>
      <w:r>
        <w:rPr>
          <w:rFonts w:hint="eastAsia" w:ascii="仿宋" w:hAnsi="仿宋" w:eastAsia="仿宋"/>
        </w:rPr>
        <w:t>加强规划实施动态评估、维护和更新</w:t>
      </w:r>
    </w:p>
    <w:p>
      <w:pPr>
        <w:ind w:firstLine="560"/>
        <w:rPr>
          <w:rFonts w:ascii="仿宋" w:hAnsi="仿宋" w:eastAsia="仿宋"/>
        </w:rPr>
      </w:pPr>
      <w:r>
        <w:rPr>
          <w:rFonts w:hint="eastAsia" w:ascii="仿宋" w:hAnsi="仿宋" w:eastAsia="仿宋"/>
        </w:rPr>
        <w:t>建立年度体检、中期评估、五年评估的常态化评估机制，部门自评估和第三方综合评估相结合。跟踪、督促规划项目的推进进度，掌握规划发展目标和主要指标的进展情况，评估重点任务的执行情况。结合年度体检、中期评估、五年评估结果，优化调整规划发展目标、指标、近期重点任务和年度实施计划，完善规划实施机制等，对规划实施工作进行维护和更新，确保规划各项任务得到有效落实。</w:t>
      </w:r>
    </w:p>
    <w:p>
      <w:pPr>
        <w:pStyle w:val="3"/>
        <w:rPr>
          <w:rFonts w:ascii="仿宋" w:hAnsi="仿宋" w:eastAsia="仿宋"/>
        </w:rPr>
      </w:pPr>
      <w:bookmarkStart w:id="50" w:name="_Toc58491522"/>
      <w:r>
        <w:rPr>
          <w:rFonts w:hint="eastAsia" w:ascii="仿宋" w:hAnsi="仿宋" w:eastAsia="仿宋"/>
        </w:rPr>
        <w:t>四</w:t>
      </w:r>
      <w:r>
        <w:rPr>
          <w:rFonts w:ascii="仿宋" w:hAnsi="仿宋" w:eastAsia="仿宋"/>
        </w:rPr>
        <w:t>、</w:t>
      </w:r>
      <w:r>
        <w:rPr>
          <w:rFonts w:hint="eastAsia" w:ascii="仿宋" w:hAnsi="仿宋" w:eastAsia="仿宋"/>
        </w:rPr>
        <w:t>加强</w:t>
      </w:r>
      <w:r>
        <w:rPr>
          <w:rFonts w:ascii="仿宋" w:hAnsi="仿宋" w:eastAsia="仿宋"/>
        </w:rPr>
        <w:t>宣传引导</w:t>
      </w:r>
      <w:r>
        <w:rPr>
          <w:rFonts w:hint="eastAsia" w:ascii="仿宋" w:hAnsi="仿宋" w:eastAsia="仿宋"/>
        </w:rPr>
        <w:t>与人才保障</w:t>
      </w:r>
      <w:bookmarkEnd w:id="50"/>
    </w:p>
    <w:p>
      <w:pPr>
        <w:pStyle w:val="4"/>
        <w:numPr>
          <w:ilvl w:val="0"/>
          <w:numId w:val="15"/>
        </w:numPr>
        <w:rPr>
          <w:rFonts w:ascii="仿宋" w:hAnsi="仿宋" w:eastAsia="仿宋"/>
        </w:rPr>
      </w:pPr>
      <w:r>
        <w:rPr>
          <w:rFonts w:hint="eastAsia" w:ascii="仿宋" w:hAnsi="仿宋" w:eastAsia="仿宋"/>
        </w:rPr>
        <w:t>通过多形式多渠道加强规划宣传引导</w:t>
      </w:r>
    </w:p>
    <w:p>
      <w:pPr>
        <w:ind w:firstLine="560"/>
        <w:rPr>
          <w:rFonts w:ascii="仿宋" w:hAnsi="仿宋" w:eastAsia="仿宋"/>
        </w:rPr>
      </w:pPr>
      <w:r>
        <w:rPr>
          <w:rFonts w:hint="eastAsia" w:ascii="仿宋" w:hAnsi="仿宋" w:eastAsia="仿宋"/>
        </w:rPr>
        <w:t>采取规划公示、问卷调查、街道宣传、公益广告等多种形式，联合电视、报纸、新媒体、自媒体等多种媒介渠道，广泛开展规划宣传与引导。</w:t>
      </w:r>
      <w:bookmarkStart w:id="51" w:name="OLE_LINK6"/>
      <w:r>
        <w:rPr>
          <w:rFonts w:hint="eastAsia" w:ascii="仿宋" w:hAnsi="仿宋" w:eastAsia="仿宋"/>
        </w:rPr>
        <w:t>让规划确定的目标任务深入人心，</w:t>
      </w:r>
      <w:bookmarkEnd w:id="51"/>
      <w:r>
        <w:rPr>
          <w:rFonts w:hint="eastAsia" w:ascii="仿宋" w:hAnsi="仿宋" w:eastAsia="仿宋"/>
        </w:rPr>
        <w:t>凝聚各方面力量积极参与规划实施，使实施规划成为全社会的自觉行动。</w:t>
      </w:r>
      <w:bookmarkStart w:id="52" w:name="OLE_LINK11"/>
      <w:r>
        <w:rPr>
          <w:rFonts w:hint="eastAsia" w:ascii="仿宋" w:hAnsi="仿宋" w:eastAsia="仿宋"/>
        </w:rPr>
        <w:t>完善城市管理公众评价机制和公众意见采纳情况反馈机制，</w:t>
      </w:r>
      <w:bookmarkEnd w:id="52"/>
      <w:bookmarkStart w:id="53" w:name="OLE_LINK8"/>
      <w:r>
        <w:rPr>
          <w:rFonts w:hint="eastAsia" w:ascii="仿宋" w:hAnsi="仿宋" w:eastAsia="仿宋"/>
        </w:rPr>
        <w:t>将公众满意度纳入城市管理的考核工作。</w:t>
      </w:r>
    </w:p>
    <w:bookmarkEnd w:id="53"/>
    <w:p>
      <w:pPr>
        <w:pStyle w:val="4"/>
        <w:numPr>
          <w:ilvl w:val="0"/>
          <w:numId w:val="15"/>
        </w:numPr>
        <w:rPr>
          <w:rFonts w:ascii="仿宋" w:hAnsi="仿宋" w:eastAsia="仿宋"/>
        </w:rPr>
      </w:pPr>
      <w:r>
        <w:rPr>
          <w:rFonts w:hint="eastAsia" w:ascii="仿宋" w:hAnsi="仿宋" w:eastAsia="仿宋"/>
        </w:rPr>
        <w:t>完善规划实施的人才培养与专业支撑</w:t>
      </w:r>
    </w:p>
    <w:p>
      <w:pPr>
        <w:ind w:firstLine="560"/>
        <w:rPr>
          <w:rFonts w:ascii="仿宋" w:hAnsi="仿宋" w:eastAsia="仿宋"/>
        </w:rPr>
      </w:pPr>
      <w:r>
        <w:rPr>
          <w:rFonts w:hint="eastAsia" w:ascii="仿宋" w:hAnsi="仿宋" w:eastAsia="仿宋"/>
        </w:rPr>
        <w:t>健全人才培养机制和专业指导机制，持续提高城市管理专业化服务水平。完善城市管理队伍专业化培训机制，积极开展全员培训、领导干部任职培训和专业技能培训。健全专业人才数据库</w:t>
      </w:r>
      <w:r>
        <w:rPr>
          <w:rFonts w:ascii="仿宋" w:hAnsi="仿宋" w:eastAsia="仿宋"/>
        </w:rPr>
        <w:t>管理</w:t>
      </w:r>
      <w:r>
        <w:rPr>
          <w:rFonts w:hint="eastAsia" w:ascii="仿宋" w:hAnsi="仿宋" w:eastAsia="仿宋"/>
        </w:rPr>
        <w:t>机制。建立党政干部专家智库，保持西城区历任城市建设及管理部门主管领导、相关业务科室主管及专长人员间等的良好联系，以便在城市的建设维护管理中更好地掌握历史沿革和征询意见建议。</w:t>
      </w:r>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4876630"/>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0031465"/>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58</w:t>
        </w:r>
        <w:r>
          <w:rPr>
            <w:lang w:val="zh-CN"/>
          </w:rP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35CFF"/>
    <w:multiLevelType w:val="multilevel"/>
    <w:tmpl w:val="2E035CFF"/>
    <w:lvl w:ilvl="0" w:tentative="0">
      <w:start w:val="1"/>
      <w:numFmt w:val="chineseCountingThousand"/>
      <w:pStyle w:val="4"/>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0B"/>
    <w:rsid w:val="000005B3"/>
    <w:rsid w:val="000016A9"/>
    <w:rsid w:val="00003BA4"/>
    <w:rsid w:val="00004EBA"/>
    <w:rsid w:val="00011244"/>
    <w:rsid w:val="00012E07"/>
    <w:rsid w:val="000209CA"/>
    <w:rsid w:val="00021802"/>
    <w:rsid w:val="00022913"/>
    <w:rsid w:val="00023D01"/>
    <w:rsid w:val="00023F60"/>
    <w:rsid w:val="000247AA"/>
    <w:rsid w:val="000333C3"/>
    <w:rsid w:val="000416D1"/>
    <w:rsid w:val="00045FC5"/>
    <w:rsid w:val="00046968"/>
    <w:rsid w:val="00047E60"/>
    <w:rsid w:val="000535AB"/>
    <w:rsid w:val="000656B1"/>
    <w:rsid w:val="00070616"/>
    <w:rsid w:val="000727BC"/>
    <w:rsid w:val="00073B4B"/>
    <w:rsid w:val="00074653"/>
    <w:rsid w:val="00077248"/>
    <w:rsid w:val="000802A0"/>
    <w:rsid w:val="00080A77"/>
    <w:rsid w:val="00083DE8"/>
    <w:rsid w:val="000860CE"/>
    <w:rsid w:val="0009012A"/>
    <w:rsid w:val="00090ADA"/>
    <w:rsid w:val="00092B90"/>
    <w:rsid w:val="000947C5"/>
    <w:rsid w:val="00096D95"/>
    <w:rsid w:val="00097328"/>
    <w:rsid w:val="000A3A7E"/>
    <w:rsid w:val="000A4F71"/>
    <w:rsid w:val="000B0E33"/>
    <w:rsid w:val="000C087A"/>
    <w:rsid w:val="000C13E0"/>
    <w:rsid w:val="000C236A"/>
    <w:rsid w:val="000C388A"/>
    <w:rsid w:val="000C564E"/>
    <w:rsid w:val="000C5C30"/>
    <w:rsid w:val="000D0943"/>
    <w:rsid w:val="000D3134"/>
    <w:rsid w:val="000D495B"/>
    <w:rsid w:val="000D54B4"/>
    <w:rsid w:val="000E0D58"/>
    <w:rsid w:val="000F0017"/>
    <w:rsid w:val="000F4C29"/>
    <w:rsid w:val="000F7873"/>
    <w:rsid w:val="00100E67"/>
    <w:rsid w:val="0010188A"/>
    <w:rsid w:val="001047BF"/>
    <w:rsid w:val="00112D0A"/>
    <w:rsid w:val="00121C37"/>
    <w:rsid w:val="00123C25"/>
    <w:rsid w:val="001273B8"/>
    <w:rsid w:val="00127E3B"/>
    <w:rsid w:val="001315F6"/>
    <w:rsid w:val="00135CB6"/>
    <w:rsid w:val="00137FB0"/>
    <w:rsid w:val="00143B22"/>
    <w:rsid w:val="00153315"/>
    <w:rsid w:val="00157088"/>
    <w:rsid w:val="00162E7C"/>
    <w:rsid w:val="001638EE"/>
    <w:rsid w:val="001674A3"/>
    <w:rsid w:val="001728EE"/>
    <w:rsid w:val="00173E9F"/>
    <w:rsid w:val="00174055"/>
    <w:rsid w:val="001760ED"/>
    <w:rsid w:val="001834FF"/>
    <w:rsid w:val="001839E7"/>
    <w:rsid w:val="00191378"/>
    <w:rsid w:val="001932F7"/>
    <w:rsid w:val="0019633B"/>
    <w:rsid w:val="0019705B"/>
    <w:rsid w:val="001A6B6E"/>
    <w:rsid w:val="001A72FB"/>
    <w:rsid w:val="001A7CE6"/>
    <w:rsid w:val="001B037B"/>
    <w:rsid w:val="001B3FEA"/>
    <w:rsid w:val="001B74AD"/>
    <w:rsid w:val="001C2D55"/>
    <w:rsid w:val="001C6711"/>
    <w:rsid w:val="001C694F"/>
    <w:rsid w:val="001C785B"/>
    <w:rsid w:val="001D4A69"/>
    <w:rsid w:val="001D5290"/>
    <w:rsid w:val="001D6904"/>
    <w:rsid w:val="001E182B"/>
    <w:rsid w:val="001E3E57"/>
    <w:rsid w:val="001E6DDC"/>
    <w:rsid w:val="001E7EAB"/>
    <w:rsid w:val="001F1B32"/>
    <w:rsid w:val="001F74BC"/>
    <w:rsid w:val="001F7546"/>
    <w:rsid w:val="00202769"/>
    <w:rsid w:val="0020305B"/>
    <w:rsid w:val="0020311B"/>
    <w:rsid w:val="00203739"/>
    <w:rsid w:val="002070E6"/>
    <w:rsid w:val="00212329"/>
    <w:rsid w:val="002147EA"/>
    <w:rsid w:val="00214AF7"/>
    <w:rsid w:val="00216D22"/>
    <w:rsid w:val="002171F8"/>
    <w:rsid w:val="00221DF7"/>
    <w:rsid w:val="002226A1"/>
    <w:rsid w:val="00222F5B"/>
    <w:rsid w:val="0022411C"/>
    <w:rsid w:val="00230789"/>
    <w:rsid w:val="0023395C"/>
    <w:rsid w:val="00237623"/>
    <w:rsid w:val="00245671"/>
    <w:rsid w:val="002502B2"/>
    <w:rsid w:val="00251BD5"/>
    <w:rsid w:val="00262731"/>
    <w:rsid w:val="00264F28"/>
    <w:rsid w:val="0026660E"/>
    <w:rsid w:val="00266D42"/>
    <w:rsid w:val="0027097D"/>
    <w:rsid w:val="00270ECC"/>
    <w:rsid w:val="002728E2"/>
    <w:rsid w:val="00277505"/>
    <w:rsid w:val="00281F0C"/>
    <w:rsid w:val="0028266E"/>
    <w:rsid w:val="00283D10"/>
    <w:rsid w:val="002844A5"/>
    <w:rsid w:val="00286847"/>
    <w:rsid w:val="00290476"/>
    <w:rsid w:val="00292B10"/>
    <w:rsid w:val="002937CA"/>
    <w:rsid w:val="0029395E"/>
    <w:rsid w:val="00295E10"/>
    <w:rsid w:val="00297101"/>
    <w:rsid w:val="00297111"/>
    <w:rsid w:val="002977FA"/>
    <w:rsid w:val="00297A4C"/>
    <w:rsid w:val="002A3232"/>
    <w:rsid w:val="002A33F5"/>
    <w:rsid w:val="002A4745"/>
    <w:rsid w:val="002A6058"/>
    <w:rsid w:val="002B126C"/>
    <w:rsid w:val="002B6671"/>
    <w:rsid w:val="002B6A34"/>
    <w:rsid w:val="002C0290"/>
    <w:rsid w:val="002C5CED"/>
    <w:rsid w:val="002C68EC"/>
    <w:rsid w:val="002C70D4"/>
    <w:rsid w:val="002C78BA"/>
    <w:rsid w:val="002D02E9"/>
    <w:rsid w:val="002D076D"/>
    <w:rsid w:val="002D208C"/>
    <w:rsid w:val="002D22A3"/>
    <w:rsid w:val="002D6AAE"/>
    <w:rsid w:val="002E50B0"/>
    <w:rsid w:val="002E6076"/>
    <w:rsid w:val="002E6293"/>
    <w:rsid w:val="002E7E93"/>
    <w:rsid w:val="002F7C04"/>
    <w:rsid w:val="00302F3E"/>
    <w:rsid w:val="0030370E"/>
    <w:rsid w:val="00303D7F"/>
    <w:rsid w:val="003061A8"/>
    <w:rsid w:val="003117D5"/>
    <w:rsid w:val="0031550B"/>
    <w:rsid w:val="00315E51"/>
    <w:rsid w:val="0032304C"/>
    <w:rsid w:val="003372E4"/>
    <w:rsid w:val="003374FD"/>
    <w:rsid w:val="00343150"/>
    <w:rsid w:val="00343C71"/>
    <w:rsid w:val="00343D97"/>
    <w:rsid w:val="00344A6E"/>
    <w:rsid w:val="003453CA"/>
    <w:rsid w:val="00350FBC"/>
    <w:rsid w:val="00357111"/>
    <w:rsid w:val="0036130B"/>
    <w:rsid w:val="00365D6B"/>
    <w:rsid w:val="003710A9"/>
    <w:rsid w:val="003720A5"/>
    <w:rsid w:val="0037219B"/>
    <w:rsid w:val="00375C6E"/>
    <w:rsid w:val="003779CA"/>
    <w:rsid w:val="003824DC"/>
    <w:rsid w:val="003862DA"/>
    <w:rsid w:val="0039434A"/>
    <w:rsid w:val="003A1D60"/>
    <w:rsid w:val="003A6C3C"/>
    <w:rsid w:val="003B11A9"/>
    <w:rsid w:val="003B168C"/>
    <w:rsid w:val="003B18FB"/>
    <w:rsid w:val="003B7257"/>
    <w:rsid w:val="003B78F3"/>
    <w:rsid w:val="003C1DCE"/>
    <w:rsid w:val="003C642D"/>
    <w:rsid w:val="003C7031"/>
    <w:rsid w:val="003D2067"/>
    <w:rsid w:val="003D28DF"/>
    <w:rsid w:val="003D5D7D"/>
    <w:rsid w:val="003E4C9D"/>
    <w:rsid w:val="003E62FA"/>
    <w:rsid w:val="003F2443"/>
    <w:rsid w:val="003F53DC"/>
    <w:rsid w:val="003F5CEC"/>
    <w:rsid w:val="003F7D24"/>
    <w:rsid w:val="00400339"/>
    <w:rsid w:val="00403C45"/>
    <w:rsid w:val="004051CF"/>
    <w:rsid w:val="00405B01"/>
    <w:rsid w:val="004064BE"/>
    <w:rsid w:val="0040703F"/>
    <w:rsid w:val="004111A8"/>
    <w:rsid w:val="00412A11"/>
    <w:rsid w:val="00414238"/>
    <w:rsid w:val="00417DDB"/>
    <w:rsid w:val="00420410"/>
    <w:rsid w:val="00420B96"/>
    <w:rsid w:val="00420CA2"/>
    <w:rsid w:val="00420FC6"/>
    <w:rsid w:val="00430E29"/>
    <w:rsid w:val="00435638"/>
    <w:rsid w:val="00435FDB"/>
    <w:rsid w:val="00437116"/>
    <w:rsid w:val="00441415"/>
    <w:rsid w:val="00444483"/>
    <w:rsid w:val="00445C92"/>
    <w:rsid w:val="004468D8"/>
    <w:rsid w:val="0045153C"/>
    <w:rsid w:val="00453AF2"/>
    <w:rsid w:val="00454C64"/>
    <w:rsid w:val="00461C2A"/>
    <w:rsid w:val="00464DE1"/>
    <w:rsid w:val="00466766"/>
    <w:rsid w:val="004669CB"/>
    <w:rsid w:val="00466FF1"/>
    <w:rsid w:val="00467420"/>
    <w:rsid w:val="0047110D"/>
    <w:rsid w:val="00471E1D"/>
    <w:rsid w:val="00472837"/>
    <w:rsid w:val="004756E3"/>
    <w:rsid w:val="00476949"/>
    <w:rsid w:val="00477A03"/>
    <w:rsid w:val="00480261"/>
    <w:rsid w:val="004808CC"/>
    <w:rsid w:val="00481A71"/>
    <w:rsid w:val="004848D7"/>
    <w:rsid w:val="00484A80"/>
    <w:rsid w:val="00484C87"/>
    <w:rsid w:val="0048640B"/>
    <w:rsid w:val="00496697"/>
    <w:rsid w:val="0049673B"/>
    <w:rsid w:val="00496C89"/>
    <w:rsid w:val="00496F1A"/>
    <w:rsid w:val="004A668D"/>
    <w:rsid w:val="004B4A88"/>
    <w:rsid w:val="004B6FBF"/>
    <w:rsid w:val="004C00DF"/>
    <w:rsid w:val="004C172E"/>
    <w:rsid w:val="004C327D"/>
    <w:rsid w:val="004D0B05"/>
    <w:rsid w:val="004D2304"/>
    <w:rsid w:val="004D4576"/>
    <w:rsid w:val="004D58DE"/>
    <w:rsid w:val="004D7DBA"/>
    <w:rsid w:val="004E1603"/>
    <w:rsid w:val="004E3F96"/>
    <w:rsid w:val="004E4EC9"/>
    <w:rsid w:val="004F0104"/>
    <w:rsid w:val="004F0F8C"/>
    <w:rsid w:val="004F3549"/>
    <w:rsid w:val="004F3E88"/>
    <w:rsid w:val="004F5068"/>
    <w:rsid w:val="004F59BC"/>
    <w:rsid w:val="004F723B"/>
    <w:rsid w:val="00502ABB"/>
    <w:rsid w:val="0050402C"/>
    <w:rsid w:val="00506A76"/>
    <w:rsid w:val="005106CE"/>
    <w:rsid w:val="0051132F"/>
    <w:rsid w:val="0051182D"/>
    <w:rsid w:val="00513DE1"/>
    <w:rsid w:val="00517077"/>
    <w:rsid w:val="00525922"/>
    <w:rsid w:val="00527406"/>
    <w:rsid w:val="00531320"/>
    <w:rsid w:val="0053198F"/>
    <w:rsid w:val="00532011"/>
    <w:rsid w:val="00533AB4"/>
    <w:rsid w:val="00534711"/>
    <w:rsid w:val="005379F4"/>
    <w:rsid w:val="005408A8"/>
    <w:rsid w:val="00540AED"/>
    <w:rsid w:val="00541ACD"/>
    <w:rsid w:val="00541CD5"/>
    <w:rsid w:val="00547323"/>
    <w:rsid w:val="005479E5"/>
    <w:rsid w:val="005539D6"/>
    <w:rsid w:val="005548BC"/>
    <w:rsid w:val="00556A01"/>
    <w:rsid w:val="00556ABE"/>
    <w:rsid w:val="00556E75"/>
    <w:rsid w:val="005577FD"/>
    <w:rsid w:val="00566AF6"/>
    <w:rsid w:val="005678F5"/>
    <w:rsid w:val="005713A1"/>
    <w:rsid w:val="00571403"/>
    <w:rsid w:val="00575C08"/>
    <w:rsid w:val="00580C7E"/>
    <w:rsid w:val="005853CC"/>
    <w:rsid w:val="00585EBC"/>
    <w:rsid w:val="005872C6"/>
    <w:rsid w:val="005909C0"/>
    <w:rsid w:val="005943C3"/>
    <w:rsid w:val="00594FF8"/>
    <w:rsid w:val="005957D7"/>
    <w:rsid w:val="0059604B"/>
    <w:rsid w:val="00597A1F"/>
    <w:rsid w:val="005A1F88"/>
    <w:rsid w:val="005A280E"/>
    <w:rsid w:val="005A49EC"/>
    <w:rsid w:val="005A5B45"/>
    <w:rsid w:val="005A5FA1"/>
    <w:rsid w:val="005B2F47"/>
    <w:rsid w:val="005B4DB4"/>
    <w:rsid w:val="005C1785"/>
    <w:rsid w:val="005C4347"/>
    <w:rsid w:val="005D11D9"/>
    <w:rsid w:val="005D1CE4"/>
    <w:rsid w:val="005D6A3D"/>
    <w:rsid w:val="005D7B93"/>
    <w:rsid w:val="005E295A"/>
    <w:rsid w:val="005E4708"/>
    <w:rsid w:val="005F0204"/>
    <w:rsid w:val="005F0E51"/>
    <w:rsid w:val="005F1F40"/>
    <w:rsid w:val="005F216D"/>
    <w:rsid w:val="005F6698"/>
    <w:rsid w:val="005F6969"/>
    <w:rsid w:val="00601D15"/>
    <w:rsid w:val="006022D8"/>
    <w:rsid w:val="00614036"/>
    <w:rsid w:val="0061465C"/>
    <w:rsid w:val="00614F68"/>
    <w:rsid w:val="00624D3B"/>
    <w:rsid w:val="006250C8"/>
    <w:rsid w:val="00626F43"/>
    <w:rsid w:val="0063021D"/>
    <w:rsid w:val="0063125C"/>
    <w:rsid w:val="00631A32"/>
    <w:rsid w:val="00632E07"/>
    <w:rsid w:val="0063309B"/>
    <w:rsid w:val="00633536"/>
    <w:rsid w:val="00637A9C"/>
    <w:rsid w:val="00637E68"/>
    <w:rsid w:val="006402F5"/>
    <w:rsid w:val="0064045B"/>
    <w:rsid w:val="00644943"/>
    <w:rsid w:val="00655403"/>
    <w:rsid w:val="00655559"/>
    <w:rsid w:val="00661B58"/>
    <w:rsid w:val="0066744E"/>
    <w:rsid w:val="0067023E"/>
    <w:rsid w:val="00671C68"/>
    <w:rsid w:val="006720D8"/>
    <w:rsid w:val="00673B11"/>
    <w:rsid w:val="00677310"/>
    <w:rsid w:val="00680E1E"/>
    <w:rsid w:val="00681CEF"/>
    <w:rsid w:val="00682E67"/>
    <w:rsid w:val="0068591F"/>
    <w:rsid w:val="006870DB"/>
    <w:rsid w:val="0069156E"/>
    <w:rsid w:val="00696C5C"/>
    <w:rsid w:val="00697798"/>
    <w:rsid w:val="006A00E1"/>
    <w:rsid w:val="006A21BC"/>
    <w:rsid w:val="006A3777"/>
    <w:rsid w:val="006A40C3"/>
    <w:rsid w:val="006A57FA"/>
    <w:rsid w:val="006B0CFE"/>
    <w:rsid w:val="006B4B6A"/>
    <w:rsid w:val="006B5046"/>
    <w:rsid w:val="006B70B4"/>
    <w:rsid w:val="006C57D4"/>
    <w:rsid w:val="006C7B44"/>
    <w:rsid w:val="006D0291"/>
    <w:rsid w:val="006D1D10"/>
    <w:rsid w:val="006D4C24"/>
    <w:rsid w:val="006D4C37"/>
    <w:rsid w:val="006D539F"/>
    <w:rsid w:val="006E40EF"/>
    <w:rsid w:val="006E4361"/>
    <w:rsid w:val="006E793D"/>
    <w:rsid w:val="006F1402"/>
    <w:rsid w:val="006F2A62"/>
    <w:rsid w:val="006F3869"/>
    <w:rsid w:val="006F471A"/>
    <w:rsid w:val="006F6F14"/>
    <w:rsid w:val="006F7911"/>
    <w:rsid w:val="00701302"/>
    <w:rsid w:val="00706CC4"/>
    <w:rsid w:val="0071291C"/>
    <w:rsid w:val="00712E5E"/>
    <w:rsid w:val="007133F0"/>
    <w:rsid w:val="007137F3"/>
    <w:rsid w:val="007223EA"/>
    <w:rsid w:val="007249DA"/>
    <w:rsid w:val="00725CB8"/>
    <w:rsid w:val="00725D91"/>
    <w:rsid w:val="00730731"/>
    <w:rsid w:val="00730738"/>
    <w:rsid w:val="007420EE"/>
    <w:rsid w:val="00745241"/>
    <w:rsid w:val="007452D6"/>
    <w:rsid w:val="00745A7C"/>
    <w:rsid w:val="007461A1"/>
    <w:rsid w:val="0074778A"/>
    <w:rsid w:val="00747C1A"/>
    <w:rsid w:val="00750A02"/>
    <w:rsid w:val="007523EC"/>
    <w:rsid w:val="00752761"/>
    <w:rsid w:val="00760135"/>
    <w:rsid w:val="00762475"/>
    <w:rsid w:val="00770674"/>
    <w:rsid w:val="007708ED"/>
    <w:rsid w:val="0077163B"/>
    <w:rsid w:val="00775906"/>
    <w:rsid w:val="007838E8"/>
    <w:rsid w:val="00784496"/>
    <w:rsid w:val="00794691"/>
    <w:rsid w:val="007955A6"/>
    <w:rsid w:val="00796F14"/>
    <w:rsid w:val="007A04FE"/>
    <w:rsid w:val="007A6952"/>
    <w:rsid w:val="007B3352"/>
    <w:rsid w:val="007B4099"/>
    <w:rsid w:val="007B4CCB"/>
    <w:rsid w:val="007C409B"/>
    <w:rsid w:val="007C4E54"/>
    <w:rsid w:val="007C507F"/>
    <w:rsid w:val="007C5371"/>
    <w:rsid w:val="007C5433"/>
    <w:rsid w:val="007C55AD"/>
    <w:rsid w:val="007C5DB9"/>
    <w:rsid w:val="007C64F4"/>
    <w:rsid w:val="007D11B7"/>
    <w:rsid w:val="007D20C5"/>
    <w:rsid w:val="007E45A2"/>
    <w:rsid w:val="007E5A4D"/>
    <w:rsid w:val="007E6996"/>
    <w:rsid w:val="007E7400"/>
    <w:rsid w:val="007F403E"/>
    <w:rsid w:val="007F7A53"/>
    <w:rsid w:val="0080169B"/>
    <w:rsid w:val="00804232"/>
    <w:rsid w:val="00816A12"/>
    <w:rsid w:val="00823701"/>
    <w:rsid w:val="00823E55"/>
    <w:rsid w:val="0082658D"/>
    <w:rsid w:val="00826867"/>
    <w:rsid w:val="008314A1"/>
    <w:rsid w:val="00831530"/>
    <w:rsid w:val="008336DF"/>
    <w:rsid w:val="008378B0"/>
    <w:rsid w:val="00841381"/>
    <w:rsid w:val="00842DEE"/>
    <w:rsid w:val="008441A1"/>
    <w:rsid w:val="00847837"/>
    <w:rsid w:val="008478B8"/>
    <w:rsid w:val="00852E8D"/>
    <w:rsid w:val="00861CE3"/>
    <w:rsid w:val="00863F3B"/>
    <w:rsid w:val="00866BAA"/>
    <w:rsid w:val="00872879"/>
    <w:rsid w:val="008771A6"/>
    <w:rsid w:val="008775E1"/>
    <w:rsid w:val="00886606"/>
    <w:rsid w:val="00887DF0"/>
    <w:rsid w:val="0089658C"/>
    <w:rsid w:val="00897E19"/>
    <w:rsid w:val="008A4251"/>
    <w:rsid w:val="008A4698"/>
    <w:rsid w:val="008B1C16"/>
    <w:rsid w:val="008B4679"/>
    <w:rsid w:val="008B75A3"/>
    <w:rsid w:val="008B7EDD"/>
    <w:rsid w:val="008C4C10"/>
    <w:rsid w:val="008C646B"/>
    <w:rsid w:val="008C6F67"/>
    <w:rsid w:val="008D00B8"/>
    <w:rsid w:val="008D039E"/>
    <w:rsid w:val="008D0682"/>
    <w:rsid w:val="008D3562"/>
    <w:rsid w:val="008D4594"/>
    <w:rsid w:val="008D6841"/>
    <w:rsid w:val="008D7450"/>
    <w:rsid w:val="008E0428"/>
    <w:rsid w:val="008E48B4"/>
    <w:rsid w:val="008F2B97"/>
    <w:rsid w:val="008F6F90"/>
    <w:rsid w:val="008F7116"/>
    <w:rsid w:val="008F7F29"/>
    <w:rsid w:val="009001B5"/>
    <w:rsid w:val="00903246"/>
    <w:rsid w:val="00903325"/>
    <w:rsid w:val="00903ED3"/>
    <w:rsid w:val="00905CCB"/>
    <w:rsid w:val="00915B00"/>
    <w:rsid w:val="0091617E"/>
    <w:rsid w:val="0091702F"/>
    <w:rsid w:val="00917BE9"/>
    <w:rsid w:val="009217F9"/>
    <w:rsid w:val="0092226C"/>
    <w:rsid w:val="009240AB"/>
    <w:rsid w:val="00924E15"/>
    <w:rsid w:val="00925A79"/>
    <w:rsid w:val="009270EB"/>
    <w:rsid w:val="0093052B"/>
    <w:rsid w:val="0093165A"/>
    <w:rsid w:val="00932DD0"/>
    <w:rsid w:val="00933BE2"/>
    <w:rsid w:val="0093457A"/>
    <w:rsid w:val="00943530"/>
    <w:rsid w:val="009515B3"/>
    <w:rsid w:val="0095581B"/>
    <w:rsid w:val="00955C8D"/>
    <w:rsid w:val="00961DDB"/>
    <w:rsid w:val="00962299"/>
    <w:rsid w:val="00964FC7"/>
    <w:rsid w:val="00965B1A"/>
    <w:rsid w:val="00967B15"/>
    <w:rsid w:val="00977260"/>
    <w:rsid w:val="009772A6"/>
    <w:rsid w:val="009778B5"/>
    <w:rsid w:val="00977E95"/>
    <w:rsid w:val="009844B2"/>
    <w:rsid w:val="009859DB"/>
    <w:rsid w:val="009975C9"/>
    <w:rsid w:val="009975FE"/>
    <w:rsid w:val="009A1244"/>
    <w:rsid w:val="009A424F"/>
    <w:rsid w:val="009B3BA5"/>
    <w:rsid w:val="009B442D"/>
    <w:rsid w:val="009B6795"/>
    <w:rsid w:val="009B6CCE"/>
    <w:rsid w:val="009C1865"/>
    <w:rsid w:val="009C35AF"/>
    <w:rsid w:val="009C715D"/>
    <w:rsid w:val="009D0B13"/>
    <w:rsid w:val="009D2479"/>
    <w:rsid w:val="009D46DF"/>
    <w:rsid w:val="009D62E7"/>
    <w:rsid w:val="009E22A9"/>
    <w:rsid w:val="009F01B6"/>
    <w:rsid w:val="009F245F"/>
    <w:rsid w:val="00A00B87"/>
    <w:rsid w:val="00A02213"/>
    <w:rsid w:val="00A078DF"/>
    <w:rsid w:val="00A1168F"/>
    <w:rsid w:val="00A13EBF"/>
    <w:rsid w:val="00A141C2"/>
    <w:rsid w:val="00A17950"/>
    <w:rsid w:val="00A258B6"/>
    <w:rsid w:val="00A26763"/>
    <w:rsid w:val="00A318C5"/>
    <w:rsid w:val="00A3341A"/>
    <w:rsid w:val="00A36A49"/>
    <w:rsid w:val="00A37040"/>
    <w:rsid w:val="00A37A84"/>
    <w:rsid w:val="00A42B9F"/>
    <w:rsid w:val="00A44D46"/>
    <w:rsid w:val="00A51081"/>
    <w:rsid w:val="00A56DAA"/>
    <w:rsid w:val="00A64847"/>
    <w:rsid w:val="00A66636"/>
    <w:rsid w:val="00A66FB0"/>
    <w:rsid w:val="00A67A9B"/>
    <w:rsid w:val="00A748EF"/>
    <w:rsid w:val="00A80C04"/>
    <w:rsid w:val="00A84786"/>
    <w:rsid w:val="00A855B4"/>
    <w:rsid w:val="00A8629C"/>
    <w:rsid w:val="00A90C4E"/>
    <w:rsid w:val="00A914E8"/>
    <w:rsid w:val="00A93BC0"/>
    <w:rsid w:val="00AA2018"/>
    <w:rsid w:val="00AA6ACD"/>
    <w:rsid w:val="00AA7495"/>
    <w:rsid w:val="00AB5765"/>
    <w:rsid w:val="00AB5CF9"/>
    <w:rsid w:val="00AB61F9"/>
    <w:rsid w:val="00AC4EF4"/>
    <w:rsid w:val="00AC630A"/>
    <w:rsid w:val="00AC6A33"/>
    <w:rsid w:val="00AC7FEC"/>
    <w:rsid w:val="00AD117E"/>
    <w:rsid w:val="00AD5410"/>
    <w:rsid w:val="00AE1A73"/>
    <w:rsid w:val="00AF31C3"/>
    <w:rsid w:val="00AF4EDA"/>
    <w:rsid w:val="00AF6CCC"/>
    <w:rsid w:val="00B0037A"/>
    <w:rsid w:val="00B03B70"/>
    <w:rsid w:val="00B0602E"/>
    <w:rsid w:val="00B06D8D"/>
    <w:rsid w:val="00B06E35"/>
    <w:rsid w:val="00B10CD3"/>
    <w:rsid w:val="00B12CFB"/>
    <w:rsid w:val="00B141D9"/>
    <w:rsid w:val="00B14F52"/>
    <w:rsid w:val="00B1593C"/>
    <w:rsid w:val="00B17509"/>
    <w:rsid w:val="00B40531"/>
    <w:rsid w:val="00B4169A"/>
    <w:rsid w:val="00B5308E"/>
    <w:rsid w:val="00B55E67"/>
    <w:rsid w:val="00B609F9"/>
    <w:rsid w:val="00B63BF2"/>
    <w:rsid w:val="00B63F28"/>
    <w:rsid w:val="00B72D0E"/>
    <w:rsid w:val="00B747C1"/>
    <w:rsid w:val="00B74B55"/>
    <w:rsid w:val="00B77B0D"/>
    <w:rsid w:val="00B822CD"/>
    <w:rsid w:val="00B926F0"/>
    <w:rsid w:val="00B93D1B"/>
    <w:rsid w:val="00B976F9"/>
    <w:rsid w:val="00BA25E2"/>
    <w:rsid w:val="00BA2B6E"/>
    <w:rsid w:val="00BA3DAF"/>
    <w:rsid w:val="00BA3FDB"/>
    <w:rsid w:val="00BA4BD9"/>
    <w:rsid w:val="00BA4F94"/>
    <w:rsid w:val="00BA6100"/>
    <w:rsid w:val="00BB64CC"/>
    <w:rsid w:val="00BB6B1F"/>
    <w:rsid w:val="00BC3C64"/>
    <w:rsid w:val="00BC3EE2"/>
    <w:rsid w:val="00BC4CFC"/>
    <w:rsid w:val="00BC7795"/>
    <w:rsid w:val="00BD2DA4"/>
    <w:rsid w:val="00BD42EE"/>
    <w:rsid w:val="00BE0091"/>
    <w:rsid w:val="00BE7D38"/>
    <w:rsid w:val="00BF763F"/>
    <w:rsid w:val="00C138E8"/>
    <w:rsid w:val="00C1433F"/>
    <w:rsid w:val="00C14360"/>
    <w:rsid w:val="00C17E9A"/>
    <w:rsid w:val="00C21CB2"/>
    <w:rsid w:val="00C3306F"/>
    <w:rsid w:val="00C33D05"/>
    <w:rsid w:val="00C35BB5"/>
    <w:rsid w:val="00C36716"/>
    <w:rsid w:val="00C41234"/>
    <w:rsid w:val="00C42F48"/>
    <w:rsid w:val="00C4780B"/>
    <w:rsid w:val="00C508DF"/>
    <w:rsid w:val="00C540C0"/>
    <w:rsid w:val="00C62D38"/>
    <w:rsid w:val="00C70345"/>
    <w:rsid w:val="00C74570"/>
    <w:rsid w:val="00C76B50"/>
    <w:rsid w:val="00C76F1F"/>
    <w:rsid w:val="00C8212F"/>
    <w:rsid w:val="00C8730B"/>
    <w:rsid w:val="00C903E4"/>
    <w:rsid w:val="00C91030"/>
    <w:rsid w:val="00C96250"/>
    <w:rsid w:val="00C97410"/>
    <w:rsid w:val="00C97665"/>
    <w:rsid w:val="00CA4182"/>
    <w:rsid w:val="00CA695E"/>
    <w:rsid w:val="00CB58AA"/>
    <w:rsid w:val="00CB6EF8"/>
    <w:rsid w:val="00CB775C"/>
    <w:rsid w:val="00CB7EBF"/>
    <w:rsid w:val="00CC24CA"/>
    <w:rsid w:val="00CC3238"/>
    <w:rsid w:val="00CC6337"/>
    <w:rsid w:val="00CC6DB3"/>
    <w:rsid w:val="00CD2734"/>
    <w:rsid w:val="00CD6436"/>
    <w:rsid w:val="00CE2ABF"/>
    <w:rsid w:val="00CE4866"/>
    <w:rsid w:val="00CE5D2F"/>
    <w:rsid w:val="00CE7414"/>
    <w:rsid w:val="00CF06C6"/>
    <w:rsid w:val="00CF45BE"/>
    <w:rsid w:val="00D01C43"/>
    <w:rsid w:val="00D10B67"/>
    <w:rsid w:val="00D1237D"/>
    <w:rsid w:val="00D1569A"/>
    <w:rsid w:val="00D16E74"/>
    <w:rsid w:val="00D244B4"/>
    <w:rsid w:val="00D26BE3"/>
    <w:rsid w:val="00D32052"/>
    <w:rsid w:val="00D42AE1"/>
    <w:rsid w:val="00D43385"/>
    <w:rsid w:val="00D4525A"/>
    <w:rsid w:val="00D5379C"/>
    <w:rsid w:val="00D60A61"/>
    <w:rsid w:val="00D6307A"/>
    <w:rsid w:val="00D66448"/>
    <w:rsid w:val="00D706C6"/>
    <w:rsid w:val="00D720B1"/>
    <w:rsid w:val="00D72B13"/>
    <w:rsid w:val="00D76DF8"/>
    <w:rsid w:val="00D80EEA"/>
    <w:rsid w:val="00D844F2"/>
    <w:rsid w:val="00D8525C"/>
    <w:rsid w:val="00D95012"/>
    <w:rsid w:val="00D95F13"/>
    <w:rsid w:val="00D9794A"/>
    <w:rsid w:val="00DA14E3"/>
    <w:rsid w:val="00DA1D24"/>
    <w:rsid w:val="00DA2200"/>
    <w:rsid w:val="00DA4424"/>
    <w:rsid w:val="00DA51FC"/>
    <w:rsid w:val="00DA6EAC"/>
    <w:rsid w:val="00DB0082"/>
    <w:rsid w:val="00DB1CC5"/>
    <w:rsid w:val="00DB2617"/>
    <w:rsid w:val="00DB43D1"/>
    <w:rsid w:val="00DC0C63"/>
    <w:rsid w:val="00DC0D2F"/>
    <w:rsid w:val="00DC5EB3"/>
    <w:rsid w:val="00DD2F4F"/>
    <w:rsid w:val="00DD387C"/>
    <w:rsid w:val="00DE2A7E"/>
    <w:rsid w:val="00DE7407"/>
    <w:rsid w:val="00DF0693"/>
    <w:rsid w:val="00DF70B2"/>
    <w:rsid w:val="00DF7E88"/>
    <w:rsid w:val="00E02898"/>
    <w:rsid w:val="00E03194"/>
    <w:rsid w:val="00E05A1B"/>
    <w:rsid w:val="00E06BF6"/>
    <w:rsid w:val="00E11005"/>
    <w:rsid w:val="00E152E6"/>
    <w:rsid w:val="00E155EC"/>
    <w:rsid w:val="00E24ECB"/>
    <w:rsid w:val="00E25636"/>
    <w:rsid w:val="00E26024"/>
    <w:rsid w:val="00E26685"/>
    <w:rsid w:val="00E30621"/>
    <w:rsid w:val="00E334F1"/>
    <w:rsid w:val="00E34025"/>
    <w:rsid w:val="00E358A5"/>
    <w:rsid w:val="00E4148C"/>
    <w:rsid w:val="00E4159E"/>
    <w:rsid w:val="00E47758"/>
    <w:rsid w:val="00E5767D"/>
    <w:rsid w:val="00E6663F"/>
    <w:rsid w:val="00E74FF6"/>
    <w:rsid w:val="00E7778E"/>
    <w:rsid w:val="00E802F7"/>
    <w:rsid w:val="00E8171C"/>
    <w:rsid w:val="00E82702"/>
    <w:rsid w:val="00E9020F"/>
    <w:rsid w:val="00E92580"/>
    <w:rsid w:val="00E9472E"/>
    <w:rsid w:val="00E96CA5"/>
    <w:rsid w:val="00E97EBB"/>
    <w:rsid w:val="00EA01C9"/>
    <w:rsid w:val="00EA12C8"/>
    <w:rsid w:val="00EB06CC"/>
    <w:rsid w:val="00EB2519"/>
    <w:rsid w:val="00EC0A9E"/>
    <w:rsid w:val="00EC1956"/>
    <w:rsid w:val="00EC54F3"/>
    <w:rsid w:val="00EC61E7"/>
    <w:rsid w:val="00EC7F0F"/>
    <w:rsid w:val="00ED05F0"/>
    <w:rsid w:val="00ED1EBB"/>
    <w:rsid w:val="00ED2D35"/>
    <w:rsid w:val="00ED646B"/>
    <w:rsid w:val="00ED6F56"/>
    <w:rsid w:val="00EE0284"/>
    <w:rsid w:val="00EE3EB7"/>
    <w:rsid w:val="00EE4645"/>
    <w:rsid w:val="00EE5892"/>
    <w:rsid w:val="00EE5BA5"/>
    <w:rsid w:val="00EF068C"/>
    <w:rsid w:val="00EF0F2E"/>
    <w:rsid w:val="00EF14A9"/>
    <w:rsid w:val="00EF44A5"/>
    <w:rsid w:val="00EF65AC"/>
    <w:rsid w:val="00F01581"/>
    <w:rsid w:val="00F068FE"/>
    <w:rsid w:val="00F06C01"/>
    <w:rsid w:val="00F20926"/>
    <w:rsid w:val="00F21126"/>
    <w:rsid w:val="00F274CA"/>
    <w:rsid w:val="00F33A49"/>
    <w:rsid w:val="00F355EB"/>
    <w:rsid w:val="00F36271"/>
    <w:rsid w:val="00F36789"/>
    <w:rsid w:val="00F46987"/>
    <w:rsid w:val="00F503FE"/>
    <w:rsid w:val="00F5289B"/>
    <w:rsid w:val="00F52ACE"/>
    <w:rsid w:val="00F539D8"/>
    <w:rsid w:val="00F53D69"/>
    <w:rsid w:val="00F54777"/>
    <w:rsid w:val="00F55710"/>
    <w:rsid w:val="00F627CA"/>
    <w:rsid w:val="00F635B4"/>
    <w:rsid w:val="00F6382D"/>
    <w:rsid w:val="00F66917"/>
    <w:rsid w:val="00F67644"/>
    <w:rsid w:val="00F739EB"/>
    <w:rsid w:val="00F73A8C"/>
    <w:rsid w:val="00F73FD1"/>
    <w:rsid w:val="00F75FE4"/>
    <w:rsid w:val="00F7677A"/>
    <w:rsid w:val="00F82E97"/>
    <w:rsid w:val="00F84AFF"/>
    <w:rsid w:val="00F92F43"/>
    <w:rsid w:val="00F93336"/>
    <w:rsid w:val="00F96A88"/>
    <w:rsid w:val="00FA2094"/>
    <w:rsid w:val="00FA2AB6"/>
    <w:rsid w:val="00FA34B4"/>
    <w:rsid w:val="00FA6034"/>
    <w:rsid w:val="00FA7ABC"/>
    <w:rsid w:val="00FB4370"/>
    <w:rsid w:val="00FB6DF3"/>
    <w:rsid w:val="00FC15CE"/>
    <w:rsid w:val="00FC2032"/>
    <w:rsid w:val="00FC60F1"/>
    <w:rsid w:val="00FD3A00"/>
    <w:rsid w:val="00FD7355"/>
    <w:rsid w:val="00FE382C"/>
    <w:rsid w:val="00FE508E"/>
    <w:rsid w:val="00FE6334"/>
    <w:rsid w:val="00FF1DCB"/>
    <w:rsid w:val="00FF4BCA"/>
    <w:rsid w:val="01A03344"/>
    <w:rsid w:val="07835016"/>
    <w:rsid w:val="0EAE6712"/>
    <w:rsid w:val="17066D1D"/>
    <w:rsid w:val="17243E1F"/>
    <w:rsid w:val="1F405A7A"/>
    <w:rsid w:val="29B02B2C"/>
    <w:rsid w:val="29EC32C6"/>
    <w:rsid w:val="2E7B378A"/>
    <w:rsid w:val="36582614"/>
    <w:rsid w:val="388836F4"/>
    <w:rsid w:val="3E3D631A"/>
    <w:rsid w:val="40FC5FB8"/>
    <w:rsid w:val="43F81234"/>
    <w:rsid w:val="44CE1D2D"/>
    <w:rsid w:val="47653DFC"/>
    <w:rsid w:val="493A129E"/>
    <w:rsid w:val="52130494"/>
    <w:rsid w:val="5682265A"/>
    <w:rsid w:val="59233C37"/>
    <w:rsid w:val="64E342E4"/>
    <w:rsid w:val="682A50D6"/>
    <w:rsid w:val="689543EE"/>
    <w:rsid w:val="6F0B6D06"/>
    <w:rsid w:val="6F8F3A62"/>
    <w:rsid w:val="74043EE6"/>
    <w:rsid w:val="75C003D3"/>
    <w:rsid w:val="75D75126"/>
    <w:rsid w:val="7FB6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36"/>
      <w:szCs w:val="44"/>
    </w:rPr>
  </w:style>
  <w:style w:type="paragraph" w:styleId="3">
    <w:name w:val="heading 2"/>
    <w:basedOn w:val="1"/>
    <w:next w:val="1"/>
    <w:link w:val="24"/>
    <w:unhideWhenUsed/>
    <w:qFormat/>
    <w:uiPriority w:val="9"/>
    <w:pPr>
      <w:keepNext/>
      <w:keepLines/>
      <w:spacing w:before="260" w:after="260" w:line="415"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numPr>
        <w:ilvl w:val="0"/>
        <w:numId w:val="1"/>
      </w:numPr>
      <w:spacing w:before="260" w:after="260" w:line="415" w:lineRule="auto"/>
      <w:ind w:firstLine="0" w:firstLineChars="0"/>
      <w:outlineLvl w:val="2"/>
    </w:pPr>
    <w:rPr>
      <w:b/>
      <w:bCs/>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Document Map"/>
    <w:basedOn w:val="1"/>
    <w:link w:val="33"/>
    <w:semiHidden/>
    <w:unhideWhenUsed/>
    <w:uiPriority w:val="99"/>
    <w:rPr>
      <w:rFonts w:ascii="宋体" w:eastAsia="宋体"/>
      <w:sz w:val="24"/>
      <w:szCs w:val="24"/>
    </w:rPr>
  </w:style>
  <w:style w:type="paragraph" w:styleId="7">
    <w:name w:val="annotation text"/>
    <w:basedOn w:val="1"/>
    <w:link w:val="29"/>
    <w:unhideWhenUsed/>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6"/>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ind w:firstLine="422"/>
    </w:pPr>
  </w:style>
  <w:style w:type="paragraph" w:styleId="13">
    <w:name w:val="toc 2"/>
    <w:basedOn w:val="1"/>
    <w:next w:val="1"/>
    <w:unhideWhenUsed/>
    <w:qFormat/>
    <w:uiPriority w:val="39"/>
    <w:pPr>
      <w:ind w:left="420" w:leftChars="200"/>
    </w:pPr>
  </w:style>
  <w:style w:type="paragraph" w:styleId="14">
    <w:name w:val="annotation subject"/>
    <w:basedOn w:val="7"/>
    <w:next w:val="7"/>
    <w:link w:val="30"/>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uiPriority w:val="99"/>
    <w:rPr>
      <w:color w:val="954F72" w:themeColor="followedHyperlink"/>
      <w:u w:val="single"/>
      <w14:textFill>
        <w14:solidFill>
          <w14:schemeClr w14:val="folHlink"/>
        </w14:solidFill>
      </w14:textFill>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1"/>
    <w:uiPriority w:val="0"/>
    <w:rPr>
      <w:sz w:val="18"/>
      <w:szCs w:val="18"/>
    </w:rPr>
  </w:style>
  <w:style w:type="character" w:customStyle="1" w:styleId="22">
    <w:name w:val="页脚 Char"/>
    <w:basedOn w:val="17"/>
    <w:link w:val="10"/>
    <w:qFormat/>
    <w:uiPriority w:val="99"/>
    <w:rPr>
      <w:sz w:val="18"/>
      <w:szCs w:val="18"/>
    </w:rPr>
  </w:style>
  <w:style w:type="character" w:customStyle="1" w:styleId="23">
    <w:name w:val="标题 1 Char"/>
    <w:basedOn w:val="17"/>
    <w:link w:val="2"/>
    <w:uiPriority w:val="9"/>
    <w:rPr>
      <w:b/>
      <w:bCs/>
      <w:kern w:val="44"/>
      <w:sz w:val="36"/>
      <w:szCs w:val="44"/>
    </w:rPr>
  </w:style>
  <w:style w:type="character" w:customStyle="1" w:styleId="24">
    <w:name w:val="标题 2 Char"/>
    <w:basedOn w:val="17"/>
    <w:link w:val="3"/>
    <w:qFormat/>
    <w:uiPriority w:val="9"/>
    <w:rPr>
      <w:rFonts w:asciiTheme="majorHAnsi" w:hAnsiTheme="majorHAnsi" w:eastAsiaTheme="majorEastAsia" w:cstheme="majorBidi"/>
      <w:b/>
      <w:bCs/>
      <w:sz w:val="32"/>
      <w:szCs w:val="32"/>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6">
    <w:name w:val="批注框文本 Char"/>
    <w:basedOn w:val="17"/>
    <w:link w:val="9"/>
    <w:semiHidden/>
    <w:qFormat/>
    <w:uiPriority w:val="99"/>
    <w:rPr>
      <w:sz w:val="18"/>
      <w:szCs w:val="18"/>
    </w:rPr>
  </w:style>
  <w:style w:type="character" w:customStyle="1" w:styleId="27">
    <w:name w:val="标题 3 Char"/>
    <w:basedOn w:val="17"/>
    <w:link w:val="4"/>
    <w:qFormat/>
    <w:uiPriority w:val="9"/>
    <w:rPr>
      <w:rFonts w:eastAsiaTheme="minorEastAsia" w:cstheme="minorBidi"/>
      <w:b/>
      <w:bCs/>
      <w:sz w:val="28"/>
      <w:szCs w:val="32"/>
    </w:rPr>
  </w:style>
  <w:style w:type="paragraph" w:styleId="28">
    <w:name w:val="List Paragraph"/>
    <w:basedOn w:val="1"/>
    <w:qFormat/>
    <w:uiPriority w:val="34"/>
    <w:pPr>
      <w:ind w:firstLine="420"/>
    </w:pPr>
  </w:style>
  <w:style w:type="character" w:customStyle="1" w:styleId="29">
    <w:name w:val="批注文字 Char"/>
    <w:basedOn w:val="17"/>
    <w:link w:val="7"/>
    <w:qFormat/>
    <w:uiPriority w:val="99"/>
    <w:rPr>
      <w:sz w:val="28"/>
    </w:rPr>
  </w:style>
  <w:style w:type="character" w:customStyle="1" w:styleId="30">
    <w:name w:val="批注主题 Char"/>
    <w:basedOn w:val="29"/>
    <w:link w:val="14"/>
    <w:semiHidden/>
    <w:qFormat/>
    <w:uiPriority w:val="99"/>
    <w:rPr>
      <w:b/>
      <w:bCs/>
      <w:sz w:val="28"/>
    </w:rPr>
  </w:style>
  <w:style w:type="character" w:customStyle="1" w:styleId="31">
    <w:name w:val="c-title-text"/>
    <w:basedOn w:val="17"/>
    <w:qFormat/>
    <w:uiPriority w:val="0"/>
  </w:style>
  <w:style w:type="character" w:customStyle="1" w:styleId="32">
    <w:name w:val="标题 4 Char"/>
    <w:basedOn w:val="17"/>
    <w:link w:val="5"/>
    <w:qFormat/>
    <w:uiPriority w:val="9"/>
    <w:rPr>
      <w:rFonts w:asciiTheme="majorHAnsi" w:hAnsiTheme="majorHAnsi" w:eastAsiaTheme="majorEastAsia" w:cstheme="majorBidi"/>
      <w:b/>
      <w:bCs/>
      <w:sz w:val="28"/>
      <w:szCs w:val="28"/>
    </w:rPr>
  </w:style>
  <w:style w:type="character" w:customStyle="1" w:styleId="33">
    <w:name w:val="文档结构图 Char"/>
    <w:basedOn w:val="17"/>
    <w:link w:val="6"/>
    <w:semiHidden/>
    <w:qFormat/>
    <w:uiPriority w:val="99"/>
    <w:rPr>
      <w:rFonts w:ascii="宋体" w:hAnsiTheme="minorHAnsi" w:cstheme="minorBidi"/>
      <w:kern w:val="2"/>
      <w:sz w:val="24"/>
      <w:szCs w:val="24"/>
    </w:rPr>
  </w:style>
  <w:style w:type="paragraph" w:customStyle="1" w:styleId="34">
    <w:name w:val="Revision"/>
    <w:hidden/>
    <w:semiHidden/>
    <w:uiPriority w:val="99"/>
    <w:rPr>
      <w:rFonts w:asciiTheme="minorHAnsi" w:hAnsiTheme="minorHAnsi" w:eastAsiaTheme="minorEastAsia"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7C13C-BA10-4EEE-889A-4557000519E6}">
  <ds:schemaRefs/>
</ds:datastoreItem>
</file>

<file path=docProps/app.xml><?xml version="1.0" encoding="utf-8"?>
<Properties xmlns="http://schemas.openxmlformats.org/officeDocument/2006/extended-properties" xmlns:vt="http://schemas.openxmlformats.org/officeDocument/2006/docPropsVTypes">
  <Template>Normal</Template>
  <Pages>64</Pages>
  <Words>31860</Words>
  <Characters>32377</Characters>
  <Lines>309</Lines>
  <Paragraphs>87</Paragraphs>
  <TotalTime>49</TotalTime>
  <ScaleCrop>false</ScaleCrop>
  <LinksUpToDate>false</LinksUpToDate>
  <CharactersWithSpaces>35675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2020-12-10T03:10:00Z</dcterms:created>
  <dc:creator>冯淼</dc:creator>
  <cp:lastModifiedBy>骑车少年</cp:lastModifiedBy>
  <cp:lastPrinted>2020-12-10T03:46:00Z</cp:lastPrinted>
  <dcterms:modified xsi:type="dcterms:W3CDTF">2022-04-11T03:49:17Z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5AF1585F98EC4BDEACFE39DB2AD7534C</vt:lpwstr>
  </property>
</Properties>
</file>