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B9" w:rsidRDefault="003B50B9" w:rsidP="003B50B9">
      <w:pPr>
        <w:spacing w:line="74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第二轮北京市生态环境保护督察</w:t>
      </w:r>
    </w:p>
    <w:p w:rsidR="003B50B9" w:rsidRDefault="003B50B9" w:rsidP="003B50B9">
      <w:pPr>
        <w:spacing w:line="74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整改情况公示表</w:t>
      </w:r>
    </w:p>
    <w:p w:rsidR="003B50B9" w:rsidRDefault="003B50B9" w:rsidP="003B50B9">
      <w:pPr>
        <w:spacing w:line="560" w:lineRule="exact"/>
        <w:ind w:firstLine="56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1224"/>
        <w:gridCol w:w="5217"/>
      </w:tblGrid>
      <w:tr w:rsidR="003B50B9" w:rsidTr="00D533E9">
        <w:trPr>
          <w:trHeight w:val="593"/>
          <w:jc w:val="center"/>
        </w:trPr>
        <w:tc>
          <w:tcPr>
            <w:tcW w:w="2080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整改任务</w:t>
            </w:r>
          </w:p>
        </w:tc>
        <w:tc>
          <w:tcPr>
            <w:tcW w:w="1224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任务编号</w:t>
            </w:r>
          </w:p>
        </w:tc>
        <w:tc>
          <w:tcPr>
            <w:tcW w:w="5217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rPr>
                <w:rFonts w:ascii="黑体" w:eastAsia="黑体" w:hAnsi="黑体" w:cs="黑体"/>
                <w:color w:val="595959"/>
                <w:kern w:val="0"/>
                <w:sz w:val="24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整改方案第二十三项</w:t>
            </w:r>
          </w:p>
        </w:tc>
      </w:tr>
      <w:tr w:rsidR="003B50B9" w:rsidTr="00D533E9">
        <w:trPr>
          <w:trHeight w:val="593"/>
          <w:jc w:val="center"/>
        </w:trPr>
        <w:tc>
          <w:tcPr>
            <w:tcW w:w="2080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24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问题概述</w:t>
            </w:r>
          </w:p>
        </w:tc>
        <w:tc>
          <w:tcPr>
            <w:tcW w:w="5217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jc w:val="left"/>
              <w:rPr>
                <w:rFonts w:ascii="黑体" w:eastAsia="黑体" w:hAnsi="黑体" w:cs="黑体"/>
                <w:color w:val="595959"/>
                <w:kern w:val="0"/>
                <w:sz w:val="36"/>
                <w:szCs w:val="36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餐饮企业油烟设施日常维护不到位，异味扰民问题多发</w:t>
            </w:r>
          </w:p>
        </w:tc>
      </w:tr>
      <w:tr w:rsidR="003B50B9" w:rsidTr="00D533E9">
        <w:trPr>
          <w:trHeight w:val="940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jc w:val="left"/>
              <w:rPr>
                <w:rFonts w:ascii="黑体" w:eastAsia="黑体" w:hAnsi="黑体" w:cs="黑体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西城区生态环境局</w:t>
            </w:r>
          </w:p>
        </w:tc>
      </w:tr>
      <w:tr w:rsidR="003B50B9" w:rsidTr="00D533E9">
        <w:trPr>
          <w:trHeight w:val="843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jc w:val="left"/>
              <w:rPr>
                <w:rFonts w:ascii="黑体" w:eastAsia="黑体" w:hAnsi="黑体" w:cs="黑体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加强油烟净化设备日常维护的监督管理，进一步完善餐饮油烟监控平台功能，充分发挥在线平台监督执法的作用，推动餐饮油烟异味扰民问题持续改善。</w:t>
            </w:r>
          </w:p>
        </w:tc>
      </w:tr>
      <w:tr w:rsidR="003B50B9" w:rsidTr="00D533E9">
        <w:trPr>
          <w:trHeight w:val="415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B50B9" w:rsidRPr="009130FF" w:rsidRDefault="003B50B9" w:rsidP="00D533E9">
            <w:pPr>
              <w:overflowPunct w:val="0"/>
              <w:topLinePunct/>
              <w:spacing w:line="360" w:lineRule="exact"/>
              <w:ind w:firstLineChars="200" w:firstLine="48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（一）完善工作机制，强化日常监管与非现场执法。区生态环境局与街道形成执法合力，以非现场监管+现场检查相结合方式开展日常监管工作，加强餐饮单位油烟净化设备清洗维护，严查不按要求安装、使用净化设备，净化设备空壳、断电，烟道破损泄漏，超标排放等违法行为，并进行处罚整改。广内</w:t>
            </w:r>
            <w:r w:rsidRPr="009130FF">
              <w:rPr>
                <w:rFonts w:ascii="仿宋_GB2312" w:eastAsia="仿宋_GB2312" w:hAnsi="黑体" w:cs="黑体"/>
                <w:sz w:val="24"/>
              </w:rPr>
              <w:t>街道两家餐饮单位未安装油烟净化装置问题</w:t>
            </w:r>
            <w:r w:rsidRPr="009130FF">
              <w:rPr>
                <w:rFonts w:ascii="仿宋_GB2312" w:eastAsia="仿宋_GB2312" w:hAnsi="黑体" w:cs="黑体" w:hint="eastAsia"/>
                <w:sz w:val="24"/>
              </w:rPr>
              <w:t>已完成整改</w:t>
            </w:r>
            <w:r w:rsidRPr="009130FF">
              <w:rPr>
                <w:rFonts w:ascii="仿宋_GB2312" w:eastAsia="仿宋_GB2312" w:hAnsi="黑体" w:cs="黑体"/>
                <w:sz w:val="24"/>
              </w:rPr>
              <w:t>。</w:t>
            </w:r>
          </w:p>
          <w:p w:rsidR="003B50B9" w:rsidRPr="009130FF" w:rsidRDefault="003B50B9" w:rsidP="00D533E9">
            <w:pPr>
              <w:overflowPunct w:val="0"/>
              <w:topLinePunct/>
              <w:spacing w:line="360" w:lineRule="exact"/>
              <w:ind w:firstLineChars="200" w:firstLine="48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（二）用好科技手段，提升监管精准度。持续完善餐饮油烟监控平台功能及覆盖范围，在</w:t>
            </w:r>
            <w:r w:rsidRPr="009130FF">
              <w:rPr>
                <w:rFonts w:ascii="仿宋_GB2312" w:eastAsia="仿宋_GB2312" w:hAnsi="黑体" w:cs="黑体"/>
                <w:sz w:val="24"/>
              </w:rPr>
              <w:t>日常监管中，结合营业时间、客流水平等行业特点，</w:t>
            </w:r>
            <w:r w:rsidRPr="009130FF">
              <w:rPr>
                <w:rFonts w:ascii="仿宋_GB2312" w:eastAsia="仿宋_GB2312" w:hAnsi="黑体" w:cs="黑体" w:hint="eastAsia"/>
                <w:sz w:val="24"/>
              </w:rPr>
              <w:t>有效识别餐饮油烟净化系统问题</w:t>
            </w:r>
            <w:r w:rsidRPr="009130FF">
              <w:rPr>
                <w:rFonts w:ascii="仿宋_GB2312" w:eastAsia="仿宋_GB2312" w:hAnsi="黑体" w:cs="黑体"/>
                <w:sz w:val="24"/>
              </w:rPr>
              <w:t>，</w:t>
            </w:r>
            <w:r w:rsidRPr="009130FF">
              <w:rPr>
                <w:rFonts w:ascii="仿宋_GB2312" w:eastAsia="仿宋_GB2312" w:hAnsi="黑体" w:cs="黑体" w:hint="eastAsia"/>
                <w:sz w:val="24"/>
              </w:rPr>
              <w:t>及时推送问题线索并</w:t>
            </w:r>
            <w:r w:rsidRPr="009130FF">
              <w:rPr>
                <w:rFonts w:ascii="仿宋_GB2312" w:eastAsia="仿宋_GB2312" w:hAnsi="黑体" w:cs="黑体"/>
                <w:sz w:val="24"/>
              </w:rPr>
              <w:t>开展现场执法检查和监测</w:t>
            </w:r>
            <w:r w:rsidRPr="009130FF">
              <w:rPr>
                <w:rFonts w:ascii="仿宋_GB2312" w:eastAsia="仿宋_GB2312" w:hAnsi="黑体" w:cs="黑体" w:hint="eastAsia"/>
                <w:sz w:val="24"/>
              </w:rPr>
              <w:t>，逐步形成企业优先自查、街道日常巡查、生态环境部门执法检查的工作模式。</w:t>
            </w:r>
          </w:p>
          <w:p w:rsidR="003B50B9" w:rsidRDefault="003B50B9" w:rsidP="00D533E9">
            <w:pPr>
              <w:overflowPunct w:val="0"/>
              <w:topLinePunct/>
              <w:spacing w:line="360" w:lineRule="exact"/>
              <w:ind w:firstLineChars="200" w:firstLine="480"/>
              <w:jc w:val="left"/>
              <w:rPr>
                <w:rFonts w:ascii="黑体" w:eastAsia="黑体" w:hAnsi="黑体" w:cs="黑体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（三）增强责任意识，实施餐饮油烟排放专项治理。结合“每月一题”，聚焦群众反映的突出问题，推动重点单位深度治理，开展餐饮企业油烟净化设备升级改造、优化烟道排口朝向等工作，并加大</w:t>
            </w:r>
            <w:r w:rsidRPr="009130FF">
              <w:rPr>
                <w:rFonts w:ascii="仿宋_GB2312" w:eastAsia="仿宋_GB2312" w:hAnsi="黑体" w:cs="黑体"/>
                <w:sz w:val="24"/>
              </w:rPr>
              <w:t>对餐饮企业普法宣传力度，督促企业规范经营，形成守法自律</w:t>
            </w:r>
            <w:r w:rsidRPr="009130FF">
              <w:rPr>
                <w:rFonts w:ascii="仿宋_GB2312" w:eastAsia="仿宋_GB2312" w:hAnsi="黑体" w:cs="黑体" w:hint="eastAsia"/>
                <w:sz w:val="24"/>
              </w:rPr>
              <w:t>、</w:t>
            </w:r>
            <w:r w:rsidRPr="009130FF">
              <w:rPr>
                <w:rFonts w:ascii="仿宋_GB2312" w:eastAsia="仿宋_GB2312" w:hAnsi="黑体" w:cs="黑体"/>
                <w:sz w:val="24"/>
              </w:rPr>
              <w:t>合法自觉</w:t>
            </w:r>
            <w:r w:rsidRPr="009130FF">
              <w:rPr>
                <w:rFonts w:ascii="仿宋_GB2312" w:eastAsia="仿宋_GB2312" w:hAnsi="黑体" w:cs="黑体" w:hint="eastAsia"/>
                <w:sz w:val="24"/>
              </w:rPr>
              <w:t>，切实解决群众反映的油烟异味扰民问题，推动全区餐饮油烟异味扰民问题持续改善。</w:t>
            </w:r>
          </w:p>
        </w:tc>
      </w:tr>
      <w:tr w:rsidR="003B50B9" w:rsidTr="00D533E9">
        <w:trPr>
          <w:trHeight w:val="2493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整改主要工作及成效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pStyle w:val="4"/>
              <w:spacing w:before="0" w:after="0" w:line="360" w:lineRule="exact"/>
              <w:ind w:firstLine="480"/>
              <w:rPr>
                <w:rFonts w:ascii="仿宋_GB2312" w:hAnsi="黑体" w:cs="黑体"/>
                <w:b w:val="0"/>
                <w:bCs w:val="0"/>
                <w:iCs w:val="0"/>
                <w:sz w:val="24"/>
                <w:szCs w:val="24"/>
              </w:rPr>
            </w:pP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（一）强化日常监管与非现场执法。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落实全市餐饮单位专项执法要求，重点围绕投诉举报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夏季高峰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时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期和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重点</w:t>
            </w:r>
            <w:proofErr w:type="gramStart"/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点</w:t>
            </w:r>
            <w:proofErr w:type="gramEnd"/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位，加强餐饮废气日常监管。结合餐饮投诉规模业态、在线监控，创新建立餐饮服务单位分级分类监管机制。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截</w:t>
            </w:r>
            <w:r w:rsidRPr="00DF35E7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至11月底，餐饮单位非现场</w:t>
            </w:r>
            <w:proofErr w:type="gramStart"/>
            <w:r w:rsidRPr="00DF35E7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执法占</w:t>
            </w:r>
            <w:proofErr w:type="gramEnd"/>
            <w:r w:rsidRPr="00DF35E7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比约63%，较去年同比提升58个百分点，全年累计处罚各类违法行为71起，同比增长18%，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有效提高执法监管效能，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广内街道两家餐饮单位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典型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问题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均已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整改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完成</w:t>
            </w: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。</w:t>
            </w:r>
          </w:p>
          <w:p w:rsidR="003B50B9" w:rsidRPr="009130FF" w:rsidRDefault="003B50B9" w:rsidP="00D533E9">
            <w:pPr>
              <w:pStyle w:val="4"/>
              <w:spacing w:before="0" w:after="0" w:line="360" w:lineRule="exact"/>
              <w:ind w:firstLine="480"/>
              <w:rPr>
                <w:rFonts w:ascii="仿宋_GB2312" w:hAnsi="黑体" w:cs="黑体"/>
                <w:b w:val="0"/>
                <w:bCs w:val="0"/>
                <w:iCs w:val="0"/>
                <w:sz w:val="24"/>
                <w:szCs w:val="24"/>
              </w:rPr>
            </w:pPr>
            <w:r w:rsidRPr="009130FF"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（二）</w:t>
            </w:r>
            <w:r>
              <w:rPr>
                <w:rFonts w:ascii="仿宋_GB2312" w:hAnsi="黑体" w:cs="黑体" w:hint="eastAsia"/>
                <w:b w:val="0"/>
                <w:bCs w:val="0"/>
                <w:iCs w:val="0"/>
                <w:sz w:val="24"/>
                <w:szCs w:val="24"/>
              </w:rPr>
              <w:t>持续加强非现场手段运用，探索构建线索筛查-执法检查-整改提升的“闭环”监管模式，持续扩展油烟净化设备在线监控覆盖范围，基本实现四类重点餐饮单位动态覆盖。截至11月底，餐饮单位检查问题发现率约为71%，较去年同期提升约60个百分点，餐饮单位执法精准度大幅提升。</w:t>
            </w:r>
          </w:p>
          <w:p w:rsidR="003B50B9" w:rsidRDefault="003B50B9" w:rsidP="003B50B9">
            <w:pPr>
              <w:overflowPunct w:val="0"/>
              <w:topLinePunct/>
              <w:spacing w:line="360" w:lineRule="exact"/>
              <w:ind w:firstLineChars="200" w:firstLine="480"/>
              <w:jc w:val="left"/>
              <w:rPr>
                <w:rFonts w:ascii="黑体" w:eastAsia="黑体" w:hAnsi="黑体" w:cs="黑体"/>
              </w:rPr>
            </w:pPr>
            <w:r w:rsidRPr="00EB75E9">
              <w:rPr>
                <w:rFonts w:ascii="仿宋_GB2312" w:eastAsia="仿宋_GB2312" w:hAnsi="黑体" w:cs="黑体" w:hint="eastAsia"/>
                <w:sz w:val="24"/>
              </w:rPr>
              <w:t>（三）扎实推进油烟扰民投诉治理。结合全市工作要求，细化制定《西城区“每月一题”餐饮油烟治理专项工作方案》，强化区内部门协同与区街联动。加强餐饮油烟投诉行业统筹，对重点投诉问题与区城指中心建立“日对表、周碰头”工作模式，对重点区域建立领导班子“分片包干”工作机制，全力推动投诉举报问题化解与办</w:t>
            </w:r>
            <w:proofErr w:type="gramStart"/>
            <w:r w:rsidRPr="00EB75E9">
              <w:rPr>
                <w:rFonts w:ascii="仿宋_GB2312" w:eastAsia="仿宋_GB2312" w:hAnsi="黑体" w:cs="黑体" w:hint="eastAsia"/>
                <w:sz w:val="24"/>
              </w:rPr>
              <w:t>件质效</w:t>
            </w:r>
            <w:proofErr w:type="gramEnd"/>
            <w:r w:rsidRPr="00EB75E9">
              <w:rPr>
                <w:rFonts w:ascii="仿宋_GB2312" w:eastAsia="仿宋_GB2312" w:hAnsi="黑体" w:cs="黑体" w:hint="eastAsia"/>
                <w:sz w:val="24"/>
              </w:rPr>
              <w:t>提升。2023年全区重点餐饮油烟投诉举报点</w:t>
            </w:r>
            <w:proofErr w:type="gramStart"/>
            <w:r w:rsidRPr="00EB75E9">
              <w:rPr>
                <w:rFonts w:ascii="仿宋_GB2312" w:eastAsia="仿宋_GB2312" w:hAnsi="黑体" w:cs="黑体" w:hint="eastAsia"/>
                <w:sz w:val="24"/>
              </w:rPr>
              <w:t>位投诉</w:t>
            </w:r>
            <w:proofErr w:type="gramEnd"/>
            <w:r w:rsidRPr="00EB75E9">
              <w:rPr>
                <w:rFonts w:ascii="仿宋_GB2312" w:eastAsia="仿宋_GB2312" w:hAnsi="黑体" w:cs="黑体" w:hint="eastAsia"/>
                <w:sz w:val="24"/>
              </w:rPr>
              <w:t>量同比下降4成。</w:t>
            </w:r>
          </w:p>
        </w:tc>
      </w:tr>
      <w:tr w:rsidR="003B50B9" w:rsidTr="00D533E9">
        <w:trPr>
          <w:trHeight w:val="899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jc w:val="left"/>
              <w:rPr>
                <w:rFonts w:ascii="黑体" w:eastAsia="黑体" w:hAnsi="黑体" w:cs="黑体"/>
                <w:color w:val="595959"/>
                <w:kern w:val="0"/>
                <w:sz w:val="36"/>
                <w:szCs w:val="36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2024年2月至2024年12月，长期坚持</w:t>
            </w:r>
          </w:p>
        </w:tc>
      </w:tr>
      <w:tr w:rsidR="003B50B9" w:rsidTr="00D533E9">
        <w:trPr>
          <w:trHeight w:val="1349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B50B9" w:rsidRDefault="003B50B9" w:rsidP="00D533E9">
            <w:pPr>
              <w:overflowPunct w:val="0"/>
              <w:topLinePunct/>
              <w:spacing w:line="360" w:lineRule="exact"/>
              <w:ind w:firstLine="480"/>
              <w:jc w:val="left"/>
              <w:rPr>
                <w:rFonts w:ascii="黑体" w:eastAsia="黑体" w:hAnsi="黑体" w:cs="黑体"/>
                <w:color w:val="595959"/>
                <w:kern w:val="0"/>
                <w:sz w:val="36"/>
                <w:szCs w:val="36"/>
              </w:rPr>
            </w:pPr>
            <w:r w:rsidRPr="009130FF">
              <w:rPr>
                <w:rFonts w:ascii="仿宋_GB2312" w:eastAsia="仿宋_GB2312" w:hAnsi="黑体" w:cs="黑体" w:hint="eastAsia"/>
                <w:sz w:val="24"/>
              </w:rPr>
              <w:t>郭中生   66206461</w:t>
            </w:r>
          </w:p>
        </w:tc>
      </w:tr>
    </w:tbl>
    <w:p w:rsidR="00643E61" w:rsidRPr="003B50B9" w:rsidRDefault="00643E61"/>
    <w:sectPr w:rsidR="00643E61" w:rsidRPr="003B50B9" w:rsidSect="0064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0B9"/>
    <w:rsid w:val="003B50B9"/>
    <w:rsid w:val="0064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B50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50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autoRedefine/>
    <w:qFormat/>
    <w:rsid w:val="003B50B9"/>
    <w:pPr>
      <w:spacing w:before="240" w:after="60" w:line="360" w:lineRule="auto"/>
      <w:outlineLvl w:val="3"/>
    </w:pPr>
    <w:rPr>
      <w:rFonts w:ascii="Cambria" w:eastAsia="仿宋_GB2312" w:hAnsi="Cambria" w:cs="Times New Roman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3B50B9"/>
    <w:rPr>
      <w:rFonts w:ascii="Cambria" w:eastAsia="仿宋_GB2312" w:hAnsi="Cambria" w:cs="Times New Roman"/>
      <w:b/>
      <w:bCs/>
      <w:i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B50B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2024-12-02T02:30:00Z</dcterms:created>
  <dcterms:modified xsi:type="dcterms:W3CDTF">2024-12-02T02:32:00Z</dcterms:modified>
</cp:coreProperties>
</file>