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方正小标宋简体" w:eastAsia="方正小标宋简体" w:cs="方正小标宋简体"/>
          <w:color w:val="FF0000"/>
          <w:w w:val="66"/>
          <w:sz w:val="88"/>
          <w:szCs w:val="88"/>
          <w:lang w:bidi="ar"/>
        </w:rPr>
      </w:pPr>
    </w:p>
    <w:p>
      <w:pPr>
        <w:jc w:val="distribute"/>
        <w:rPr>
          <w:rFonts w:ascii="方正小标宋简体" w:hAnsi="方正小标宋简体" w:eastAsia="方正小标宋简体" w:cs="方正小标宋简体"/>
          <w:color w:val="FF0000"/>
          <w:w w:val="66"/>
          <w:sz w:val="88"/>
          <w:szCs w:val="88"/>
        </w:rPr>
      </w:pPr>
      <w:r>
        <w:rPr>
          <w:rFonts w:hint="eastAsia" w:ascii="方正小标宋简体" w:hAnsi="方正小标宋简体" w:eastAsia="方正小标宋简体" w:cs="方正小标宋简体"/>
          <w:color w:val="FF0000"/>
          <w:w w:val="66"/>
          <w:sz w:val="88"/>
          <w:szCs w:val="88"/>
          <w:lang w:bidi="ar"/>
        </w:rPr>
        <w:t xml:space="preserve">北京市西城区发展和改革委员会 </w:t>
      </w:r>
    </w:p>
    <w:p>
      <w:pPr>
        <w:jc w:val="distribute"/>
        <w:rPr>
          <w:rFonts w:ascii="方正小标宋简体" w:hAnsi="方正小标宋简体" w:eastAsia="方正小标宋简体" w:cs="方正小标宋简体"/>
          <w:color w:val="FF0000"/>
          <w:w w:val="66"/>
          <w:sz w:val="88"/>
          <w:szCs w:val="88"/>
        </w:rPr>
      </w:pPr>
      <w:r>
        <w:rPr>
          <w:rFonts w:hint="eastAsia" w:ascii="方正小标宋简体" w:hAnsi="方正小标宋简体" w:eastAsia="方正小标宋简体" w:cs="方正小标宋简体"/>
          <w:color w:val="FF0000"/>
          <w:w w:val="66"/>
          <w:sz w:val="88"/>
          <w:szCs w:val="88"/>
          <w:lang w:bidi="ar"/>
        </w:rPr>
        <w:t>北京市西城区财政局</w:t>
      </w:r>
    </w:p>
    <w:p>
      <w:pPr>
        <w:spacing w:line="620" w:lineRule="exact"/>
        <w:jc w:val="center"/>
        <w:rPr>
          <w:rFonts w:ascii="仿宋_GB2312" w:eastAsia="仿宋_GB2312" w:cs="仿宋_GB2312"/>
          <w:sz w:val="32"/>
          <w:szCs w:val="32"/>
        </w:rPr>
      </w:pPr>
      <w:r>
        <w:rPr>
          <w:rFonts w:hint="eastAsia" w:ascii="仿宋_GB2312" w:hAnsi="Times New Roman" w:eastAsia="仿宋_GB2312" w:cs="仿宋_GB2312"/>
          <w:sz w:val="32"/>
          <w:szCs w:val="32"/>
          <w:lang w:bidi="ar"/>
        </w:rPr>
        <w:t>西发改文〔2020〕121号</w:t>
      </w:r>
    </w:p>
    <w:p>
      <w:pPr>
        <w:spacing w:line="620" w:lineRule="exact"/>
        <w:jc w:val="center"/>
        <w:rPr>
          <w:rFonts w:ascii="方正小标宋简体" w:hAnsi="方正小标宋简体" w:eastAsia="方正小标宋简体" w:cs="方正小标宋简体"/>
          <w:bCs/>
          <w:sz w:val="44"/>
          <w:szCs w:val="44"/>
        </w:rPr>
      </w:pPr>
      <w:r>
        <w:rPr>
          <w:rFonts w:ascii="Times New Roman" w:hAnsi="Times New Roman" w:eastAsia="宋体" w:cs="Times New Roman"/>
        </w:rPr>
        <mc:AlternateContent>
          <mc:Choice Requires="wps">
            <w:drawing>
              <wp:anchor distT="0" distB="0" distL="114300" distR="114300" simplePos="0" relativeHeight="253231104" behindDoc="0" locked="0" layoutInCell="1" allowOverlap="1">
                <wp:simplePos x="0" y="0"/>
                <wp:positionH relativeFrom="column">
                  <wp:posOffset>114300</wp:posOffset>
                </wp:positionH>
                <wp:positionV relativeFrom="paragraph">
                  <wp:posOffset>200660</wp:posOffset>
                </wp:positionV>
                <wp:extent cx="5257800" cy="0"/>
                <wp:effectExtent l="0" t="9525" r="0" b="9525"/>
                <wp:wrapNone/>
                <wp:docPr id="1" name="直线 2"/>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15.8pt;height:0pt;width:414pt;z-index:253231104;mso-width-relative:page;mso-height-relative:page;" filled="f" stroked="t" coordsize="21600,21600" o:gfxdata="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YpJT1gAAAAgBAAAPAAAAAAAAAAEAIAAAACIAAABkcnMvZG93bnJl&#10;di54bWxQSwECFAAUAAAACACHTuJADOcPCcYBAACCAwAADgAAAAAAAAABACAAAAAlAQAAZHJzL2Uy&#10;b0RvYy54bWxQSwUGAAAAAAYABgBZAQAAXQUAAAAA&#10;">
                <v:fill on="f" focussize="0,0"/>
                <v:stroke weight="1.5pt" color="#FF0000" joinstyle="round"/>
                <v:imagedata o:title=""/>
                <o:lock v:ext="edit" aspectratio="f"/>
              </v:line>
            </w:pict>
          </mc:Fallback>
        </mc:AlternateContent>
      </w:r>
    </w:p>
    <w:p>
      <w:pPr>
        <w:widowControl/>
        <w:spacing w:line="0" w:lineRule="atLeast"/>
        <w:jc w:val="center"/>
        <w:rPr>
          <w:rFonts w:hint="eastAsia" w:ascii="方正小标宋简体" w:hAnsi="方正小标宋简体" w:eastAsia="方正小标宋简体" w:cs="方正小标宋简体"/>
          <w:sz w:val="44"/>
          <w:szCs w:val="44"/>
          <w:lang w:bidi="ar"/>
        </w:rPr>
      </w:pPr>
      <w:bookmarkStart w:id="0" w:name="_GoBack"/>
      <w:r>
        <w:rPr>
          <w:rFonts w:hint="eastAsia" w:ascii="方正小标宋简体" w:hAnsi="方正小标宋简体" w:eastAsia="方正小标宋简体" w:cs="方正小标宋简体"/>
          <w:sz w:val="44"/>
          <w:szCs w:val="44"/>
          <w:lang w:bidi="ar"/>
        </w:rPr>
        <w:t xml:space="preserve">区发展改革委  区财政局                </w:t>
      </w:r>
      <w:r>
        <w:rPr>
          <w:rFonts w:ascii="方正小标宋简体" w:hAnsi="方正小标宋简体" w:eastAsia="方正小标宋简体" w:cs="方正小标宋简体"/>
          <w:sz w:val="44"/>
          <w:szCs w:val="44"/>
          <w:lang w:bidi="ar"/>
        </w:rPr>
        <w:t xml:space="preserve">     </w:t>
      </w:r>
      <w:r>
        <w:rPr>
          <w:rFonts w:hint="eastAsia" w:ascii="方正小标宋简体" w:hAnsi="方正小标宋简体" w:eastAsia="方正小标宋简体" w:cs="方正小标宋简体"/>
          <w:sz w:val="44"/>
          <w:szCs w:val="44"/>
          <w:lang w:bidi="ar"/>
        </w:rPr>
        <w:t>关于印发《北京市西城区发展和改革委员会政府购买服务指导性目录》的通知</w:t>
      </w:r>
    </w:p>
    <w:bookmarkEnd w:id="0"/>
    <w:p>
      <w:pPr>
        <w:rPr>
          <w:rFonts w:hint="eastAsia"/>
        </w:rPr>
      </w:pPr>
    </w:p>
    <w:p/>
    <w:p>
      <w:pPr>
        <w:widowControl/>
        <w:jc w:val="left"/>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各科室、中心：</w:t>
      </w:r>
    </w:p>
    <w:p>
      <w:pPr>
        <w:widowControl/>
        <w:ind w:firstLine="600"/>
        <w:jc w:val="left"/>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为贯彻落实《北京市财政局关于做好政府购买服务指导性目录修订管理工作的通知》（京财综〔2019〕1320号），办公室全面梳理政府购买服务的内容和事项，对本部门政府购买服务指导性目录进行重新编制，现将2020年《北京市西城区发展和改革委员会政府购买服务指导性目录》印发你们，请遵照执行。</w:t>
      </w:r>
    </w:p>
    <w:p>
      <w:pPr>
        <w:widowControl/>
        <w:jc w:val="left"/>
        <w:rPr>
          <w:rFonts w:hint="eastAsia" w:ascii="仿宋_GB2312" w:hAnsi="微软雅黑" w:eastAsia="仿宋_GB2312" w:cs="宋体"/>
          <w:color w:val="404040"/>
          <w:kern w:val="0"/>
          <w:sz w:val="32"/>
          <w:szCs w:val="32"/>
        </w:rPr>
      </w:pPr>
      <w:r>
        <w:rPr>
          <w:rFonts w:hint="eastAsia" w:ascii="仿宋_GB2312" w:hAnsi="微软雅黑" w:eastAsia="仿宋_GB2312" w:cs="宋体"/>
          <w:color w:val="404040"/>
          <w:kern w:val="0"/>
          <w:sz w:val="32"/>
          <w:szCs w:val="32"/>
        </w:rPr>
        <w:t> </w:t>
      </w:r>
    </w:p>
    <w:p>
      <w:pPr>
        <w:widowControl/>
        <w:spacing w:line="450" w:lineRule="atLeast"/>
        <w:ind w:left="960" w:hanging="960" w:hangingChars="300"/>
        <w:jc w:val="left"/>
        <w:rPr>
          <w:rFonts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 xml:space="preserve">    附件：北京市西城区发展和改革委员会政府购买服务指导  </w:t>
      </w:r>
    </w:p>
    <w:p>
      <w:pPr>
        <w:widowControl/>
        <w:spacing w:line="450" w:lineRule="atLeast"/>
        <w:ind w:left="960" w:hanging="960" w:hangingChars="300"/>
        <w:jc w:val="left"/>
        <w:rPr>
          <w:rFonts w:hint="eastAsia" w:ascii="仿宋_GB2312" w:hAnsi="仿宋" w:eastAsia="仿宋_GB2312" w:cs="宋体"/>
          <w:color w:val="404040"/>
          <w:kern w:val="0"/>
          <w:sz w:val="32"/>
          <w:szCs w:val="32"/>
        </w:rPr>
      </w:pPr>
      <w:r>
        <w:rPr>
          <w:rFonts w:hint="eastAsia" w:ascii="仿宋_GB2312" w:hAnsi="仿宋" w:eastAsia="仿宋_GB2312" w:cs="宋体"/>
          <w:color w:val="404040"/>
          <w:kern w:val="0"/>
          <w:sz w:val="32"/>
          <w:szCs w:val="32"/>
        </w:rPr>
        <w:t xml:space="preserve">          性目录</w:t>
      </w:r>
    </w:p>
    <w:p>
      <w:pPr>
        <w:rPr>
          <w:rFonts w:ascii="仿宋" w:hAnsi="仿宋" w:eastAsia="仿宋" w:cs="宋体"/>
          <w:color w:val="404040"/>
          <w:kern w:val="0"/>
          <w:sz w:val="30"/>
          <w:szCs w:val="30"/>
        </w:rPr>
      </w:pPr>
    </w:p>
    <w:p>
      <w:pPr>
        <w:spacing w:before="312" w:beforeLines="100" w:line="0" w:lineRule="atLeast"/>
        <w:jc w:val="center"/>
        <w:rPr>
          <w:rFonts w:ascii="仿宋_GB2312" w:hAnsi="仿宋" w:eastAsia="仿宋_GB2312" w:cs="仿宋_GB2312"/>
          <w:sz w:val="32"/>
          <w:szCs w:val="32"/>
          <w:lang w:bidi="ar"/>
        </w:rPr>
      </w:pPr>
    </w:p>
    <w:p>
      <w:pPr>
        <w:spacing w:line="500" w:lineRule="exact"/>
        <w:rPr>
          <w:rFonts w:ascii="仿宋_GB2312" w:hAnsi="仿宋" w:eastAsia="仿宋_GB2312" w:cs="仿宋_GB2312"/>
          <w:sz w:val="32"/>
          <w:szCs w:val="32"/>
          <w:lang w:bidi="ar"/>
        </w:rPr>
      </w:pPr>
    </w:p>
    <w:p>
      <w:pPr>
        <w:spacing w:line="500" w:lineRule="exact"/>
        <w:rPr>
          <w:rFonts w:ascii="仿宋_GB2312" w:hAnsi="仿宋" w:eastAsia="仿宋_GB2312" w:cs="仿宋_GB2312"/>
          <w:sz w:val="32"/>
          <w:szCs w:val="32"/>
          <w:lang w:bidi="ar"/>
        </w:rPr>
      </w:pPr>
      <w:r>
        <w:rPr>
          <w:rFonts w:hint="eastAsia" w:ascii="仿宋_GB2312" w:hAnsi="仿宋" w:eastAsia="仿宋_GB2312" w:cs="仿宋_GB2312"/>
          <w:sz w:val="32"/>
          <w:szCs w:val="32"/>
          <w:lang w:bidi="ar"/>
        </w:rPr>
        <w:t>北京市西城区发展和改革委员会</w:t>
      </w:r>
      <w:r>
        <w:rPr>
          <w:rFonts w:hint="eastAsia" w:ascii="仿宋_GB2312" w:hAnsi="仿宋" w:eastAsia="仿宋_GB2312" w:cs="仿宋_GB2312"/>
          <w:w w:val="95"/>
          <w:sz w:val="32"/>
          <w:szCs w:val="32"/>
          <w:lang w:bidi="ar"/>
        </w:rPr>
        <w:t xml:space="preserve">        </w:t>
      </w:r>
      <w:r>
        <w:rPr>
          <w:rFonts w:hint="eastAsia" w:ascii="仿宋_GB2312" w:hAnsi="仿宋" w:eastAsia="仿宋_GB2312" w:cs="仿宋_GB2312"/>
          <w:sz w:val="32"/>
          <w:szCs w:val="32"/>
          <w:lang w:bidi="ar"/>
        </w:rPr>
        <w:t xml:space="preserve">北京市西城区财政局                                   </w:t>
      </w:r>
    </w:p>
    <w:p>
      <w:pPr>
        <w:spacing w:line="500" w:lineRule="exact"/>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 xml:space="preserve">                                      2020年8月18日</w:t>
      </w:r>
    </w:p>
    <w:p/>
    <w:p/>
    <w:p/>
    <w:p/>
    <w:p>
      <w:pPr>
        <w:spacing w:line="760" w:lineRule="exact"/>
        <w:ind w:firstLine="640" w:firstLineChars="200"/>
        <w:rPr>
          <w:rFonts w:ascii="仿宋_GB2312" w:hAnsi="仿宋" w:eastAsia="仿宋_GB2312" w:cs="仿宋_GB2312"/>
          <w:sz w:val="32"/>
          <w:szCs w:val="32"/>
          <w:lang w:bidi="ar"/>
        </w:rPr>
      </w:pPr>
    </w:p>
    <w:p>
      <w:pPr>
        <w:spacing w:line="760" w:lineRule="exact"/>
        <w:ind w:firstLine="640" w:firstLineChars="200"/>
        <w:rPr>
          <w:rFonts w:ascii="仿宋_GB2312" w:hAnsi="仿宋" w:eastAsia="仿宋_GB2312" w:cs="仿宋_GB2312"/>
          <w:sz w:val="32"/>
          <w:szCs w:val="32"/>
          <w:lang w:bidi="ar"/>
        </w:rPr>
      </w:pPr>
    </w:p>
    <w:p/>
    <w:p>
      <w:pPr>
        <w:tabs>
          <w:tab w:val="left" w:pos="3300"/>
        </w:tabs>
        <w:spacing w:line="520" w:lineRule="exact"/>
        <w:ind w:firstLine="640" w:firstLineChars="200"/>
        <w:rPr>
          <w:rFonts w:ascii="仿宋_GB2312" w:eastAsia="仿宋_GB2312" w:cs="仿宋_GB2312"/>
          <w:sz w:val="32"/>
          <w:szCs w:val="32"/>
        </w:rPr>
      </w:pPr>
    </w:p>
    <w:p/>
    <w:p/>
    <w:p/>
    <w:p/>
    <w:p/>
    <w:p/>
    <w:p/>
    <w:p/>
    <w:p/>
    <w:p/>
    <w:p/>
    <w:p/>
    <w:p/>
    <w:p/>
    <w:p>
      <w:pPr>
        <w:spacing w:line="520" w:lineRule="exact"/>
        <w:jc w:val="center"/>
        <w:rPr>
          <w:rFonts w:ascii="仿宋_GB2312" w:hAnsi="仿宋" w:eastAsia="仿宋_GB2312" w:cs="宋体"/>
          <w:sz w:val="32"/>
          <w:szCs w:val="20"/>
        </w:rPr>
      </w:pPr>
    </w:p>
    <w:p>
      <w:pPr>
        <w:rPr>
          <w:rFonts w:hint="eastAsia" w:ascii="仿宋_GB2312" w:hAnsi="Times New Roman" w:eastAsia="仿宋_GB2312"/>
          <w:w w:val="90"/>
          <w:sz w:val="32"/>
          <w:szCs w:val="32"/>
        </w:rPr>
      </w:pPr>
      <w:r>
        <w:rPr>
          <w:rFonts w:ascii="仿宋_GB2312" w:hAnsi="Times New Roman" w:eastAsia="仿宋_GB2312"/>
          <w:w w:val="90"/>
          <w:sz w:val="32"/>
          <w:szCs w:val="32"/>
        </w:rPr>
        <mc:AlternateContent>
          <mc:Choice Requires="wps">
            <w:drawing>
              <wp:anchor distT="0" distB="0" distL="114300" distR="114300" simplePos="0" relativeHeight="253233152" behindDoc="0" locked="0" layoutInCell="1" allowOverlap="1">
                <wp:simplePos x="0" y="0"/>
                <wp:positionH relativeFrom="column">
                  <wp:posOffset>0</wp:posOffset>
                </wp:positionH>
                <wp:positionV relativeFrom="paragraph">
                  <wp:posOffset>12700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pt;height:0pt;width:414pt;z-index:253233152;mso-width-relative:page;mso-height-relative:page;" filled="f" stroked="t" coordsize="21600,21600" o:gfxdata="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8Duf0gAAAAQBAAAPAAAAAAAAAAEAIAAAACIAAABkcnMv&#10;ZG93bnJldi54bWxQSwECFAAUAAAACACHTuJA1IRi6tABAACKAwAADgAAAAAAAAABACAAAAAhAQAA&#10;ZHJzL2Uyb0RvYy54bWxQSwUGAAAAAAYABgBZAQAAYwUAAAAA&#10;">
                <v:fill on="f" focussize="0,0"/>
                <v:stroke color="#000000" joinstyle="round"/>
                <v:imagedata o:title=""/>
                <o:lock v:ext="edit" aspectratio="f"/>
              </v:line>
            </w:pict>
          </mc:Fallback>
        </mc:AlternateContent>
      </w:r>
      <w:r>
        <w:rPr>
          <w:rFonts w:ascii="仿宋_GB2312" w:hAnsi="Times New Roman" w:eastAsia="仿宋_GB2312"/>
          <w:w w:val="90"/>
          <w:sz w:val="32"/>
          <w:szCs w:val="32"/>
        </w:rPr>
        <mc:AlternateContent>
          <mc:Choice Requires="wps">
            <w:drawing>
              <wp:anchor distT="0" distB="0" distL="114300" distR="114300" simplePos="0" relativeHeight="253232128" behindDoc="0" locked="0" layoutInCell="1" allowOverlap="1">
                <wp:simplePos x="0" y="0"/>
                <wp:positionH relativeFrom="column">
                  <wp:posOffset>0</wp:posOffset>
                </wp:positionH>
                <wp:positionV relativeFrom="paragraph">
                  <wp:posOffset>355600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8pt;height:0pt;width:414pt;z-index:253232128;mso-width-relative:page;mso-height-relative:page;" filled="f" stroked="t" coordsize="21600,21600" o:gfxdata="UEsDBAoAAAAAAIdO4kAAAAAAAAAAAAAAAAAEAAAAZHJzL1BLAwQUAAAACACHTuJAKQYPtt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&#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kGD7bTAAAABgEAAA8AAAAAAAAAAQAgAAAAIgAAAGRy&#10;cy9kb3ducmV2LnhtbFBLAQIUABQAAAAIAIdO4kAhOc4o0QEAAIoDAAAOAAAAAAAAAAEAIAAAACIB&#10;AABkcnMvZTJvRG9jLnhtbFBLBQYAAAAABgAGAFkBAABlBQAAAAA=&#10;">
                <v:fill on="f" focussize="0,0"/>
                <v:stroke color="#000000" joinstyle="round"/>
                <v:imagedata o:title=""/>
                <o:lock v:ext="edit" aspectratio="f"/>
              </v:line>
            </w:pict>
          </mc:Fallback>
        </mc:AlternateContent>
      </w:r>
      <w:r>
        <w:rPr>
          <w:rFonts w:hint="eastAsia" w:ascii="仿宋_GB2312" w:hAnsi="Times New Roman" w:eastAsia="仿宋_GB2312"/>
          <w:w w:val="90"/>
          <w:sz w:val="32"/>
          <w:szCs w:val="32"/>
        </w:rPr>
        <w:t>北京市西城区发展和改革委员会办公室    2020年8月18日印发</w:t>
      </w:r>
    </w:p>
    <w:p>
      <w:pPr>
        <w:rPr>
          <w:rFonts w:hint="eastAsia" w:ascii="仿宋_GB2312" w:hAnsi="Times New Roman" w:eastAsia="仿宋_GB2312"/>
          <w:w w:val="90"/>
          <w:sz w:val="32"/>
          <w:szCs w:val="32"/>
        </w:rPr>
      </w:pPr>
    </w:p>
    <w:tbl>
      <w:tblPr>
        <w:tblStyle w:val="5"/>
        <w:tblW w:w="9250" w:type="dxa"/>
        <w:jc w:val="center"/>
        <w:tblInd w:w="93" w:type="dxa"/>
        <w:tblLayout w:type="fixed"/>
        <w:tblCellMar>
          <w:top w:w="0" w:type="dxa"/>
          <w:left w:w="108" w:type="dxa"/>
          <w:bottom w:w="0" w:type="dxa"/>
          <w:right w:w="108" w:type="dxa"/>
        </w:tblCellMar>
      </w:tblPr>
      <w:tblGrid>
        <w:gridCol w:w="1206"/>
        <w:gridCol w:w="1524"/>
        <w:gridCol w:w="2551"/>
        <w:gridCol w:w="2835"/>
        <w:gridCol w:w="1134"/>
      </w:tblGrid>
      <w:tr>
        <w:tblPrEx>
          <w:tblLayout w:type="fixed"/>
          <w:tblCellMar>
            <w:top w:w="0" w:type="dxa"/>
            <w:left w:w="108" w:type="dxa"/>
            <w:bottom w:w="0" w:type="dxa"/>
            <w:right w:w="108" w:type="dxa"/>
          </w:tblCellMar>
        </w:tblPrEx>
        <w:trPr>
          <w:trHeight w:val="492" w:hRule="atLeast"/>
          <w:jc w:val="center"/>
        </w:trPr>
        <w:tc>
          <w:tcPr>
            <w:tcW w:w="9250" w:type="dxa"/>
            <w:gridSpan w:val="5"/>
            <w:tcBorders>
              <w:top w:val="nil"/>
              <w:left w:val="nil"/>
              <w:bottom w:val="single" w:color="auto" w:sz="4" w:space="0"/>
              <w:right w:val="nil"/>
            </w:tcBorders>
            <w:shd w:val="clear" w:color="auto" w:fill="auto"/>
            <w:noWrap/>
            <w:vAlign w:val="center"/>
          </w:tcPr>
          <w:p>
            <w:pPr>
              <w:widowControl/>
              <w:rPr>
                <w:rFonts w:hint="eastAsia" w:ascii="宋体" w:hAnsi="宋体" w:cs="宋体"/>
                <w:b/>
                <w:bCs/>
                <w:kern w:val="0"/>
                <w:sz w:val="30"/>
                <w:szCs w:val="30"/>
              </w:rPr>
            </w:pPr>
            <w:r>
              <w:rPr>
                <w:rFonts w:hint="eastAsia" w:ascii="宋体" w:hAnsi="宋体" w:cs="宋体"/>
                <w:b/>
                <w:bCs/>
                <w:kern w:val="0"/>
                <w:sz w:val="30"/>
                <w:szCs w:val="30"/>
              </w:rPr>
              <w:t>附件</w:t>
            </w:r>
            <w:r>
              <w:rPr>
                <w:rFonts w:ascii="宋体" w:hAnsi="宋体" w:cs="宋体"/>
                <w:b/>
                <w:bCs/>
                <w:kern w:val="0"/>
                <w:sz w:val="30"/>
                <w:szCs w:val="30"/>
              </w:rPr>
              <w:t>：</w:t>
            </w:r>
          </w:p>
          <w:p>
            <w:pPr>
              <w:widowControl/>
              <w:jc w:val="center"/>
              <w:rPr>
                <w:rFonts w:ascii="宋体" w:hAnsi="宋体" w:cs="宋体"/>
                <w:b/>
                <w:bCs/>
                <w:kern w:val="0"/>
                <w:sz w:val="32"/>
                <w:szCs w:val="32"/>
              </w:rPr>
            </w:pPr>
            <w:r>
              <w:rPr>
                <w:rFonts w:hint="eastAsia" w:ascii="宋体" w:hAnsi="宋体" w:cs="宋体"/>
                <w:b/>
                <w:bCs/>
                <w:kern w:val="0"/>
                <w:sz w:val="32"/>
                <w:szCs w:val="32"/>
              </w:rPr>
              <w:t>北京市西城区发展和改革委政府购买服务指导性目录</w:t>
            </w:r>
          </w:p>
          <w:p>
            <w:pPr>
              <w:widowControl/>
              <w:jc w:val="center"/>
              <w:rPr>
                <w:rFonts w:hint="eastAsia" w:ascii="宋体" w:hAnsi="宋体" w:cs="宋体"/>
                <w:b/>
                <w:bCs/>
                <w:kern w:val="0"/>
                <w:szCs w:val="32"/>
              </w:rPr>
            </w:pPr>
          </w:p>
        </w:tc>
      </w:tr>
      <w:tr>
        <w:tblPrEx>
          <w:tblLayout w:type="fixed"/>
          <w:tblCellMar>
            <w:top w:w="0" w:type="dxa"/>
            <w:left w:w="108" w:type="dxa"/>
            <w:bottom w:w="0" w:type="dxa"/>
            <w:right w:w="108" w:type="dxa"/>
          </w:tblCellMar>
        </w:tblPrEx>
        <w:trPr>
          <w:trHeight w:val="420"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代码</w:t>
            </w:r>
          </w:p>
        </w:tc>
        <w:tc>
          <w:tcPr>
            <w:tcW w:w="1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一级目录</w:t>
            </w: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二级目录</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三级目录</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center"/>
              <w:rPr>
                <w:rFonts w:ascii="宋体" w:hAnsi="宋体" w:cs="宋体"/>
                <w:b/>
                <w:bCs/>
                <w:kern w:val="0"/>
                <w:sz w:val="22"/>
              </w:rPr>
            </w:pPr>
            <w:r>
              <w:rPr>
                <w:rFonts w:hint="eastAsia" w:ascii="宋体" w:hAnsi="宋体" w:cs="宋体"/>
                <w:b/>
                <w:bCs/>
                <w:kern w:val="0"/>
                <w:sz w:val="22"/>
              </w:rPr>
              <w:t>备注</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2"/>
              </w:rPr>
            </w:pPr>
            <w:r>
              <w:rPr>
                <w:rFonts w:hint="eastAsia" w:ascii="宋体" w:hAnsi="宋体" w:cs="宋体"/>
                <w:b/>
                <w:bCs/>
                <w:kern w:val="0"/>
                <w:sz w:val="22"/>
              </w:rPr>
              <w:t>206B</w:t>
            </w:r>
          </w:p>
        </w:tc>
        <w:tc>
          <w:tcPr>
            <w:tcW w:w="1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社会管理性服务</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rPr>
            </w:pPr>
            <w:r>
              <w:rPr>
                <w:rFonts w:hint="eastAsia" w:ascii="宋体" w:hAnsi="宋体" w:cs="宋体"/>
                <w:b/>
                <w:bCs/>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206B11</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公共公益宣传</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rPr>
            </w:pPr>
            <w:r>
              <w:rPr>
                <w:rFonts w:hint="eastAsia" w:ascii="宋体" w:hAnsi="宋体" w:cs="宋体"/>
                <w:b/>
                <w:bCs/>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206B1101</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节能环保宣传服务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2"/>
              </w:rPr>
            </w:pPr>
            <w:r>
              <w:rPr>
                <w:rFonts w:hint="eastAsia" w:ascii="宋体" w:hAnsi="宋体" w:cs="宋体"/>
                <w:kern w:val="0"/>
                <w:sz w:val="22"/>
              </w:rPr>
              <w:t>206B1102</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5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其他公共公益宣传服务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2"/>
              </w:rPr>
            </w:pPr>
            <w:r>
              <w:rPr>
                <w:rFonts w:hint="eastAsia" w:ascii="宋体" w:hAnsi="宋体" w:cs="宋体"/>
                <w:b/>
                <w:bCs/>
                <w:kern w:val="0"/>
                <w:sz w:val="22"/>
              </w:rPr>
              <w:t>206D</w:t>
            </w:r>
          </w:p>
        </w:tc>
        <w:tc>
          <w:tcPr>
            <w:tcW w:w="1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技术性服务</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206D03</w:t>
            </w:r>
          </w:p>
        </w:tc>
        <w:tc>
          <w:tcPr>
            <w:tcW w:w="1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监测服务</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206D00301</w:t>
            </w:r>
          </w:p>
        </w:tc>
        <w:tc>
          <w:tcPr>
            <w:tcW w:w="1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价格检测管理服务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206D00302</w:t>
            </w:r>
          </w:p>
        </w:tc>
        <w:tc>
          <w:tcPr>
            <w:tcW w:w="152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其他</w:t>
            </w:r>
            <w:r>
              <w:rPr>
                <w:rFonts w:ascii="宋体" w:hAnsi="宋体" w:cs="宋体"/>
                <w:kern w:val="0"/>
                <w:sz w:val="20"/>
              </w:rPr>
              <w:t>监督服务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2"/>
              </w:rPr>
            </w:pPr>
            <w:r>
              <w:rPr>
                <w:rFonts w:hint="eastAsia" w:ascii="宋体" w:hAnsi="宋体" w:cs="宋体"/>
                <w:b/>
                <w:bCs/>
                <w:kern w:val="0"/>
                <w:sz w:val="22"/>
              </w:rPr>
              <w:t>206E</w:t>
            </w:r>
          </w:p>
        </w:tc>
        <w:tc>
          <w:tcPr>
            <w:tcW w:w="152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政府履职所需辅助性服务</w:t>
            </w: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206E01</w:t>
            </w:r>
          </w:p>
        </w:tc>
        <w:tc>
          <w:tcPr>
            <w:tcW w:w="1524"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法律服务</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206E0101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诉讼代理服务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206E0102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法律咨询服务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206E0103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普法宣传服务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课题研究和社会调查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206E0201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国民经济和社会发展领域课题研究服务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206E0202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政府投资和重大项目发展课</w:t>
            </w:r>
            <w:r>
              <w:rPr>
                <w:rFonts w:ascii="宋体" w:hAnsi="宋体" w:cs="宋体"/>
                <w:kern w:val="0"/>
                <w:sz w:val="20"/>
              </w:rPr>
              <w:t>题</w:t>
            </w:r>
            <w:r>
              <w:rPr>
                <w:rFonts w:hint="eastAsia" w:ascii="宋体" w:hAnsi="宋体" w:cs="宋体"/>
                <w:kern w:val="0"/>
                <w:sz w:val="20"/>
              </w:rPr>
              <w:t>研究服务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206E0203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基本公共服务发展规划研究服务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206E0204</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优化</w:t>
            </w:r>
            <w:r>
              <w:rPr>
                <w:rFonts w:ascii="宋体" w:hAnsi="宋体" w:cs="宋体"/>
                <w:kern w:val="0"/>
                <w:sz w:val="20"/>
              </w:rPr>
              <w:t>营商环境课题研究</w:t>
            </w:r>
            <w:r>
              <w:rPr>
                <w:rFonts w:hint="eastAsia" w:ascii="宋体" w:hAnsi="宋体" w:cs="宋体"/>
                <w:kern w:val="0"/>
                <w:sz w:val="20"/>
              </w:rPr>
              <w:t>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206E020</w:t>
            </w:r>
            <w:r>
              <w:rPr>
                <w:rFonts w:ascii="宋体" w:hAnsi="宋体" w:cs="宋体"/>
                <w:kern w:val="0"/>
                <w:sz w:val="22"/>
              </w:rPr>
              <w:t>5</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产业发展规划研究</w:t>
            </w:r>
            <w:r>
              <w:rPr>
                <w:rFonts w:ascii="宋体" w:hAnsi="宋体" w:cs="宋体"/>
                <w:kern w:val="0"/>
                <w:sz w:val="20"/>
              </w:rPr>
              <w:t>和</w:t>
            </w:r>
            <w:r>
              <w:rPr>
                <w:rFonts w:hint="eastAsia" w:ascii="宋体" w:hAnsi="宋体" w:cs="宋体"/>
                <w:kern w:val="0"/>
                <w:sz w:val="20"/>
              </w:rPr>
              <w:t>社会</w:t>
            </w:r>
            <w:r>
              <w:rPr>
                <w:rFonts w:ascii="宋体" w:hAnsi="宋体" w:cs="宋体"/>
                <w:kern w:val="0"/>
                <w:sz w:val="20"/>
              </w:rPr>
              <w:t>调</w:t>
            </w:r>
            <w:r>
              <w:rPr>
                <w:rFonts w:hint="eastAsia" w:ascii="宋体" w:hAnsi="宋体" w:cs="宋体"/>
                <w:kern w:val="0"/>
                <w:sz w:val="20"/>
              </w:rPr>
              <w:t>查</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206E020</w:t>
            </w:r>
            <w:r>
              <w:rPr>
                <w:rFonts w:ascii="宋体" w:hAnsi="宋体" w:cs="宋体"/>
                <w:kern w:val="0"/>
                <w:sz w:val="22"/>
              </w:rPr>
              <w:t>6</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节能降耗规划课题研究服务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206E020</w:t>
            </w:r>
            <w:r>
              <w:rPr>
                <w:rFonts w:ascii="宋体" w:hAnsi="宋体" w:cs="宋体"/>
                <w:kern w:val="0"/>
                <w:sz w:val="22"/>
              </w:rPr>
              <w:t>7</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人</w:t>
            </w:r>
            <w:r>
              <w:rPr>
                <w:rFonts w:ascii="宋体" w:hAnsi="宋体" w:cs="宋体"/>
                <w:kern w:val="0"/>
                <w:sz w:val="20"/>
              </w:rPr>
              <w:t>口发展规划和京津冀协同发展课题研究服务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206E02</w:t>
            </w:r>
            <w:r>
              <w:rPr>
                <w:rFonts w:ascii="宋体" w:hAnsi="宋体" w:cs="宋体"/>
                <w:kern w:val="0"/>
                <w:sz w:val="22"/>
              </w:rPr>
              <w:t>08</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其他课题研究和社会调查服务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财务会计审计服务</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i/>
                <w:iCs/>
                <w:kern w:val="0"/>
                <w:sz w:val="20"/>
              </w:rPr>
            </w:pPr>
            <w:r>
              <w:rPr>
                <w:rFonts w:hint="eastAsia" w:ascii="宋体" w:hAnsi="宋体" w:cs="宋体"/>
                <w:i/>
                <w:iCs/>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206E0301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i/>
                <w:iCs/>
                <w:kern w:val="0"/>
                <w:sz w:val="20"/>
              </w:rPr>
            </w:pPr>
            <w:r>
              <w:rPr>
                <w:rFonts w:hint="eastAsia" w:ascii="宋体" w:hAnsi="宋体" w:cs="宋体"/>
                <w:b/>
                <w:bCs/>
                <w:i/>
                <w:i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财务会计服务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206E0302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i/>
                <w:iCs/>
                <w:kern w:val="0"/>
                <w:sz w:val="20"/>
              </w:rPr>
            </w:pPr>
            <w:r>
              <w:rPr>
                <w:rFonts w:hint="eastAsia" w:ascii="宋体" w:hAnsi="宋体" w:cs="宋体"/>
                <w:b/>
                <w:bCs/>
                <w:i/>
                <w:i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财务审计服务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0"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206E0303</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i/>
                <w:iCs/>
                <w:kern w:val="0"/>
                <w:sz w:val="20"/>
              </w:rPr>
            </w:pPr>
            <w:r>
              <w:rPr>
                <w:rFonts w:hint="eastAsia" w:ascii="宋体" w:hAnsi="宋体" w:cs="宋体"/>
                <w:b/>
                <w:bCs/>
                <w:i/>
                <w:iCs/>
                <w:kern w:val="0"/>
                <w:sz w:val="20"/>
              </w:rPr>
              <w:t>　</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其他财务会计审计辅助性服务</w:t>
            </w:r>
          </w:p>
        </w:tc>
        <w:tc>
          <w:tcPr>
            <w:tcW w:w="1134"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206E04</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iCs/>
                <w:kern w:val="0"/>
                <w:sz w:val="20"/>
              </w:rPr>
            </w:pPr>
            <w:r>
              <w:rPr>
                <w:rFonts w:hint="eastAsia" w:ascii="宋体" w:hAnsi="宋体" w:cs="宋体"/>
                <w:b/>
                <w:bCs/>
                <w:iCs/>
                <w:kern w:val="0"/>
                <w:sz w:val="20"/>
              </w:rPr>
              <w:t>会议和展览</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206E0401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i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会议</w:t>
            </w:r>
            <w:r>
              <w:rPr>
                <w:rFonts w:ascii="宋体" w:hAnsi="宋体" w:cs="宋体"/>
                <w:kern w:val="0"/>
                <w:sz w:val="20"/>
              </w:rPr>
              <w:t>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206E040</w:t>
            </w:r>
            <w:r>
              <w:rPr>
                <w:rFonts w:ascii="宋体" w:hAnsi="宋体" w:cs="宋体"/>
                <w:kern w:val="0"/>
                <w:sz w:val="22"/>
              </w:rPr>
              <w:t>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i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展览</w:t>
            </w:r>
            <w:r>
              <w:rPr>
                <w:rFonts w:ascii="宋体" w:hAnsi="宋体" w:cs="宋体"/>
                <w:kern w:val="0"/>
                <w:sz w:val="20"/>
              </w:rPr>
              <w:t>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206E05</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监督检查</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i/>
                <w:iCs/>
                <w:kern w:val="0"/>
                <w:sz w:val="20"/>
              </w:rPr>
            </w:pPr>
            <w:r>
              <w:rPr>
                <w:rFonts w:hint="eastAsia" w:ascii="宋体" w:hAnsi="宋体" w:cs="宋体"/>
                <w:i/>
                <w:iCs/>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206E050</w:t>
            </w:r>
            <w:r>
              <w:rPr>
                <w:rFonts w:ascii="宋体" w:hAnsi="宋体" w:cs="宋体"/>
                <w:kern w:val="0"/>
                <w:sz w:val="22"/>
              </w:rPr>
              <w:t>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i/>
                <w:iCs/>
                <w:kern w:val="0"/>
                <w:sz w:val="20"/>
              </w:rPr>
            </w:pPr>
            <w:r>
              <w:rPr>
                <w:rFonts w:hint="eastAsia" w:ascii="宋体" w:hAnsi="宋体" w:cs="宋体"/>
                <w:b/>
                <w:bCs/>
                <w:i/>
                <w:iCs/>
                <w:kern w:val="0"/>
                <w:sz w:val="20"/>
              </w:rPr>
              <w:t>　</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节能监察及考核服务</w:t>
            </w:r>
          </w:p>
        </w:tc>
        <w:tc>
          <w:tcPr>
            <w:tcW w:w="1134"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206E050</w:t>
            </w:r>
            <w:r>
              <w:rPr>
                <w:rFonts w:ascii="宋体" w:hAnsi="宋体" w:cs="宋体"/>
                <w:kern w:val="0"/>
                <w:sz w:val="22"/>
              </w:rPr>
              <w:t>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i/>
                <w:iCs/>
                <w:kern w:val="0"/>
                <w:sz w:val="20"/>
              </w:rPr>
            </w:pPr>
            <w:r>
              <w:rPr>
                <w:rFonts w:hint="eastAsia" w:ascii="宋体" w:hAnsi="宋体" w:cs="宋体"/>
                <w:b/>
                <w:bCs/>
                <w:i/>
                <w:iCs/>
                <w:kern w:val="0"/>
                <w:sz w:val="20"/>
              </w:rPr>
              <w:t>　</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能源利用状况报告审查服务</w:t>
            </w:r>
          </w:p>
        </w:tc>
        <w:tc>
          <w:tcPr>
            <w:tcW w:w="1134"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206E050</w:t>
            </w:r>
            <w:r>
              <w:rPr>
                <w:rFonts w:ascii="宋体" w:hAnsi="宋体" w:cs="宋体"/>
                <w:kern w:val="0"/>
                <w:sz w:val="22"/>
              </w:rPr>
              <w:t>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i/>
                <w:iCs/>
                <w:kern w:val="0"/>
                <w:sz w:val="20"/>
              </w:rPr>
            </w:pPr>
            <w:r>
              <w:rPr>
                <w:rFonts w:hint="eastAsia" w:ascii="宋体" w:hAnsi="宋体" w:cs="宋体"/>
                <w:b/>
                <w:bCs/>
                <w:i/>
                <w:i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其他监督检查服务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206E07</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项目评审评估</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0"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206E0701</w:t>
            </w:r>
          </w:p>
        </w:tc>
        <w:tc>
          <w:tcPr>
            <w:tcW w:w="15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项目评审服务</w:t>
            </w:r>
          </w:p>
        </w:tc>
        <w:tc>
          <w:tcPr>
            <w:tcW w:w="1134"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206E0702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项目评估服务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206E08</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绩效评价</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206E0801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项目支出绩效评价服务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206E0802</w:t>
            </w:r>
          </w:p>
        </w:tc>
        <w:tc>
          <w:tcPr>
            <w:tcW w:w="152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政策运用绩效评价服务</w:t>
            </w:r>
          </w:p>
        </w:tc>
        <w:tc>
          <w:tcPr>
            <w:tcW w:w="1134" w:type="dxa"/>
            <w:tcBorders>
              <w:top w:val="single" w:color="auto" w:sz="4" w:space="0"/>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206E0803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其他绩效评价服务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206E09</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咨询</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206E0901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涉案财产价格鉴定咨询服务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206E0902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节能技改技术咨询服务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206E0903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其他信息管理咨询服务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206E10</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技术业务培训</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206E1001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技术普及培训服务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206E1002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业务技能培训服务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206E1003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其他技术业务培训服务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机关信息系统建设与维护</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206E1101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信息化建设</w:t>
            </w:r>
            <w:r>
              <w:rPr>
                <w:rFonts w:ascii="宋体" w:hAnsi="宋体" w:cs="宋体"/>
                <w:kern w:val="0"/>
                <w:sz w:val="20"/>
              </w:rPr>
              <w:t>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20"/>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206E110</w:t>
            </w:r>
            <w:r>
              <w:rPr>
                <w:rFonts w:ascii="宋体" w:hAnsi="宋体" w:cs="宋体"/>
                <w:kern w:val="0"/>
                <w:sz w:val="22"/>
              </w:rPr>
              <w:t>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信息化运行维护服务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206E110</w:t>
            </w:r>
            <w:r>
              <w:rPr>
                <w:rFonts w:ascii="宋体" w:hAnsi="宋体" w:cs="宋体"/>
                <w:kern w:val="0"/>
                <w:sz w:val="22"/>
              </w:rPr>
              <w:t>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基础电信服务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83"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206E110</w:t>
            </w:r>
            <w:r>
              <w:rPr>
                <w:rFonts w:ascii="宋体" w:hAnsi="宋体" w:cs="宋体"/>
                <w:kern w:val="0"/>
                <w:sz w:val="22"/>
              </w:rPr>
              <w:t>4</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互联网接入服务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503"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206E110</w:t>
            </w:r>
            <w:r>
              <w:rPr>
                <w:rFonts w:ascii="宋体" w:hAnsi="宋体" w:cs="宋体"/>
                <w:kern w:val="0"/>
                <w:sz w:val="22"/>
              </w:rPr>
              <w:t>5</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其他机关信息系统建设与维护服务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206E12</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后勤服务</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206E1201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办公设备维修保养服务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206E1203</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安全服务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2"/>
              </w:rPr>
            </w:pPr>
            <w:r>
              <w:rPr>
                <w:rFonts w:hint="eastAsia" w:ascii="宋体" w:hAnsi="宋体" w:cs="宋体"/>
                <w:kern w:val="0"/>
                <w:sz w:val="22"/>
              </w:rPr>
              <w:t>206</w:t>
            </w:r>
            <w:r>
              <w:rPr>
                <w:rFonts w:ascii="宋体" w:hAnsi="宋体" w:cs="宋体"/>
                <w:kern w:val="0"/>
                <w:sz w:val="22"/>
              </w:rPr>
              <w:t>E1204</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rPr>
            </w:pP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r>
              <w:rPr>
                <w:rFonts w:hint="eastAsia" w:ascii="宋体" w:hAnsi="宋体" w:cs="宋体"/>
                <w:kern w:val="0"/>
                <w:sz w:val="20"/>
              </w:rPr>
              <w:t>印刷</w:t>
            </w:r>
            <w:r>
              <w:rPr>
                <w:rFonts w:ascii="宋体" w:hAnsi="宋体" w:cs="宋体"/>
                <w:kern w:val="0"/>
                <w:sz w:val="20"/>
              </w:rPr>
              <w:t>服务</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hint="eastAsia" w:ascii="宋体" w:hAnsi="宋体" w:cs="宋体"/>
                <w:kern w:val="0"/>
                <w:sz w:val="20"/>
              </w:rPr>
            </w:pP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r>
              <w:rPr>
                <w:rFonts w:hint="eastAsia" w:ascii="宋体" w:hAnsi="宋体" w:cs="宋体"/>
                <w:kern w:val="0"/>
                <w:sz w:val="22"/>
              </w:rPr>
              <w:t>206E1205</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315" w:hRule="atLeast"/>
          <w:jc w:val="center"/>
        </w:trPr>
        <w:tc>
          <w:tcPr>
            <w:tcW w:w="12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2"/>
              </w:rPr>
            </w:pPr>
            <w:r>
              <w:rPr>
                <w:rFonts w:hint="eastAsia" w:ascii="宋体" w:hAnsi="宋体" w:cs="宋体"/>
                <w:b/>
                <w:bCs/>
                <w:kern w:val="0"/>
                <w:sz w:val="22"/>
              </w:rPr>
              <w:t>206F</w:t>
            </w:r>
          </w:p>
        </w:tc>
        <w:tc>
          <w:tcPr>
            <w:tcW w:w="1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rPr>
            </w:pPr>
            <w:r>
              <w:rPr>
                <w:rFonts w:hint="eastAsia" w:ascii="宋体" w:hAnsi="宋体" w:cs="宋体"/>
                <w:b/>
                <w:bCs/>
                <w:kern w:val="0"/>
                <w:sz w:val="20"/>
              </w:rPr>
              <w:t>其他</w:t>
            </w:r>
          </w:p>
        </w:tc>
        <w:tc>
          <w:tcPr>
            <w:tcW w:w="255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nil"/>
              <w:left w:val="nil"/>
              <w:bottom w:val="single" w:color="auto" w:sz="4" w:space="0"/>
              <w:right w:val="single" w:color="auto" w:sz="4" w:space="0"/>
            </w:tcBorders>
            <w:shd w:val="clear" w:color="auto" w:fill="auto"/>
            <w:noWrap w:val="0"/>
            <w:vAlign w:val="top"/>
          </w:tcPr>
          <w:p>
            <w:pPr>
              <w:widowControl/>
              <w:jc w:val="left"/>
              <w:rPr>
                <w:rFonts w:ascii="宋体" w:hAnsi="宋体" w:cs="宋体"/>
                <w:kern w:val="0"/>
                <w:sz w:val="20"/>
              </w:rPr>
            </w:pP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570" w:hRule="atLeast"/>
          <w:jc w:val="center"/>
        </w:trPr>
        <w:tc>
          <w:tcPr>
            <w:tcW w:w="120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206F01</w:t>
            </w:r>
          </w:p>
        </w:tc>
        <w:tc>
          <w:tcPr>
            <w:tcW w:w="1524" w:type="dxa"/>
            <w:vMerge w:val="restart"/>
            <w:tcBorders>
              <w:top w:val="single" w:color="auto" w:sz="4" w:space="0"/>
              <w:left w:val="single" w:color="auto" w:sz="4" w:space="0"/>
              <w:bottom w:val="single" w:color="000000" w:sz="4" w:space="0"/>
              <w:right w:val="single" w:color="auto" w:sz="4" w:space="0"/>
            </w:tcBorders>
            <w:shd w:val="clear" w:color="auto" w:fill="auto"/>
            <w:noWrap/>
            <w:vAlign w:val="top"/>
          </w:tcPr>
          <w:p>
            <w:pPr>
              <w:widowControl/>
              <w:jc w:val="center"/>
              <w:rPr>
                <w:rFonts w:ascii="宋体" w:hAnsi="宋体" w:cs="宋体"/>
                <w:b/>
                <w:bCs/>
                <w:color w:val="000000"/>
                <w:kern w:val="0"/>
                <w:sz w:val="20"/>
              </w:rPr>
            </w:pPr>
            <w:r>
              <w:rPr>
                <w:rFonts w:hint="eastAsia" w:ascii="宋体" w:hAnsi="宋体" w:cs="宋体"/>
                <w:b/>
                <w:bCs/>
                <w:color w:val="000000"/>
                <w:kern w:val="0"/>
                <w:sz w:val="20"/>
              </w:rPr>
              <w:t>　</w:t>
            </w:r>
          </w:p>
        </w:tc>
        <w:tc>
          <w:tcPr>
            <w:tcW w:w="2551" w:type="dxa"/>
            <w:tcBorders>
              <w:top w:val="single" w:color="auto" w:sz="4" w:space="0"/>
              <w:left w:val="nil"/>
              <w:bottom w:val="single" w:color="auto" w:sz="4" w:space="0"/>
              <w:right w:val="single" w:color="auto" w:sz="4" w:space="0"/>
            </w:tcBorders>
            <w:shd w:val="clear" w:color="auto" w:fill="auto"/>
            <w:noWrap w:val="0"/>
            <w:vAlign w:val="bottom"/>
          </w:tcPr>
          <w:p>
            <w:pPr>
              <w:widowControl/>
              <w:jc w:val="center"/>
              <w:rPr>
                <w:rFonts w:ascii="宋体" w:hAnsi="宋体" w:cs="宋体"/>
                <w:b/>
                <w:bCs/>
                <w:color w:val="000000"/>
                <w:kern w:val="0"/>
                <w:sz w:val="20"/>
              </w:rPr>
            </w:pPr>
            <w:r>
              <w:rPr>
                <w:rFonts w:hint="eastAsia" w:ascii="宋体" w:hAnsi="宋体" w:cs="宋体"/>
                <w:b/>
                <w:bCs/>
                <w:color w:val="000000"/>
                <w:kern w:val="0"/>
                <w:sz w:val="20"/>
              </w:rPr>
              <w:t>其他适宜由社会力量承担的服务事项</w:t>
            </w:r>
          </w:p>
        </w:tc>
        <w:tc>
          <w:tcPr>
            <w:tcW w:w="283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　</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43" w:hRule="atLeast"/>
          <w:jc w:val="center"/>
        </w:trPr>
        <w:tc>
          <w:tcPr>
            <w:tcW w:w="12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206F0101</w:t>
            </w:r>
          </w:p>
        </w:tc>
        <w:tc>
          <w:tcPr>
            <w:tcW w:w="15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0"/>
              </w:rPr>
            </w:pPr>
          </w:p>
        </w:tc>
        <w:tc>
          <w:tcPr>
            <w:tcW w:w="255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r>
              <w:rPr>
                <w:rFonts w:hint="eastAsia" w:ascii="宋体" w:hAnsi="宋体" w:cs="宋体"/>
                <w:kern w:val="0"/>
                <w:sz w:val="20"/>
              </w:rPr>
              <w:t>其他适宜由社会力量承担的服务事项</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rPr>
          <w:rFonts w:hint="eastAsia"/>
        </w:rPr>
      </w:pPr>
    </w:p>
    <w:p>
      <w:pPr>
        <w:rPr>
          <w:rFonts w:hint="eastAsia" w:ascii="仿宋_GB2312" w:hAnsi="Times New Roman" w:eastAsia="仿宋_GB2312"/>
          <w:w w:val="90"/>
          <w:sz w:val="32"/>
          <w:szCs w:val="32"/>
          <w:lang w:eastAsia="zh-TW"/>
        </w:rPr>
      </w:pPr>
    </w:p>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7379A"/>
    <w:rsid w:val="000D45AF"/>
    <w:rsid w:val="009202AF"/>
    <w:rsid w:val="00B0013A"/>
    <w:rsid w:val="00EA7211"/>
    <w:rsid w:val="2F3D086B"/>
    <w:rsid w:val="6B07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styleId="7">
    <w:name w:val="FollowedHyperlink"/>
    <w:basedOn w:val="6"/>
    <w:qFormat/>
    <w:uiPriority w:val="0"/>
    <w:rPr>
      <w:color w:val="954F72" w:themeColor="followedHyperlink"/>
      <w:u w:val="single"/>
      <w14:textFill>
        <w14:solidFill>
          <w14:schemeClr w14:val="folHlink"/>
        </w14:solidFill>
      </w14:textFill>
    </w:rPr>
  </w:style>
  <w:style w:type="character" w:styleId="8">
    <w:name w:val="Hyperlink"/>
    <w:unhideWhenUsed/>
    <w:qFormat/>
    <w:uiPriority w:val="99"/>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420</Characters>
  <Lines>3</Lines>
  <Paragraphs>1</Paragraphs>
  <TotalTime>0</TotalTime>
  <ScaleCrop>false</ScaleCrop>
  <LinksUpToDate>false</LinksUpToDate>
  <CharactersWithSpaces>492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2020-07-30T02:59:00Z</dcterms:created>
  <dc:creator>NTKO</dc:creator>
  <cp:lastModifiedBy>XYSD</cp:lastModifiedBy>
  <dcterms:modified xsi:type="dcterms:W3CDTF">2024-12-05T07:47:29Z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