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B9" w:rsidRDefault="003B50B9" w:rsidP="003B50B9">
      <w:pPr>
        <w:spacing w:line="740" w:lineRule="exact"/>
        <w:ind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第二轮北京市生态环境保护督察</w:t>
      </w:r>
    </w:p>
    <w:p w:rsidR="003B50B9" w:rsidRDefault="003B50B9" w:rsidP="003B50B9">
      <w:pPr>
        <w:spacing w:line="740" w:lineRule="exact"/>
        <w:ind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整改情况公示表</w:t>
      </w:r>
    </w:p>
    <w:p w:rsidR="003B50B9" w:rsidRDefault="003B50B9" w:rsidP="003B50B9">
      <w:pPr>
        <w:spacing w:line="560" w:lineRule="exact"/>
        <w:ind w:firstLine="560"/>
        <w:jc w:val="center"/>
        <w:rPr>
          <w:rFonts w:ascii="方正小标宋简体" w:eastAsia="方正小标宋简体" w:hAnsi="方正小标宋简体" w:cs="方正小标宋简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80"/>
        <w:gridCol w:w="1224"/>
        <w:gridCol w:w="5217"/>
      </w:tblGrid>
      <w:tr w:rsidR="003B50B9" w:rsidTr="00D533E9">
        <w:trPr>
          <w:trHeight w:val="593"/>
          <w:jc w:val="center"/>
        </w:trPr>
        <w:tc>
          <w:tcPr>
            <w:tcW w:w="2080" w:type="dxa"/>
            <w:vMerge w:val="restart"/>
            <w:noWrap/>
            <w:tcMar>
              <w:left w:w="108" w:type="dxa"/>
              <w:right w:w="108" w:type="dxa"/>
            </w:tcMar>
            <w:vAlign w:val="center"/>
          </w:tcPr>
          <w:p w:rsidR="003B50B9" w:rsidRDefault="003B50B9" w:rsidP="00D533E9">
            <w:pPr>
              <w:snapToGrid w:val="0"/>
              <w:spacing w:line="360" w:lineRule="exact"/>
              <w:ind w:firstLineChars="150" w:firstLine="360"/>
              <w:rPr>
                <w:rFonts w:ascii="黑体" w:eastAsia="黑体" w:hAnsi="黑体" w:cs="黑体"/>
                <w:sz w:val="24"/>
              </w:rPr>
            </w:pPr>
            <w:r>
              <w:rPr>
                <w:rFonts w:ascii="黑体" w:eastAsia="黑体" w:hAnsi="黑体" w:cs="黑体" w:hint="eastAsia"/>
                <w:sz w:val="24"/>
              </w:rPr>
              <w:t>整改任务</w:t>
            </w:r>
          </w:p>
        </w:tc>
        <w:tc>
          <w:tcPr>
            <w:tcW w:w="1224" w:type="dxa"/>
            <w:noWrap/>
            <w:tcMar>
              <w:left w:w="108" w:type="dxa"/>
              <w:right w:w="108" w:type="dxa"/>
            </w:tcMar>
            <w:vAlign w:val="center"/>
          </w:tcPr>
          <w:p w:rsidR="003B50B9" w:rsidRDefault="003B50B9" w:rsidP="00D533E9">
            <w:pPr>
              <w:snapToGrid w:val="0"/>
              <w:spacing w:line="360" w:lineRule="exact"/>
              <w:rPr>
                <w:rFonts w:ascii="黑体" w:eastAsia="黑体" w:hAnsi="黑体" w:cs="黑体"/>
                <w:sz w:val="24"/>
              </w:rPr>
            </w:pPr>
            <w:r>
              <w:rPr>
                <w:rFonts w:ascii="黑体" w:eastAsia="黑体" w:hAnsi="黑体" w:cs="黑体" w:hint="eastAsia"/>
                <w:sz w:val="24"/>
              </w:rPr>
              <w:t>任务编号</w:t>
            </w:r>
          </w:p>
        </w:tc>
        <w:tc>
          <w:tcPr>
            <w:tcW w:w="5217" w:type="dxa"/>
            <w:noWrap/>
            <w:tcMar>
              <w:left w:w="108" w:type="dxa"/>
              <w:right w:w="108" w:type="dxa"/>
            </w:tcMar>
            <w:vAlign w:val="center"/>
          </w:tcPr>
          <w:p w:rsidR="003B50B9" w:rsidRDefault="000A5B0E" w:rsidP="00D533E9">
            <w:pPr>
              <w:overflowPunct w:val="0"/>
              <w:topLinePunct/>
              <w:spacing w:line="360" w:lineRule="exact"/>
              <w:ind w:firstLine="480"/>
              <w:rPr>
                <w:rFonts w:ascii="黑体" w:eastAsia="黑体" w:hAnsi="黑体" w:cs="黑体"/>
                <w:color w:val="595959"/>
                <w:kern w:val="0"/>
                <w:sz w:val="24"/>
              </w:rPr>
            </w:pPr>
            <w:r>
              <w:rPr>
                <w:rFonts w:ascii="仿宋_GB2312" w:eastAsia="仿宋_GB2312" w:hAnsi="黑体" w:cs="黑体" w:hint="eastAsia"/>
                <w:sz w:val="24"/>
              </w:rPr>
              <w:t>整改方案第二十四</w:t>
            </w:r>
            <w:r w:rsidR="003B50B9" w:rsidRPr="009130FF">
              <w:rPr>
                <w:rFonts w:ascii="仿宋_GB2312" w:eastAsia="仿宋_GB2312" w:hAnsi="黑体" w:cs="黑体" w:hint="eastAsia"/>
                <w:sz w:val="24"/>
              </w:rPr>
              <w:t>项</w:t>
            </w:r>
          </w:p>
        </w:tc>
      </w:tr>
      <w:tr w:rsidR="003B50B9" w:rsidTr="00D533E9">
        <w:trPr>
          <w:trHeight w:val="593"/>
          <w:jc w:val="center"/>
        </w:trPr>
        <w:tc>
          <w:tcPr>
            <w:tcW w:w="2080" w:type="dxa"/>
            <w:vMerge/>
            <w:noWrap/>
            <w:tcMar>
              <w:left w:w="108" w:type="dxa"/>
              <w:right w:w="108" w:type="dxa"/>
            </w:tcMar>
            <w:vAlign w:val="center"/>
          </w:tcPr>
          <w:p w:rsidR="003B50B9" w:rsidRDefault="003B50B9" w:rsidP="00D533E9">
            <w:pPr>
              <w:overflowPunct w:val="0"/>
              <w:topLinePunct/>
              <w:spacing w:line="360" w:lineRule="exact"/>
              <w:ind w:firstLine="480"/>
              <w:jc w:val="center"/>
              <w:rPr>
                <w:rFonts w:ascii="黑体" w:eastAsia="黑体" w:hAnsi="黑体" w:cs="黑体"/>
              </w:rPr>
            </w:pPr>
          </w:p>
        </w:tc>
        <w:tc>
          <w:tcPr>
            <w:tcW w:w="1224" w:type="dxa"/>
            <w:noWrap/>
            <w:tcMar>
              <w:left w:w="108" w:type="dxa"/>
              <w:right w:w="108" w:type="dxa"/>
            </w:tcMar>
            <w:vAlign w:val="center"/>
          </w:tcPr>
          <w:p w:rsidR="003B50B9" w:rsidRDefault="003B50B9" w:rsidP="00D533E9">
            <w:pPr>
              <w:overflowPunct w:val="0"/>
              <w:topLinePunct/>
              <w:spacing w:line="360" w:lineRule="exact"/>
              <w:rPr>
                <w:rFonts w:ascii="黑体" w:eastAsia="黑体" w:hAnsi="黑体" w:cs="黑体"/>
              </w:rPr>
            </w:pPr>
            <w:r>
              <w:rPr>
                <w:rFonts w:ascii="黑体" w:eastAsia="黑体" w:hAnsi="黑体" w:cs="黑体" w:hint="eastAsia"/>
                <w:sz w:val="24"/>
              </w:rPr>
              <w:t>问题概述</w:t>
            </w:r>
          </w:p>
        </w:tc>
        <w:tc>
          <w:tcPr>
            <w:tcW w:w="5217" w:type="dxa"/>
            <w:noWrap/>
            <w:tcMar>
              <w:left w:w="108" w:type="dxa"/>
              <w:right w:w="108" w:type="dxa"/>
            </w:tcMar>
            <w:vAlign w:val="center"/>
          </w:tcPr>
          <w:p w:rsidR="003B50B9" w:rsidRDefault="00376D0F" w:rsidP="00D533E9">
            <w:pPr>
              <w:overflowPunct w:val="0"/>
              <w:topLinePunct/>
              <w:spacing w:line="360" w:lineRule="exact"/>
              <w:ind w:firstLine="480"/>
              <w:jc w:val="left"/>
              <w:rPr>
                <w:rFonts w:ascii="黑体" w:eastAsia="黑体" w:hAnsi="黑体" w:cs="黑体"/>
                <w:color w:val="595959"/>
                <w:kern w:val="0"/>
                <w:sz w:val="36"/>
                <w:szCs w:val="36"/>
              </w:rPr>
            </w:pPr>
            <w:r>
              <w:rPr>
                <w:rFonts w:ascii="仿宋_GB2312" w:eastAsia="仿宋_GB2312" w:hint="eastAsia"/>
                <w:szCs w:val="32"/>
              </w:rPr>
              <w:t>危险废物、医疗废物管理不规范，存在环境风险。督察发现，广安门外街道中车汽修分公司、北京市第七中学、北京市月坛中学等产废单位未建立健全管理制度，产生的危险废物未得到规范处置。新街口街道新街口城市森林公园内露天堆放1.78吨涉疫医疗废物长达4个月，现场未采取任何防护措施，箱体破裂，存在环境隐患。</w:t>
            </w:r>
          </w:p>
        </w:tc>
      </w:tr>
      <w:tr w:rsidR="003B50B9" w:rsidTr="00D533E9">
        <w:trPr>
          <w:trHeight w:val="940"/>
          <w:jc w:val="center"/>
        </w:trPr>
        <w:tc>
          <w:tcPr>
            <w:tcW w:w="2080" w:type="dxa"/>
            <w:noWrap/>
            <w:tcMar>
              <w:left w:w="108" w:type="dxa"/>
              <w:right w:w="108" w:type="dxa"/>
            </w:tcMar>
            <w:vAlign w:val="center"/>
          </w:tcPr>
          <w:p w:rsidR="003B50B9" w:rsidRDefault="003B50B9" w:rsidP="00D533E9">
            <w:pPr>
              <w:snapToGrid w:val="0"/>
              <w:spacing w:line="360" w:lineRule="exact"/>
              <w:ind w:firstLineChars="150" w:firstLine="360"/>
              <w:rPr>
                <w:rFonts w:ascii="黑体" w:eastAsia="黑体" w:hAnsi="黑体" w:cs="黑体"/>
                <w:sz w:val="24"/>
              </w:rPr>
            </w:pPr>
            <w:r>
              <w:rPr>
                <w:rFonts w:ascii="黑体" w:eastAsia="黑体" w:hAnsi="黑体" w:cs="黑体" w:hint="eastAsia"/>
                <w:sz w:val="24"/>
              </w:rPr>
              <w:t>责任单位</w:t>
            </w:r>
          </w:p>
        </w:tc>
        <w:tc>
          <w:tcPr>
            <w:tcW w:w="6441" w:type="dxa"/>
            <w:gridSpan w:val="2"/>
            <w:noWrap/>
            <w:tcMar>
              <w:left w:w="108" w:type="dxa"/>
              <w:right w:w="108" w:type="dxa"/>
            </w:tcMar>
            <w:vAlign w:val="center"/>
          </w:tcPr>
          <w:p w:rsidR="003B50B9" w:rsidRDefault="00376D0F" w:rsidP="00D533E9">
            <w:pPr>
              <w:overflowPunct w:val="0"/>
              <w:topLinePunct/>
              <w:spacing w:line="360" w:lineRule="exact"/>
              <w:ind w:firstLine="480"/>
              <w:jc w:val="left"/>
              <w:rPr>
                <w:rFonts w:ascii="黑体" w:eastAsia="黑体" w:hAnsi="黑体" w:cs="黑体"/>
              </w:rPr>
            </w:pPr>
            <w:r>
              <w:rPr>
                <w:rFonts w:ascii="仿宋_GB2312" w:eastAsia="仿宋_GB2312" w:hint="eastAsia"/>
                <w:szCs w:val="32"/>
              </w:rPr>
              <w:t>区生态环境局、区教委、区卫生健康委、新街口街道、北京市交通委员会西城运输管理分局</w:t>
            </w:r>
          </w:p>
        </w:tc>
      </w:tr>
      <w:tr w:rsidR="003B50B9" w:rsidTr="00D533E9">
        <w:trPr>
          <w:trHeight w:val="843"/>
          <w:jc w:val="center"/>
        </w:trPr>
        <w:tc>
          <w:tcPr>
            <w:tcW w:w="2080" w:type="dxa"/>
            <w:noWrap/>
            <w:tcMar>
              <w:left w:w="108" w:type="dxa"/>
              <w:right w:w="108" w:type="dxa"/>
            </w:tcMar>
            <w:vAlign w:val="center"/>
          </w:tcPr>
          <w:p w:rsidR="003B50B9" w:rsidRDefault="003B50B9" w:rsidP="00D533E9">
            <w:pPr>
              <w:snapToGrid w:val="0"/>
              <w:spacing w:line="360" w:lineRule="exact"/>
              <w:ind w:firstLineChars="150" w:firstLine="360"/>
              <w:rPr>
                <w:rFonts w:ascii="黑体" w:eastAsia="黑体" w:hAnsi="黑体" w:cs="黑体"/>
                <w:sz w:val="24"/>
              </w:rPr>
            </w:pPr>
            <w:r>
              <w:rPr>
                <w:rFonts w:ascii="黑体" w:eastAsia="黑体" w:hAnsi="黑体" w:cs="黑体" w:hint="eastAsia"/>
                <w:sz w:val="24"/>
              </w:rPr>
              <w:t>整改目标</w:t>
            </w:r>
          </w:p>
        </w:tc>
        <w:tc>
          <w:tcPr>
            <w:tcW w:w="6441" w:type="dxa"/>
            <w:gridSpan w:val="2"/>
            <w:noWrap/>
            <w:tcMar>
              <w:left w:w="108" w:type="dxa"/>
              <w:right w:w="108" w:type="dxa"/>
            </w:tcMar>
            <w:vAlign w:val="center"/>
          </w:tcPr>
          <w:p w:rsidR="003B50B9" w:rsidRDefault="000A5B0E" w:rsidP="00D533E9">
            <w:pPr>
              <w:overflowPunct w:val="0"/>
              <w:topLinePunct/>
              <w:spacing w:line="360" w:lineRule="exact"/>
              <w:ind w:firstLine="480"/>
              <w:jc w:val="left"/>
              <w:rPr>
                <w:rFonts w:ascii="黑体" w:eastAsia="黑体" w:hAnsi="黑体" w:cs="黑体"/>
              </w:rPr>
            </w:pPr>
            <w:r>
              <w:rPr>
                <w:rFonts w:ascii="仿宋_GB2312" w:eastAsia="仿宋_GB2312" w:hint="eastAsia"/>
                <w:szCs w:val="32"/>
              </w:rPr>
              <w:t>健全危险废物、医疗废物管理机制，加强产废单位日常监督管理，督促产废单位规范管理合规处置危险废物，降低环境风险。</w:t>
            </w:r>
          </w:p>
        </w:tc>
      </w:tr>
      <w:tr w:rsidR="003B50B9" w:rsidTr="00D533E9">
        <w:trPr>
          <w:trHeight w:val="415"/>
          <w:jc w:val="center"/>
        </w:trPr>
        <w:tc>
          <w:tcPr>
            <w:tcW w:w="2080" w:type="dxa"/>
            <w:noWrap/>
            <w:tcMar>
              <w:left w:w="108" w:type="dxa"/>
              <w:right w:w="108" w:type="dxa"/>
            </w:tcMar>
            <w:vAlign w:val="center"/>
          </w:tcPr>
          <w:p w:rsidR="003B50B9" w:rsidRDefault="003B50B9" w:rsidP="00D533E9">
            <w:pPr>
              <w:snapToGrid w:val="0"/>
              <w:spacing w:line="360" w:lineRule="exact"/>
              <w:ind w:firstLineChars="150" w:firstLine="360"/>
              <w:rPr>
                <w:rFonts w:ascii="黑体" w:eastAsia="黑体" w:hAnsi="黑体" w:cs="黑体"/>
                <w:sz w:val="24"/>
              </w:rPr>
            </w:pPr>
            <w:r>
              <w:rPr>
                <w:rFonts w:ascii="黑体" w:eastAsia="黑体" w:hAnsi="黑体" w:cs="黑体" w:hint="eastAsia"/>
                <w:sz w:val="24"/>
              </w:rPr>
              <w:t>整改措施</w:t>
            </w:r>
          </w:p>
        </w:tc>
        <w:tc>
          <w:tcPr>
            <w:tcW w:w="6441" w:type="dxa"/>
            <w:gridSpan w:val="2"/>
            <w:noWrap/>
            <w:tcMar>
              <w:left w:w="108" w:type="dxa"/>
              <w:right w:w="108" w:type="dxa"/>
            </w:tcMar>
            <w:vAlign w:val="center"/>
          </w:tcPr>
          <w:p w:rsidR="000A5B0E" w:rsidRDefault="000A5B0E" w:rsidP="00376D0F">
            <w:pPr>
              <w:spacing w:line="360" w:lineRule="exact"/>
              <w:ind w:firstLineChars="200" w:firstLine="420"/>
              <w:jc w:val="left"/>
              <w:rPr>
                <w:rFonts w:ascii="仿宋_GB2312" w:eastAsia="仿宋_GB2312"/>
                <w:szCs w:val="32"/>
              </w:rPr>
            </w:pPr>
            <w:r>
              <w:rPr>
                <w:rFonts w:ascii="仿宋_GB2312" w:eastAsia="仿宋_GB2312" w:hint="eastAsia"/>
                <w:szCs w:val="32"/>
              </w:rPr>
              <w:t>（一）加强日常监管。聚焦典型问题，督导广外街道中车汽修分公司、北京市第七中学、北京市月坛中学等产废单位立行立改，完善内部机制，健全管理制度，推动问题整改，规范化处置危险废物。目前，新街口城市森林公园内露天堆放涉疫医疗废物问题已整改完毕，广外街道中车汽修分公司、北京市第七中学、北京市月坛中学等产废单位已进一步完善管理制度。（区教委、区生态环境局、区卫生健康委）</w:t>
            </w:r>
          </w:p>
          <w:p w:rsidR="000A5B0E" w:rsidRDefault="000A5B0E" w:rsidP="00376D0F">
            <w:pPr>
              <w:spacing w:line="360" w:lineRule="exact"/>
              <w:ind w:firstLineChars="200" w:firstLine="420"/>
              <w:jc w:val="left"/>
              <w:rPr>
                <w:rFonts w:ascii="仿宋_GB2312" w:eastAsia="仿宋_GB2312"/>
                <w:szCs w:val="32"/>
              </w:rPr>
            </w:pPr>
            <w:r>
              <w:rPr>
                <w:rFonts w:ascii="仿宋_GB2312" w:eastAsia="仿宋_GB2312" w:hint="eastAsia"/>
                <w:szCs w:val="32"/>
              </w:rPr>
              <w:t>（二）完善危险废物、医疗废物管理机制。严格落实《固废法》及年度污染防治攻坚战的要求，制定年度危险废物规范化管理工作方案，建立长效机制，强化危险废物申报、处置等重点环节规范化管理，加强与属地协作联动，推动全区危险废物、医疗废物规范化处置。（区教委、区生态环境局、区卫生健康委、新街口街道、北京市交通委员会西城运输管理分局）</w:t>
            </w:r>
          </w:p>
          <w:p w:rsidR="003B50B9" w:rsidRDefault="000A5B0E" w:rsidP="00376D0F">
            <w:pPr>
              <w:overflowPunct w:val="0"/>
              <w:topLinePunct/>
              <w:spacing w:line="360" w:lineRule="exact"/>
              <w:ind w:firstLineChars="200" w:firstLine="420"/>
              <w:jc w:val="left"/>
              <w:rPr>
                <w:rFonts w:ascii="黑体" w:eastAsia="黑体" w:hAnsi="黑体" w:cs="黑体"/>
              </w:rPr>
            </w:pPr>
            <w:r>
              <w:rPr>
                <w:rFonts w:ascii="仿宋_GB2312" w:eastAsia="仿宋_GB2312" w:hint="eastAsia"/>
                <w:szCs w:val="32"/>
              </w:rPr>
              <w:t>（三）加强培训宣传。加强对产废单位的业务培训，结合日常执法普法，强化危废管理相关法律条款宣传，推动各单位落实主体责任，提升危废管理水平。（区教委、区生态环境局、区卫生健康委、北京市交通委员会西城运输管理分局）</w:t>
            </w:r>
          </w:p>
        </w:tc>
      </w:tr>
      <w:tr w:rsidR="003B50B9" w:rsidTr="00D533E9">
        <w:trPr>
          <w:trHeight w:val="2493"/>
          <w:jc w:val="center"/>
        </w:trPr>
        <w:tc>
          <w:tcPr>
            <w:tcW w:w="2080" w:type="dxa"/>
            <w:noWrap/>
            <w:tcMar>
              <w:left w:w="108" w:type="dxa"/>
              <w:right w:w="108" w:type="dxa"/>
            </w:tcMar>
            <w:vAlign w:val="center"/>
          </w:tcPr>
          <w:p w:rsidR="003B50B9" w:rsidRDefault="003B50B9" w:rsidP="00D533E9">
            <w:pPr>
              <w:snapToGrid w:val="0"/>
              <w:spacing w:line="360" w:lineRule="exact"/>
              <w:rPr>
                <w:rFonts w:ascii="黑体" w:eastAsia="黑体" w:hAnsi="黑体" w:cs="黑体"/>
                <w:sz w:val="24"/>
              </w:rPr>
            </w:pPr>
            <w:r>
              <w:rPr>
                <w:rFonts w:ascii="黑体" w:eastAsia="黑体" w:hAnsi="黑体" w:cs="黑体" w:hint="eastAsia"/>
                <w:sz w:val="24"/>
              </w:rPr>
              <w:lastRenderedPageBreak/>
              <w:t>整改主要工作及成效</w:t>
            </w:r>
          </w:p>
        </w:tc>
        <w:tc>
          <w:tcPr>
            <w:tcW w:w="6441" w:type="dxa"/>
            <w:gridSpan w:val="2"/>
            <w:noWrap/>
            <w:tcMar>
              <w:left w:w="108" w:type="dxa"/>
              <w:right w:w="108" w:type="dxa"/>
            </w:tcMar>
            <w:vAlign w:val="center"/>
          </w:tcPr>
          <w:p w:rsidR="000A5B0E" w:rsidRDefault="000A5B0E" w:rsidP="000A5B0E">
            <w:pPr>
              <w:spacing w:line="360" w:lineRule="exact"/>
              <w:ind w:firstLineChars="200" w:firstLine="420"/>
              <w:jc w:val="left"/>
              <w:rPr>
                <w:rFonts w:ascii="仿宋_GB2312" w:eastAsia="仿宋_GB2312"/>
                <w:szCs w:val="32"/>
              </w:rPr>
            </w:pPr>
            <w:r>
              <w:rPr>
                <w:rFonts w:ascii="仿宋_GB2312" w:eastAsia="仿宋_GB2312" w:hint="eastAsia"/>
                <w:szCs w:val="32"/>
              </w:rPr>
              <w:t>一是加强日常监管。结合督察典型问题整改，区生态环境局会同区教委、区卫生健康委持续提升重点行业、重点单位日常监管力度，聚焦校园实验室危险废物、医疗机构医疗废物等重点产废环节及领域，常态化推进危险废物规范化处置水平提升。目前，广安门外街道中车汽修分公司、北京市第七中学、北京市月坛中学等产废单位未建立健全危废管理制度和产生的危险废物未得到规范处置问题均已立行立改完毕；新街口城市森林公园内露天堆放涉疫医疗废物已清运完毕，重点点位典型问题立行立改已基本完成。</w:t>
            </w:r>
          </w:p>
          <w:p w:rsidR="000A5B0E" w:rsidRDefault="000A5B0E" w:rsidP="000A5B0E">
            <w:pPr>
              <w:spacing w:line="360" w:lineRule="exact"/>
              <w:ind w:firstLineChars="200" w:firstLine="420"/>
              <w:jc w:val="left"/>
              <w:rPr>
                <w:rFonts w:ascii="仿宋_GB2312" w:eastAsia="仿宋_GB2312"/>
                <w:szCs w:val="32"/>
              </w:rPr>
            </w:pPr>
            <w:r>
              <w:rPr>
                <w:rFonts w:ascii="仿宋_GB2312" w:eastAsia="仿宋_GB2312" w:hint="eastAsia"/>
                <w:szCs w:val="32"/>
              </w:rPr>
              <w:t>二是完善危险废物、医疗废物管理机制。按照全市部署要求，将危险废物年度重点任务纳入《西城区净土保卫战2024年行动计划》，细化职责和工作要求。生态环境、教育、卫生健康、运输管理等部门强化本行业、本领域工作统筹，分别制定《2024年北京市西城区生态环境综合执法重点工作方案》《西城区中学实验室危险化学品安全生产治本攻坚三年行动实施方案（2024-2026年）》《西城区小微医疗机构医疗废物集中收运工作方案（试行）》，新街口街道完善日常巡查工作机制，重点加强产废单位危废申报、储存及处置环节规范化管理与监督，推动全区危险废物、医疗废物规范化处置。</w:t>
            </w:r>
          </w:p>
          <w:p w:rsidR="003B50B9" w:rsidRDefault="000A5B0E" w:rsidP="000A5B0E">
            <w:pPr>
              <w:overflowPunct w:val="0"/>
              <w:topLinePunct/>
              <w:spacing w:line="360" w:lineRule="exact"/>
              <w:ind w:firstLineChars="200" w:firstLine="420"/>
              <w:jc w:val="left"/>
              <w:rPr>
                <w:rFonts w:ascii="黑体" w:eastAsia="黑体" w:hAnsi="黑体" w:cs="黑体"/>
              </w:rPr>
            </w:pPr>
            <w:r>
              <w:rPr>
                <w:rFonts w:ascii="仿宋_GB2312" w:eastAsia="仿宋_GB2312" w:hint="eastAsia"/>
                <w:szCs w:val="32"/>
              </w:rPr>
              <w:t>三是加强培训宣传。区生态环境局会同教育、卫生健康等行业部门结合区内工作实际，重点针对实验室危化品、废铅蓄电池、废显（定）影剂、废活性炭等不同种类危废，采取线上线下相结合方式，多轮组织产废单位开展危废规范化管理工作培训与业务帮扶，提升各单位管理能力，同步强化执法普法，压实产废单位主体责任，提高企业守法意识。</w:t>
            </w:r>
          </w:p>
        </w:tc>
      </w:tr>
      <w:tr w:rsidR="003B50B9" w:rsidTr="00D533E9">
        <w:trPr>
          <w:trHeight w:val="899"/>
          <w:jc w:val="center"/>
        </w:trPr>
        <w:tc>
          <w:tcPr>
            <w:tcW w:w="2080" w:type="dxa"/>
            <w:noWrap/>
            <w:tcMar>
              <w:left w:w="108" w:type="dxa"/>
              <w:right w:w="108" w:type="dxa"/>
            </w:tcMar>
            <w:vAlign w:val="center"/>
          </w:tcPr>
          <w:p w:rsidR="003B50B9" w:rsidRDefault="003B50B9" w:rsidP="00D533E9">
            <w:pPr>
              <w:snapToGrid w:val="0"/>
              <w:spacing w:line="360" w:lineRule="exact"/>
              <w:ind w:firstLineChars="150" w:firstLine="360"/>
              <w:rPr>
                <w:rFonts w:ascii="黑体" w:eastAsia="黑体" w:hAnsi="黑体" w:cs="黑体"/>
                <w:sz w:val="24"/>
              </w:rPr>
            </w:pPr>
            <w:r>
              <w:rPr>
                <w:rFonts w:ascii="黑体" w:eastAsia="黑体" w:hAnsi="黑体" w:cs="黑体" w:hint="eastAsia"/>
                <w:sz w:val="24"/>
              </w:rPr>
              <w:t>整改时间</w:t>
            </w:r>
          </w:p>
        </w:tc>
        <w:tc>
          <w:tcPr>
            <w:tcW w:w="6441" w:type="dxa"/>
            <w:gridSpan w:val="2"/>
            <w:noWrap/>
            <w:tcMar>
              <w:left w:w="108" w:type="dxa"/>
              <w:right w:w="108" w:type="dxa"/>
            </w:tcMar>
            <w:vAlign w:val="center"/>
          </w:tcPr>
          <w:p w:rsidR="003B50B9" w:rsidRDefault="00376D0F" w:rsidP="00D533E9">
            <w:pPr>
              <w:overflowPunct w:val="0"/>
              <w:topLinePunct/>
              <w:spacing w:line="360" w:lineRule="exact"/>
              <w:ind w:firstLine="480"/>
              <w:jc w:val="left"/>
              <w:rPr>
                <w:rFonts w:ascii="黑体" w:eastAsia="黑体" w:hAnsi="黑体" w:cs="黑体"/>
                <w:color w:val="595959"/>
                <w:kern w:val="0"/>
                <w:sz w:val="36"/>
                <w:szCs w:val="36"/>
              </w:rPr>
            </w:pPr>
            <w:r w:rsidRPr="009130FF">
              <w:rPr>
                <w:rFonts w:ascii="仿宋_GB2312" w:eastAsia="仿宋_GB2312" w:hAnsi="黑体" w:cs="黑体" w:hint="eastAsia"/>
                <w:sz w:val="24"/>
              </w:rPr>
              <w:t>2024年2月至2024年12月，长期坚持</w:t>
            </w:r>
          </w:p>
        </w:tc>
      </w:tr>
      <w:tr w:rsidR="003B50B9" w:rsidTr="00D533E9">
        <w:trPr>
          <w:trHeight w:val="1349"/>
          <w:jc w:val="center"/>
        </w:trPr>
        <w:tc>
          <w:tcPr>
            <w:tcW w:w="2080" w:type="dxa"/>
            <w:noWrap/>
            <w:tcMar>
              <w:left w:w="108" w:type="dxa"/>
              <w:right w:w="108" w:type="dxa"/>
            </w:tcMar>
            <w:vAlign w:val="center"/>
          </w:tcPr>
          <w:p w:rsidR="003B50B9" w:rsidRDefault="003B50B9" w:rsidP="00D533E9">
            <w:pPr>
              <w:snapToGrid w:val="0"/>
              <w:spacing w:line="360" w:lineRule="exact"/>
              <w:rPr>
                <w:rFonts w:ascii="黑体" w:eastAsia="黑体" w:hAnsi="黑体" w:cs="黑体"/>
                <w:sz w:val="24"/>
              </w:rPr>
            </w:pPr>
            <w:r>
              <w:rPr>
                <w:rFonts w:ascii="黑体" w:eastAsia="黑体" w:hAnsi="黑体" w:cs="黑体" w:hint="eastAsia"/>
                <w:sz w:val="24"/>
              </w:rPr>
              <w:t>社会监督联系人及电话</w:t>
            </w:r>
          </w:p>
        </w:tc>
        <w:tc>
          <w:tcPr>
            <w:tcW w:w="6441" w:type="dxa"/>
            <w:gridSpan w:val="2"/>
            <w:noWrap/>
            <w:tcMar>
              <w:left w:w="108" w:type="dxa"/>
              <w:right w:w="108" w:type="dxa"/>
            </w:tcMar>
            <w:vAlign w:val="center"/>
          </w:tcPr>
          <w:p w:rsidR="003B50B9" w:rsidRDefault="000A5B0E" w:rsidP="00D533E9">
            <w:pPr>
              <w:overflowPunct w:val="0"/>
              <w:topLinePunct/>
              <w:spacing w:line="360" w:lineRule="exact"/>
              <w:ind w:firstLine="480"/>
              <w:jc w:val="left"/>
              <w:rPr>
                <w:rFonts w:ascii="黑体" w:eastAsia="黑体" w:hAnsi="黑体" w:cs="黑体"/>
                <w:color w:val="595959"/>
                <w:kern w:val="0"/>
                <w:sz w:val="36"/>
                <w:szCs w:val="36"/>
              </w:rPr>
            </w:pPr>
            <w:r>
              <w:rPr>
                <w:rFonts w:ascii="仿宋_GB2312" w:eastAsia="仿宋_GB2312" w:hAnsi="黑体" w:cs="黑体" w:hint="eastAsia"/>
                <w:sz w:val="24"/>
              </w:rPr>
              <w:t>乔丹</w:t>
            </w:r>
            <w:r w:rsidR="003B50B9" w:rsidRPr="009130FF">
              <w:rPr>
                <w:rFonts w:ascii="仿宋_GB2312" w:eastAsia="仿宋_GB2312" w:hAnsi="黑体" w:cs="黑体" w:hint="eastAsia"/>
                <w:sz w:val="24"/>
              </w:rPr>
              <w:t xml:space="preserve">   </w:t>
            </w:r>
            <w:r>
              <w:rPr>
                <w:rFonts w:ascii="仿宋_GB2312" w:eastAsia="仿宋_GB2312" w:hAnsi="黑体" w:cs="黑体" w:hint="eastAsia"/>
                <w:sz w:val="24"/>
              </w:rPr>
              <w:t>83976847</w:t>
            </w:r>
          </w:p>
        </w:tc>
      </w:tr>
    </w:tbl>
    <w:p w:rsidR="00643E61" w:rsidRPr="003B50B9" w:rsidRDefault="00643E61"/>
    <w:sectPr w:rsidR="00643E61" w:rsidRPr="003B50B9" w:rsidSect="00643E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50B9"/>
    <w:rsid w:val="000A5B0E"/>
    <w:rsid w:val="00376D0F"/>
    <w:rsid w:val="003B50B9"/>
    <w:rsid w:val="00643E61"/>
    <w:rsid w:val="00981680"/>
    <w:rsid w:val="00AF5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3B50B9"/>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3B50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autoRedefine/>
    <w:qFormat/>
    <w:rsid w:val="003B50B9"/>
    <w:pPr>
      <w:spacing w:before="240" w:after="60" w:line="360" w:lineRule="auto"/>
      <w:outlineLvl w:val="3"/>
    </w:pPr>
    <w:rPr>
      <w:rFonts w:ascii="Cambria" w:eastAsia="仿宋_GB2312" w:hAnsi="Cambria" w:cs="Times New Roman"/>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qFormat/>
    <w:rsid w:val="003B50B9"/>
    <w:rPr>
      <w:rFonts w:ascii="Cambria" w:eastAsia="仿宋_GB2312" w:hAnsi="Cambria" w:cs="Times New Roman"/>
      <w:b/>
      <w:bCs/>
      <w:iCs/>
      <w:sz w:val="28"/>
      <w:szCs w:val="28"/>
    </w:rPr>
  </w:style>
  <w:style w:type="character" w:customStyle="1" w:styleId="2Char">
    <w:name w:val="标题 2 Char"/>
    <w:basedOn w:val="a0"/>
    <w:link w:val="2"/>
    <w:uiPriority w:val="9"/>
    <w:semiHidden/>
    <w:rsid w:val="003B50B9"/>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4</cp:revision>
  <cp:lastPrinted>2024-12-12T03:35:00Z</cp:lastPrinted>
  <dcterms:created xsi:type="dcterms:W3CDTF">2024-12-12T03:32:00Z</dcterms:created>
  <dcterms:modified xsi:type="dcterms:W3CDTF">2024-12-12T03:41:00Z</dcterms:modified>
</cp:coreProperties>
</file>