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仿宋_GB2312" w:eastAsia="宋体"/>
          <w:color w:val="000000"/>
          <w:sz w:val="44"/>
          <w:szCs w:val="44"/>
        </w:rPr>
        <w:t>2024年</w:t>
      </w:r>
      <w:r>
        <w:rPr>
          <w:rFonts w:hint="eastAsia" w:ascii="仿宋_GB2312" w:eastAsia="宋体"/>
          <w:color w:val="000000"/>
          <w:sz w:val="44"/>
          <w:szCs w:val="44"/>
          <w:lang w:eastAsia="zh-CN"/>
        </w:rPr>
        <w:t>德胜街道</w:t>
      </w:r>
      <w:r>
        <w:rPr>
          <w:rFonts w:ascii="仿宋_GB2312" w:eastAsia="宋体"/>
          <w:color w:val="000000"/>
          <w:sz w:val="44"/>
          <w:szCs w:val="44"/>
        </w:rPr>
        <w:t>部门预算情况说明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Times New Roman" w:eastAsia="宋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仿宋_GB2312" w:eastAsia="宋体"/>
          <w:b w:val="0"/>
          <w:bCs w:val="0"/>
          <w:color w:val="000000"/>
          <w:sz w:val="32"/>
          <w:szCs w:val="32"/>
        </w:rPr>
        <w:t>部门主要职责及机构设置情况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b w:val="0"/>
          <w:bCs w:val="0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b w:val="0"/>
          <w:bCs w:val="0"/>
          <w:color w:val="000000"/>
          <w:sz w:val="28"/>
          <w:szCs w:val="32"/>
        </w:rPr>
        <w:t>（一）部门机构设置、职责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德胜街道工委与德胜街道办事处合署办公。德胜街道工委是区委的派出机关，根据区委的授权，全面负责辖区党的建设，领导辖区的工作和基层社会治理；德胜街道办事处是区政府的派出机关，依据法律法规的规定，在区政府和街道工委的领导下，履行相应职能。德胜街道设置7个内机构，包括综合办公室、党群工作办公室、平安建设办公室、城市管理办公室、社区建设办公室、民生保障办公室、地区协调服务办公室。德胜街道所属事业单位机构设置为3个中心，即党群服务中心、市民服务中心、全响应街区治理中心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</w:rPr>
        <w:t>街道工委主要职责</w:t>
      </w:r>
      <w:r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  <w:lang w:eastAsia="zh-CN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履行全面从严治党主体责任，全面推进辖区党的政治建设、思想建设、组织建设、作风建设、纪律建设，把制度建设贯穿其中，组织协调反腐败工作。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组织维护辖区安全稳定，协调推动社会治安综合治理，承担民兵预备役、征兵、民防工作。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承办区委交办的其他事项。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街道</w:t>
      </w: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</w:rPr>
        <w:t>办事处主要职责：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贯彻执行法律、法规、规章和市、区政府的决策部署，依法管理基层公共事务。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参与制定并组织实施社区建设规划和公共服务设施规划，组织辖区单位、居民和志愿者队伍为社区发展服务。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负责社区居民委员会建设，指导社区居民委员会工作，培育、发展社区社会组织，指导、监督社区业主委员会。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推进居民自治，动员社会力量参与社区治理，推动形成社区共治合力。向上级政府反映社情民意。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组织开展群众性文化、体育、科普活动，开展法治宣传和社会公德教育，推动社区公益事业发展。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负责联系、服务辖区单位，营造良好的营商环境。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10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承办区政府交办的其他事项。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纪律检查工作委员会（监察组）职责：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安全生产工作职责：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落实安全生产属地管理责任，贯彻执行安全生产法律、法规、规章，建立健全安全生产“党政同责、一岗双责”的安全生产责任体系及辖区安全管理制度。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推进辖区安全生产预防控制体系、隐患排查治理体系建设，协助有关部门开展辖区安全风险评估、城市安全隐患治理和企业隐患排查治理工作。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对安全生产事故隐患或安全生产违法行为责令排除或改正，及时向安全生产监督管理部门和政府其他有关部门报告。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建立完善辖区生产经营单位台账。监督、检查生产经营单位落实安全生产主体责任。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加强和推进专职安全员队伍建设及日常管理工作。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组织开展安全生产宣传教育以及安全社区建设工作。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对以本街道工委、办事处名义承办的各类重大活动的安全工作承担主体责任。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对本机关及所属单位的安全工作承担领导责任。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562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环境保护工作职责：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负责辖区大气污染防治精细化管理推进工作。配合做好日常禁煤、控车减油、治污减排、清洁降尘等大气污染防治相关任务和政策措施。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开展辖区有关水污染防治工作，督促供水单位定期监测、检测和评估辖区饮用水安全状况。落实河长制工作，配合有关部门开展河湖生态环境治理与保护工作。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配合做好辖区土壤污染防治工作，发现在污染地块、疑似污染地块实施开发建设活动的，及时通报区环境保护主管部门调查处理。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组织开展环境保护宣传工作，普及环境保护法律法规和科学知识。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（二）人员构成情况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街道办事处人员编制人，其中：行政编制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165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人、事业编制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74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人、工勤编制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0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名；实际在职人数为行政人员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152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人，事业人员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80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人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（含事业编社区书记）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。离退休人员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人。</w:t>
      </w:r>
    </w:p>
    <w:p>
      <w:pPr>
        <w:spacing w:line="560" w:lineRule="exact"/>
        <w:ind w:firstLine="700" w:firstLineChars="250"/>
        <w:rPr>
          <w:rFonts w:ascii="仿宋_GB2312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二</w:t>
      </w:r>
      <w:r>
        <w:rPr>
          <w:rFonts w:ascii="仿宋_GB2312" w:hAnsi="Times New Roman" w:eastAsia="宋体"/>
          <w:color w:val="000000"/>
          <w:sz w:val="28"/>
          <w:szCs w:val="32"/>
        </w:rPr>
        <w:t>、</w:t>
      </w:r>
      <w:r>
        <w:rPr>
          <w:rFonts w:hint="eastAsia" w:ascii="仿宋_GB2312" w:eastAsia="宋体"/>
          <w:color w:val="000000"/>
          <w:sz w:val="28"/>
          <w:szCs w:val="32"/>
        </w:rPr>
        <w:t>2024年部门预算收支及增减变化情况说明</w:t>
      </w:r>
    </w:p>
    <w:p>
      <w:pPr>
        <w:spacing w:line="560" w:lineRule="exact"/>
        <w:ind w:firstLine="6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Batang" w:eastAsia="宋体"/>
          <w:sz w:val="28"/>
          <w:szCs w:val="32"/>
        </w:rPr>
        <w:t>2024年收入预算42,771.169335万元。其中：预算内资金安排39,340.420275万元，财政专户资金安排0万元，其他资金安排0万元,市级提前下达专项转移支付项目资金安排2,591.551706万元，上年结转结余 839.197354万元。2024年收入预算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较2023年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减少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973.32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万元，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减少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-2.23%。</w:t>
      </w:r>
    </w:p>
    <w:p>
      <w:pPr>
        <w:spacing w:line="560" w:lineRule="exact"/>
        <w:ind w:firstLine="600"/>
        <w:rPr>
          <w:rFonts w:ascii="仿宋_GB2312" w:hAnsi="Batang" w:eastAsia="宋体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2024年支出预算</w:t>
      </w:r>
      <w:r>
        <w:rPr>
          <w:rFonts w:hint="eastAsia" w:ascii="仿宋_GB2312" w:hAnsi="Batang" w:eastAsia="宋体"/>
          <w:sz w:val="28"/>
          <w:szCs w:val="32"/>
        </w:rPr>
        <w:t>42,771.169335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万元。</w:t>
      </w:r>
      <w:r>
        <w:rPr>
          <w:rFonts w:hint="eastAsia" w:ascii="仿宋_GB2312" w:hAnsi="Batang" w:eastAsia="宋体"/>
          <w:sz w:val="28"/>
          <w:szCs w:val="32"/>
        </w:rPr>
        <w:t>其中：预算内资金安排39,340.420275万元，财政专户资金安排0万元，其他资金安排0万元,市级提前下达专项转移支付项目资金安排2,591.551706万元，上年结转结余839.197354万元。2024年支出预算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较2023年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减少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973.32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万元，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减少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-2.23%。</w:t>
      </w:r>
    </w:p>
    <w:p>
      <w:pPr>
        <w:spacing w:line="560" w:lineRule="exact"/>
        <w:ind w:firstLine="600"/>
        <w:rPr>
          <w:rFonts w:ascii="仿宋_GB2312" w:hAnsi="Times New Roman" w:eastAsia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三</w:t>
      </w:r>
      <w:r>
        <w:rPr>
          <w:rFonts w:ascii="仿宋_GB2312" w:hAnsi="Times New Roman" w:eastAsia="宋体"/>
          <w:color w:val="000000"/>
          <w:sz w:val="28"/>
          <w:szCs w:val="32"/>
        </w:rPr>
        <w:t>、主要支出情况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sz w:val="28"/>
          <w:szCs w:val="32"/>
        </w:rPr>
      </w:pPr>
      <w:r>
        <w:rPr>
          <w:rFonts w:hint="eastAsia" w:ascii="仿宋_GB2312" w:hAnsi="Times New Roman" w:eastAsia="宋体"/>
          <w:sz w:val="28"/>
          <w:szCs w:val="32"/>
        </w:rPr>
        <w:t>2024年支出预算按用途划分：（1）基本支出预算8615.68375万元，较2023年</w:t>
      </w:r>
      <w:r>
        <w:rPr>
          <w:rFonts w:hint="eastAsia" w:ascii="仿宋_GB2312" w:hAnsi="Times New Roman" w:eastAsia="宋体"/>
          <w:sz w:val="28"/>
          <w:szCs w:val="32"/>
          <w:lang w:eastAsia="zh-CN"/>
        </w:rPr>
        <w:t>增加</w:t>
      </w:r>
      <w:r>
        <w:rPr>
          <w:rFonts w:hint="eastAsia" w:ascii="仿宋_GB2312" w:hAnsi="Times New Roman" w:eastAsia="宋体"/>
          <w:sz w:val="28"/>
          <w:szCs w:val="32"/>
        </w:rPr>
        <w:t>272.386712万元，</w:t>
      </w:r>
      <w:r>
        <w:rPr>
          <w:rFonts w:hint="eastAsia" w:ascii="仿宋_GB2312" w:hAnsi="Times New Roman" w:eastAsia="宋体"/>
          <w:sz w:val="28"/>
          <w:szCs w:val="32"/>
          <w:lang w:eastAsia="zh-CN"/>
        </w:rPr>
        <w:t>增加</w:t>
      </w:r>
      <w:r>
        <w:rPr>
          <w:rFonts w:hint="eastAsia" w:ascii="仿宋_GB2312" w:hAnsi="Times New Roman" w:eastAsia="宋体"/>
          <w:sz w:val="28"/>
          <w:szCs w:val="32"/>
        </w:rPr>
        <w:t>3.26%。</w:t>
      </w:r>
      <w:r>
        <w:rPr>
          <w:rFonts w:hint="eastAsia" w:ascii="仿宋_GB2312" w:hAnsi="Times New Roman" w:eastAsia="宋体"/>
          <w:sz w:val="28"/>
          <w:szCs w:val="32"/>
          <w:lang w:eastAsia="zh-CN"/>
        </w:rPr>
        <w:t>增加的主要原因一是机关、事业单位在职人员增加，相应的增加了人员经费和运行经费；二是基本支出中</w:t>
      </w:r>
      <w:r>
        <w:rPr>
          <w:rFonts w:hint="eastAsia" w:ascii="仿宋_GB2312" w:hAnsi="Times New Roman"/>
          <w:sz w:val="28"/>
          <w:szCs w:val="32"/>
          <w:lang w:eastAsia="zh-CN"/>
        </w:rPr>
        <w:t>抚恤金增加</w:t>
      </w:r>
      <w:r>
        <w:rPr>
          <w:rFonts w:hint="eastAsia" w:ascii="仿宋_GB2312" w:hAnsi="Times New Roman" w:eastAsia="宋体"/>
          <w:sz w:val="28"/>
          <w:szCs w:val="32"/>
        </w:rPr>
        <w:t>（2）项目支出预算34155.48559万元，较2023年</w:t>
      </w:r>
      <w:r>
        <w:rPr>
          <w:rFonts w:hint="eastAsia" w:ascii="仿宋_GB2312" w:hAnsi="Times New Roman" w:eastAsia="宋体"/>
          <w:sz w:val="28"/>
          <w:szCs w:val="32"/>
          <w:lang w:eastAsia="zh-CN"/>
        </w:rPr>
        <w:t>减少</w:t>
      </w:r>
      <w:r>
        <w:rPr>
          <w:rFonts w:hint="eastAsia" w:ascii="仿宋_GB2312" w:hAnsi="Times New Roman" w:eastAsia="宋体"/>
          <w:sz w:val="28"/>
          <w:szCs w:val="32"/>
        </w:rPr>
        <w:t>1245.70692万元，</w:t>
      </w:r>
      <w:r>
        <w:rPr>
          <w:rFonts w:hint="eastAsia" w:ascii="仿宋_GB2312" w:hAnsi="Times New Roman" w:eastAsia="宋体"/>
          <w:sz w:val="28"/>
          <w:szCs w:val="32"/>
          <w:lang w:eastAsia="zh-CN"/>
        </w:rPr>
        <w:t>减少3.52</w:t>
      </w:r>
      <w:r>
        <w:rPr>
          <w:rFonts w:hint="eastAsia" w:ascii="仿宋_GB2312" w:hAnsi="Times New Roman" w:eastAsia="宋体"/>
          <w:sz w:val="28"/>
          <w:szCs w:val="32"/>
        </w:rPr>
        <w:t>%。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项目经费主要开支方向是：①民生保障工作；②城市环境及绿化等管理工作；③基层党建工作；④地区综合治理工作；⑤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基层治理建设工作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⑥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违法违建拆除整治工作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等。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</w:rPr>
      </w:pP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四、</w:t>
      </w:r>
      <w:r>
        <w:rPr>
          <w:rFonts w:ascii="仿宋_GB2312" w:hAnsi="Times New Roman" w:eastAsia="宋体"/>
          <w:color w:val="000000"/>
          <w:sz w:val="28"/>
          <w:szCs w:val="32"/>
        </w:rPr>
        <w:t>部门“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经费</w:t>
      </w:r>
      <w:r>
        <w:rPr>
          <w:rFonts w:ascii="仿宋_GB2312" w:hAnsi="Times New Roman" w:eastAsia="宋体"/>
          <w:color w:val="000000"/>
          <w:sz w:val="28"/>
          <w:szCs w:val="32"/>
        </w:rPr>
        <w:t>财政拨款预算说明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（一）</w:t>
      </w:r>
      <w:r>
        <w:rPr>
          <w:rFonts w:ascii="仿宋_GB2312" w:hAnsi="Times New Roman" w:eastAsia="宋体"/>
          <w:color w:val="000000"/>
          <w:sz w:val="28"/>
          <w:szCs w:val="32"/>
        </w:rPr>
        <w:t>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经费的</w:t>
      </w:r>
      <w:r>
        <w:rPr>
          <w:rFonts w:ascii="仿宋_GB2312" w:hAnsi="Times New Roman" w:eastAsia="宋体"/>
          <w:color w:val="000000"/>
          <w:sz w:val="28"/>
          <w:szCs w:val="32"/>
        </w:rPr>
        <w:t>单位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范围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2024年部门预算中因公出国（境）费、公务接待费、公务用车购置及运行维护费的支出单位为北京市西城区人民政府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街道办事处。</w:t>
      </w:r>
    </w:p>
    <w:p>
      <w:pPr>
        <w:spacing w:line="560" w:lineRule="exact"/>
        <w:ind w:firstLine="560" w:firstLineChars="200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（二）</w:t>
      </w:r>
      <w:r>
        <w:rPr>
          <w:rFonts w:ascii="仿宋_GB2312" w:hAnsi="Times New Roman" w:eastAsia="宋体"/>
          <w:color w:val="000000"/>
          <w:sz w:val="28"/>
          <w:szCs w:val="32"/>
        </w:rPr>
        <w:t>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经费预算财政</w:t>
      </w:r>
      <w:r>
        <w:rPr>
          <w:rFonts w:ascii="仿宋_GB2312" w:hAnsi="Times New Roman" w:eastAsia="宋体"/>
          <w:color w:val="000000"/>
          <w:sz w:val="28"/>
          <w:szCs w:val="32"/>
        </w:rPr>
        <w:t>拨款情况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说明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ascii="仿宋_GB2312" w:eastAsia="宋体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2024年部门预算“三公”经费财政拨款预算安排7.506642万元，比2023年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增加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0.02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万元。其中:因公出国（境）费2024年财政拨款预算安排0万元，与2023年财政拨款预算安排0万元相比持平;公务接待费2024年财政拨款预算安排5.056642万元，比2023年财政拨款预算安排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增加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0.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02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万元；公务用车购置及运行维护费2024年财政拨款预算安排2.45万元，与2023年公务用车购置及运行维护费财政拨款预算持平。其中2024年公务用车购置费0万元，与2023年持平；公务用车运行维护费2.45万元，与2023年持平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五、其他情况说明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（一）机构运行经费说明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本单位履行一般行政事业管理职能、维持机关运行，用于一般公共预算安排的机关运行经费，合计858.86万元。机关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（二）政府采购预算说明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2024年涉及政府采购项目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20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个，预算资金3,986.96万元。涉及项目为：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垃圾分类、更新机关及社区办公设备和家具等、物业管理、综合执法队办公楼装修工程、保安经费、网格化社会管理服务、绿化养护、餐饮服务、环境综合整治、接诉即办项目等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。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详见下表：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drawing>
          <wp:inline distT="0" distB="0" distL="114300" distR="114300">
            <wp:extent cx="5908040" cy="3217545"/>
            <wp:effectExtent l="0" t="0" r="5080" b="13335"/>
            <wp:docPr id="1" name="图片 1" descr="政府采购预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预算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（三）政府购买服务预算说明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2024年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街道涉及政府购买服务项目</w:t>
      </w:r>
      <w:r>
        <w:rPr>
          <w:rFonts w:hint="eastAsia" w:ascii="仿宋_GB2312" w:hAnsi="Times New Roman" w:eastAsia="宋体"/>
          <w:color w:val="000000"/>
          <w:sz w:val="28"/>
          <w:szCs w:val="32"/>
          <w:lang w:val="en-US" w:eastAsia="zh-CN"/>
        </w:rPr>
        <w:t>33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个，预算资金4,976.297785万元。详见《表十一、2024年政府购买服务预算表》。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（四）</w:t>
      </w:r>
      <w:r>
        <w:rPr>
          <w:rFonts w:ascii="仿宋_GB2312" w:hAnsi="Times New Roman" w:eastAsia="宋体"/>
          <w:color w:val="000000"/>
          <w:sz w:val="28"/>
          <w:szCs w:val="32"/>
        </w:rPr>
        <w:t>绩效目标情况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及绩效评价结果说明</w:t>
      </w:r>
    </w:p>
    <w:p>
      <w:pPr>
        <w:spacing w:line="360" w:lineRule="auto"/>
        <w:ind w:firstLine="560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sz w:val="28"/>
          <w:szCs w:val="32"/>
        </w:rPr>
        <w:t>（1）2024年绩效目标情况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_GB2312" w:eastAsia="宋体" w:cs="仿宋_GB2312"/>
          <w:sz w:val="28"/>
          <w:szCs w:val="32"/>
          <w:lang w:val="en-US" w:eastAsia="zh-CN"/>
        </w:rPr>
        <w:t xml:space="preserve">    2024年部门预算批复项目138个数，全部填写项目支出绩效目标表。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街道深入学习宣传贯彻党的十九大精神，坚持以习近平新时代中国特色社会主义思想为指引，深入落实首都城市战略定位，按照区委总体部署和要求，坚持稳中求进工作总基调，牢牢把握首都城市战略定位，认真落实京津冀协同发展战略，加快疏功能、转方式、治环境、补短板、促协同，全面做好促改革、调结构、惠民生、防风险各项工作，大力实施发展转型和管理转型，深入推进科学治理、全面提升发展品质，更好地保障首都职能履行，2024年度重点做好以下工作：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一是巩固好主题教育成果。立足首都功能核心区定位，突出政治中心、突出人民群众，继续坚持“调”以务实、“研”以致用，努力营造优良政务环境，以接诉即办工作为牵引，充分发挥党建联席委员会轮值制度优势，完善吹哨报到机制，促进各单位、各部门和社区全力协作、叠加优势，不断满足居民群众的“七有”要求和“五性”需求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二是维护地区安全稳定。持续深入开展“大排查、大整治、大提升”行动。推进违规电动三四轮车综合治理工作,切实把安全作为头等大事，履行好“一岗双责”，压实主体责任和监管责任，营造安全有序的社会氛围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三是持续发现问题、反思复盘。在老旧小区综合治理方面强化担当、主动作为，推动物业管理和垃圾分类、大气污染防治、停车管理等重点任务落实落细，打造“现代、和谐、宜居、宜业”的活力都市，为西城区现代化建设贡献更多有效实践，聚智聚力做好高质量发展的大文章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四是坚持久久为功、钻研提升。以“一社区一品牌”统筹推进六铺炕、新风北街等精品街区建设，加块构建精细化治理新模式，赓续古今文脉，提升城市文明形象，推动民生保障事业不断破题，优化“父母食堂”布局，完善养老服务联合体建设，深化“向上吧德宝儿”品牌影响，打造“幼有所育”友好型街区，日益成为高品质生活的美好家园。</w:t>
      </w:r>
    </w:p>
    <w:p>
      <w:pPr>
        <w:spacing w:line="360" w:lineRule="auto"/>
        <w:ind w:firstLine="560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sz w:val="28"/>
          <w:szCs w:val="32"/>
        </w:rPr>
        <w:t>（2）2023年绩效评价情况</w:t>
      </w:r>
    </w:p>
    <w:p>
      <w:pPr>
        <w:pStyle w:val="2"/>
        <w:ind w:firstLine="560" w:firstLineChars="200"/>
        <w:rPr>
          <w:rFonts w:hint="eastAsia" w:ascii="仿宋_GB2312" w:hAnsi="Times New Roman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</w:pPr>
      <w:r>
        <w:rPr>
          <w:rFonts w:hint="eastAsia" w:ascii="仿宋_GB2312" w:hAnsi="Times New Roman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  <w:t xml:space="preserve"> 北京市西城区财政局成立评价工作组，对我街道1个项目实施绩效评价，项目名称为违法建设拆除及拆后恢复经费，绩效评价结果为“优秀”。另对我街道2024年“养老服务联合体”等项目事前绩效评估，给予支持。工作组肯定了项目取得的成效，同时提出存在的问题及相关建议。街道高度重视，根据建议落实整改，加强绩效管理，强化支出责任。</w:t>
      </w:r>
    </w:p>
    <w:p>
      <w:pPr>
        <w:pStyle w:val="2"/>
        <w:ind w:firstLine="560" w:firstLineChars="200"/>
        <w:rPr>
          <w:rFonts w:hint="default" w:ascii="仿宋_GB2312" w:hAnsi="Times New Roman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</w:pPr>
      <w:r>
        <w:rPr>
          <w:rFonts w:hint="eastAsia" w:ascii="仿宋_GB2312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  <w:t>2023年街道对2022年街道部门整体支出开展了自评工作，涉及预算项目项目类199个，项目总金额32517.82万元。从全年各项目产出情况来看，已经取得了较明显的社会效益。体现如下：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hAnsi="仿宋" w:eastAsia="宋体" w:cs="仿宋"/>
          <w:bCs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2023年，在区委区政府的坚强领导下，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街道坚持以习近平新时代中国特色社会主义思想为指导，深入贯彻习近平总书记对北京重要讲话精神，紧紧围绕市区各项工作要求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和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发展规划，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将</w:t>
      </w:r>
      <w:r>
        <w:rPr>
          <w:rFonts w:hint="eastAsia" w:ascii="仿宋_GB2312" w:eastAsia="宋体"/>
          <w:sz w:val="28"/>
          <w:szCs w:val="32"/>
          <w:highlight w:val="none"/>
          <w:lang w:eastAsia="zh-CN"/>
        </w:rPr>
        <w:t>主题教育与“两个工程”相结合，</w:t>
      </w:r>
      <w:r>
        <w:rPr>
          <w:rFonts w:hint="eastAsia" w:ascii="仿宋_GB2312" w:eastAsia="宋体"/>
          <w:sz w:val="28"/>
          <w:szCs w:val="32"/>
          <w:highlight w:val="none"/>
        </w:rPr>
        <w:t>切实落实市委、区委各项决策部署，</w:t>
      </w:r>
      <w:r>
        <w:rPr>
          <w:rFonts w:hint="eastAsia" w:ascii="仿宋_GB2312" w:hAnsi="仿宋_GB2312" w:eastAsia="宋体" w:cs="仿宋_GB2312"/>
          <w:kern w:val="0"/>
          <w:sz w:val="28"/>
          <w:szCs w:val="32"/>
          <w:lang w:val="en-US" w:eastAsia="zh-CN"/>
        </w:rPr>
        <w:t>真抓实干、务求实效，推进“2-1-1-5-2”中国式现代化西城实践，</w:t>
      </w:r>
      <w:r>
        <w:rPr>
          <w:rFonts w:hint="eastAsia" w:ascii="仿宋_GB2312" w:eastAsia="宋体"/>
          <w:sz w:val="28"/>
          <w:szCs w:val="32"/>
          <w:highlight w:val="none"/>
        </w:rPr>
        <w:t>推动接诉即办、</w:t>
      </w:r>
      <w:r>
        <w:rPr>
          <w:rFonts w:hint="eastAsia" w:ascii="仿宋_GB2312" w:eastAsia="宋体"/>
          <w:sz w:val="28"/>
          <w:szCs w:val="32"/>
          <w:highlight w:val="none"/>
          <w:lang w:eastAsia="zh-CN"/>
        </w:rPr>
        <w:t>安全稳定</w:t>
      </w:r>
      <w:r>
        <w:rPr>
          <w:rFonts w:hint="eastAsia" w:ascii="仿宋_GB2312" w:eastAsia="宋体"/>
          <w:sz w:val="28"/>
          <w:szCs w:val="32"/>
          <w:highlight w:val="none"/>
        </w:rPr>
        <w:t>、</w:t>
      </w:r>
      <w:r>
        <w:rPr>
          <w:rFonts w:hint="eastAsia" w:ascii="仿宋_GB2312" w:eastAsia="宋体"/>
          <w:sz w:val="28"/>
          <w:szCs w:val="32"/>
          <w:highlight w:val="none"/>
          <w:lang w:eastAsia="zh-CN"/>
        </w:rPr>
        <w:t>民生保障、城市更新</w:t>
      </w:r>
      <w:r>
        <w:rPr>
          <w:rFonts w:hint="eastAsia" w:ascii="仿宋_GB2312" w:eastAsia="宋体"/>
          <w:sz w:val="28"/>
          <w:szCs w:val="32"/>
          <w:highlight w:val="none"/>
        </w:rPr>
        <w:t>等各项工作任务</w:t>
      </w:r>
      <w:r>
        <w:rPr>
          <w:rFonts w:hint="eastAsia" w:ascii="仿宋_GB2312" w:eastAsia="宋体"/>
          <w:sz w:val="28"/>
          <w:szCs w:val="32"/>
          <w:highlight w:val="none"/>
          <w:lang w:eastAsia="zh-CN"/>
        </w:rPr>
        <w:t>落地见效</w:t>
      </w:r>
      <w:r>
        <w:rPr>
          <w:rFonts w:hint="eastAsia" w:ascii="仿宋_GB2312" w:eastAsia="宋体"/>
          <w:sz w:val="28"/>
          <w:szCs w:val="32"/>
          <w:highlight w:val="none"/>
        </w:rPr>
        <w:t>，</w:t>
      </w:r>
      <w:r>
        <w:rPr>
          <w:rFonts w:hint="eastAsia" w:ascii="仿宋_GB2312" w:eastAsia="宋体"/>
          <w:sz w:val="28"/>
          <w:szCs w:val="32"/>
          <w:highlight w:val="none"/>
          <w:lang w:eastAsia="zh-CN"/>
        </w:rPr>
        <w:t>推动区域高质量发展形成可视化成果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，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德胜街道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较好地完成了全年的工作任务，部门年度整体绩效目标的完成情况良好。所组织实施的财政项目，在预算申报、组织实施、过程管理、资金使用方面均能较严格的按照单位内部控制的要求执行，项目绩效成果的体现较为充分，未出现严重偏离绩效目标的情况。</w:t>
      </w:r>
      <w:r>
        <w:rPr>
          <w:rFonts w:hint="eastAsia" w:ascii="仿宋_GB2312" w:hAnsi="Times New Roman" w:eastAsia="宋体"/>
          <w:color w:val="000000"/>
          <w:sz w:val="28"/>
          <w:szCs w:val="32"/>
          <w:lang w:eastAsia="zh-CN"/>
        </w:rPr>
        <w:t>绩效评价工作按照财政局要求开展。</w:t>
      </w:r>
    </w:p>
    <w:p>
      <w:pPr>
        <w:spacing w:line="560" w:lineRule="exact"/>
        <w:ind w:firstLine="645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（五）国有</w:t>
      </w:r>
      <w:r>
        <w:rPr>
          <w:rFonts w:ascii="仿宋_GB2312" w:hAnsi="Times New Roman" w:eastAsia="宋体"/>
          <w:color w:val="000000"/>
          <w:sz w:val="28"/>
          <w:szCs w:val="32"/>
        </w:rPr>
        <w:t>资本经营预算财政拨款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我部门无国有</w:t>
      </w:r>
      <w:r>
        <w:rPr>
          <w:rFonts w:ascii="仿宋_GB2312" w:hAnsi="Times New Roman" w:eastAsia="宋体"/>
          <w:color w:val="000000"/>
          <w:sz w:val="28"/>
          <w:szCs w:val="32"/>
        </w:rPr>
        <w:t>资本经营预算财政拨款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情况。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（六）国有资产占用情况说明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截止2023年底，本部门固定资产总额15514.648346万元，其中：车辆1台，24.9441万元；单位价值50万元以上的通用设备14台（套）、1572.935875万元，单位价值100万元以上的专用设备0台（套）、0万元。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2024部门预算：安排购置车辆0台，0万元；安排购置单位价值50万元以上的通用设备0台（套）、0万元，安排购置单位价值100万元以上的专用设备0台（套）、0万元。六、名词解释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德胜</w:t>
      </w:r>
      <w:r>
        <w:rPr>
          <w:rFonts w:ascii="Times New Roman" w:hAnsi="Times New Roman" w:eastAsia="宋体" w:cs="Times New Roman"/>
          <w:sz w:val="28"/>
          <w:szCs w:val="32"/>
        </w:rPr>
        <w:t>街道办事处预算公开信息中涉及专业性较强的名词如下。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1、财政拨款收入：指单位从同级财政部门取得的财政预算资金。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2、基本支出：指单位为保障其机构正常运转、完成日常工作任务而发生的人员支出和公用支出。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3、项目支出：指单位为完成特定行政任务和事业发展目标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 xml:space="preserve">在基本支出之外所发生的支出。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4、“三公”经费：纳入财政预决算管理的“三公”经费，是指单位用财政拨款安排的因公出国（境）费、公务用车购置及运行费和公务接待费。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color w:val="FF0000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5、机关运行经费：指为保障行政单位（含参照公务员法管理的事业单位）运行用于购买货物和服务的各项资金，包括办公费、水费、电费、邮电费、取暖费、差旅费、维修（护）费、会议费、培训费、公务接待费、工会经费、福利费、公务用车运行维护费、其他公用费用。</w:t>
      </w:r>
    </w:p>
    <w:p>
      <w:pPr>
        <w:rPr>
          <w:rFonts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E33B5"/>
    <w:multiLevelType w:val="singleLevel"/>
    <w:tmpl w:val="0D5E33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F74572"/>
    <w:multiLevelType w:val="singleLevel"/>
    <w:tmpl w:val="19F7457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3B0F1AB"/>
    <w:multiLevelType w:val="singleLevel"/>
    <w:tmpl w:val="23B0F1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232F"/>
    <w:rsid w:val="00145D92"/>
    <w:rsid w:val="00543A46"/>
    <w:rsid w:val="00571D4D"/>
    <w:rsid w:val="00602103"/>
    <w:rsid w:val="007C1F90"/>
    <w:rsid w:val="008311E5"/>
    <w:rsid w:val="00897BD6"/>
    <w:rsid w:val="00AE6713"/>
    <w:rsid w:val="00B2241F"/>
    <w:rsid w:val="00C460B9"/>
    <w:rsid w:val="00D92669"/>
    <w:rsid w:val="0114776F"/>
    <w:rsid w:val="0171220B"/>
    <w:rsid w:val="018F7009"/>
    <w:rsid w:val="01A31630"/>
    <w:rsid w:val="01F410C5"/>
    <w:rsid w:val="0203343B"/>
    <w:rsid w:val="02163336"/>
    <w:rsid w:val="02237273"/>
    <w:rsid w:val="02280EF4"/>
    <w:rsid w:val="024F28F9"/>
    <w:rsid w:val="027E12BD"/>
    <w:rsid w:val="02AD291C"/>
    <w:rsid w:val="02B02F5A"/>
    <w:rsid w:val="02C30068"/>
    <w:rsid w:val="02D71DB0"/>
    <w:rsid w:val="038F3819"/>
    <w:rsid w:val="038F7EE0"/>
    <w:rsid w:val="03907689"/>
    <w:rsid w:val="03965942"/>
    <w:rsid w:val="044F3B78"/>
    <w:rsid w:val="046D7507"/>
    <w:rsid w:val="04973A8F"/>
    <w:rsid w:val="04974E39"/>
    <w:rsid w:val="049C3EE6"/>
    <w:rsid w:val="04E75707"/>
    <w:rsid w:val="04FA5831"/>
    <w:rsid w:val="05211A74"/>
    <w:rsid w:val="053C337D"/>
    <w:rsid w:val="05472239"/>
    <w:rsid w:val="05737E27"/>
    <w:rsid w:val="05863777"/>
    <w:rsid w:val="058850CC"/>
    <w:rsid w:val="05AE57B7"/>
    <w:rsid w:val="05D07B22"/>
    <w:rsid w:val="05E110FD"/>
    <w:rsid w:val="05F31526"/>
    <w:rsid w:val="06386C17"/>
    <w:rsid w:val="06600CF6"/>
    <w:rsid w:val="06870577"/>
    <w:rsid w:val="06DB2E3E"/>
    <w:rsid w:val="06E903D1"/>
    <w:rsid w:val="07010D5D"/>
    <w:rsid w:val="074E587A"/>
    <w:rsid w:val="07807A15"/>
    <w:rsid w:val="078A6EEE"/>
    <w:rsid w:val="07CE73A7"/>
    <w:rsid w:val="07E17C8D"/>
    <w:rsid w:val="07E807FA"/>
    <w:rsid w:val="084A7D6E"/>
    <w:rsid w:val="08530DBE"/>
    <w:rsid w:val="085553A5"/>
    <w:rsid w:val="08CA6BD4"/>
    <w:rsid w:val="09111A19"/>
    <w:rsid w:val="091637D8"/>
    <w:rsid w:val="0923330C"/>
    <w:rsid w:val="09863B19"/>
    <w:rsid w:val="09BE4AB4"/>
    <w:rsid w:val="09C2549F"/>
    <w:rsid w:val="09E04A87"/>
    <w:rsid w:val="0A254FAE"/>
    <w:rsid w:val="0A426231"/>
    <w:rsid w:val="0A4C655F"/>
    <w:rsid w:val="0A9F70DC"/>
    <w:rsid w:val="0AE91E48"/>
    <w:rsid w:val="0AED5E7B"/>
    <w:rsid w:val="0AF65872"/>
    <w:rsid w:val="0B20635B"/>
    <w:rsid w:val="0B2F25DF"/>
    <w:rsid w:val="0B835111"/>
    <w:rsid w:val="0B90215D"/>
    <w:rsid w:val="0BAA408B"/>
    <w:rsid w:val="0C261E38"/>
    <w:rsid w:val="0C2A0EC4"/>
    <w:rsid w:val="0C5039B5"/>
    <w:rsid w:val="0C6F6534"/>
    <w:rsid w:val="0CC43037"/>
    <w:rsid w:val="0CC62B0D"/>
    <w:rsid w:val="0CD653EC"/>
    <w:rsid w:val="0CF56A70"/>
    <w:rsid w:val="0D1D72F0"/>
    <w:rsid w:val="0D3328F6"/>
    <w:rsid w:val="0D375318"/>
    <w:rsid w:val="0D5C1D43"/>
    <w:rsid w:val="0D8D4529"/>
    <w:rsid w:val="0DAC7097"/>
    <w:rsid w:val="0DC665DF"/>
    <w:rsid w:val="0DF4453F"/>
    <w:rsid w:val="0DF90ED0"/>
    <w:rsid w:val="0E060BB8"/>
    <w:rsid w:val="0E4318A7"/>
    <w:rsid w:val="0E9E4249"/>
    <w:rsid w:val="0EDA4163"/>
    <w:rsid w:val="0EFC460A"/>
    <w:rsid w:val="0F184A24"/>
    <w:rsid w:val="0F334FED"/>
    <w:rsid w:val="0F4C099B"/>
    <w:rsid w:val="0F947971"/>
    <w:rsid w:val="0FE5740F"/>
    <w:rsid w:val="10AA4263"/>
    <w:rsid w:val="10F416AE"/>
    <w:rsid w:val="10FB531D"/>
    <w:rsid w:val="1115507E"/>
    <w:rsid w:val="111D5938"/>
    <w:rsid w:val="11441ADE"/>
    <w:rsid w:val="11804B70"/>
    <w:rsid w:val="11935078"/>
    <w:rsid w:val="11BA08E8"/>
    <w:rsid w:val="11EC300D"/>
    <w:rsid w:val="11F90B7D"/>
    <w:rsid w:val="12132919"/>
    <w:rsid w:val="12442A1E"/>
    <w:rsid w:val="124538CA"/>
    <w:rsid w:val="124A269E"/>
    <w:rsid w:val="12887059"/>
    <w:rsid w:val="12943D50"/>
    <w:rsid w:val="129D4C94"/>
    <w:rsid w:val="12E87AE7"/>
    <w:rsid w:val="132B1544"/>
    <w:rsid w:val="138A15E1"/>
    <w:rsid w:val="13AB2279"/>
    <w:rsid w:val="13D3153A"/>
    <w:rsid w:val="14333AE1"/>
    <w:rsid w:val="14431986"/>
    <w:rsid w:val="14580355"/>
    <w:rsid w:val="1472421F"/>
    <w:rsid w:val="14753118"/>
    <w:rsid w:val="14EC6B11"/>
    <w:rsid w:val="15173121"/>
    <w:rsid w:val="154A22D7"/>
    <w:rsid w:val="157E7CB0"/>
    <w:rsid w:val="1596054A"/>
    <w:rsid w:val="15A32A91"/>
    <w:rsid w:val="15B344FC"/>
    <w:rsid w:val="15D808B7"/>
    <w:rsid w:val="15DE5231"/>
    <w:rsid w:val="15F97676"/>
    <w:rsid w:val="16270C3C"/>
    <w:rsid w:val="163A0944"/>
    <w:rsid w:val="16480683"/>
    <w:rsid w:val="16E546DA"/>
    <w:rsid w:val="17206BFF"/>
    <w:rsid w:val="17586CB1"/>
    <w:rsid w:val="179E269C"/>
    <w:rsid w:val="17CD0FF6"/>
    <w:rsid w:val="18094E5D"/>
    <w:rsid w:val="182053ED"/>
    <w:rsid w:val="182C1402"/>
    <w:rsid w:val="186F37CB"/>
    <w:rsid w:val="18953B21"/>
    <w:rsid w:val="19180296"/>
    <w:rsid w:val="19367D73"/>
    <w:rsid w:val="196C1D9E"/>
    <w:rsid w:val="19A82F7F"/>
    <w:rsid w:val="19B83009"/>
    <w:rsid w:val="19BF678E"/>
    <w:rsid w:val="19CB4C77"/>
    <w:rsid w:val="1A120C54"/>
    <w:rsid w:val="1A336474"/>
    <w:rsid w:val="1A4902B8"/>
    <w:rsid w:val="1A69609E"/>
    <w:rsid w:val="1A703C76"/>
    <w:rsid w:val="1A715DF1"/>
    <w:rsid w:val="1A734AE2"/>
    <w:rsid w:val="1A794CAE"/>
    <w:rsid w:val="1AB0437C"/>
    <w:rsid w:val="1AF53401"/>
    <w:rsid w:val="1AF57C78"/>
    <w:rsid w:val="1AF837F6"/>
    <w:rsid w:val="1B086584"/>
    <w:rsid w:val="1B18055F"/>
    <w:rsid w:val="1B693776"/>
    <w:rsid w:val="1C0D5C7B"/>
    <w:rsid w:val="1C3E0F72"/>
    <w:rsid w:val="1C53680A"/>
    <w:rsid w:val="1C575B8C"/>
    <w:rsid w:val="1C7D1C9E"/>
    <w:rsid w:val="1CAD791C"/>
    <w:rsid w:val="1CD21437"/>
    <w:rsid w:val="1CD43BB9"/>
    <w:rsid w:val="1CE32366"/>
    <w:rsid w:val="1CED62A1"/>
    <w:rsid w:val="1D3F0F96"/>
    <w:rsid w:val="1DDC572C"/>
    <w:rsid w:val="1DF25B24"/>
    <w:rsid w:val="1E041F4B"/>
    <w:rsid w:val="1E244BFA"/>
    <w:rsid w:val="1E447201"/>
    <w:rsid w:val="1E456CAD"/>
    <w:rsid w:val="1E497FBB"/>
    <w:rsid w:val="1E742467"/>
    <w:rsid w:val="1E9C5CBD"/>
    <w:rsid w:val="1EA44F4C"/>
    <w:rsid w:val="1EF315F7"/>
    <w:rsid w:val="1EF93DC8"/>
    <w:rsid w:val="1F1B21D2"/>
    <w:rsid w:val="1F1D5807"/>
    <w:rsid w:val="1F281832"/>
    <w:rsid w:val="1F412064"/>
    <w:rsid w:val="1F415830"/>
    <w:rsid w:val="1F74322F"/>
    <w:rsid w:val="1F831F0B"/>
    <w:rsid w:val="1F97364C"/>
    <w:rsid w:val="1F9C3943"/>
    <w:rsid w:val="1FF35C1E"/>
    <w:rsid w:val="20316852"/>
    <w:rsid w:val="20401C5D"/>
    <w:rsid w:val="205A0BA2"/>
    <w:rsid w:val="207443B4"/>
    <w:rsid w:val="21792F3C"/>
    <w:rsid w:val="21E1281D"/>
    <w:rsid w:val="220C4802"/>
    <w:rsid w:val="221A74E2"/>
    <w:rsid w:val="223063E4"/>
    <w:rsid w:val="226E7A52"/>
    <w:rsid w:val="22865AF1"/>
    <w:rsid w:val="229A360E"/>
    <w:rsid w:val="231D58D9"/>
    <w:rsid w:val="23714A34"/>
    <w:rsid w:val="23926A74"/>
    <w:rsid w:val="23A2597A"/>
    <w:rsid w:val="23D355F1"/>
    <w:rsid w:val="240534B9"/>
    <w:rsid w:val="240C6EB6"/>
    <w:rsid w:val="244E0EC0"/>
    <w:rsid w:val="24961C64"/>
    <w:rsid w:val="2496625B"/>
    <w:rsid w:val="24A05200"/>
    <w:rsid w:val="24CA11C1"/>
    <w:rsid w:val="24D33355"/>
    <w:rsid w:val="24ED0FA9"/>
    <w:rsid w:val="25137FBB"/>
    <w:rsid w:val="252C400F"/>
    <w:rsid w:val="257135D5"/>
    <w:rsid w:val="25864159"/>
    <w:rsid w:val="25A21BB9"/>
    <w:rsid w:val="2627084E"/>
    <w:rsid w:val="262C3E18"/>
    <w:rsid w:val="265C1F8D"/>
    <w:rsid w:val="265C72C7"/>
    <w:rsid w:val="269E6743"/>
    <w:rsid w:val="26BF18C1"/>
    <w:rsid w:val="26CB5873"/>
    <w:rsid w:val="26D26C49"/>
    <w:rsid w:val="26EC71CE"/>
    <w:rsid w:val="272F4BF7"/>
    <w:rsid w:val="27AB4C3D"/>
    <w:rsid w:val="27F73D0C"/>
    <w:rsid w:val="28B110C0"/>
    <w:rsid w:val="28C423AC"/>
    <w:rsid w:val="28DC6A0B"/>
    <w:rsid w:val="28DE32B1"/>
    <w:rsid w:val="28FC676F"/>
    <w:rsid w:val="293A5681"/>
    <w:rsid w:val="29574DA7"/>
    <w:rsid w:val="29787D5A"/>
    <w:rsid w:val="29797473"/>
    <w:rsid w:val="29A208B5"/>
    <w:rsid w:val="29FC6275"/>
    <w:rsid w:val="2A331773"/>
    <w:rsid w:val="2ABF634C"/>
    <w:rsid w:val="2ACE2520"/>
    <w:rsid w:val="2B034E6A"/>
    <w:rsid w:val="2B122BAD"/>
    <w:rsid w:val="2BA125E2"/>
    <w:rsid w:val="2C60335A"/>
    <w:rsid w:val="2CB06313"/>
    <w:rsid w:val="2D0D01BA"/>
    <w:rsid w:val="2D1A7EB2"/>
    <w:rsid w:val="2D6022C4"/>
    <w:rsid w:val="2D7A1000"/>
    <w:rsid w:val="2DA43A24"/>
    <w:rsid w:val="2DA9565F"/>
    <w:rsid w:val="2DCA1C73"/>
    <w:rsid w:val="2DD55DA8"/>
    <w:rsid w:val="2E0C6C38"/>
    <w:rsid w:val="2E6730DB"/>
    <w:rsid w:val="2E8D4639"/>
    <w:rsid w:val="2F073B8B"/>
    <w:rsid w:val="2FB93E1B"/>
    <w:rsid w:val="2FD966DF"/>
    <w:rsid w:val="2FE7385D"/>
    <w:rsid w:val="2FF12396"/>
    <w:rsid w:val="30052A3E"/>
    <w:rsid w:val="3080359A"/>
    <w:rsid w:val="3085570D"/>
    <w:rsid w:val="308F680C"/>
    <w:rsid w:val="30A65BB7"/>
    <w:rsid w:val="31000954"/>
    <w:rsid w:val="310848C0"/>
    <w:rsid w:val="31154818"/>
    <w:rsid w:val="31215A90"/>
    <w:rsid w:val="31217101"/>
    <w:rsid w:val="312D6EA2"/>
    <w:rsid w:val="31384FFF"/>
    <w:rsid w:val="31477576"/>
    <w:rsid w:val="314E40CE"/>
    <w:rsid w:val="31685BDD"/>
    <w:rsid w:val="317667DA"/>
    <w:rsid w:val="31910740"/>
    <w:rsid w:val="31965580"/>
    <w:rsid w:val="319E72ED"/>
    <w:rsid w:val="31D8104B"/>
    <w:rsid w:val="32104E86"/>
    <w:rsid w:val="32236155"/>
    <w:rsid w:val="3240043F"/>
    <w:rsid w:val="32D737DA"/>
    <w:rsid w:val="32E0232F"/>
    <w:rsid w:val="334D5873"/>
    <w:rsid w:val="33924AB0"/>
    <w:rsid w:val="33B215A5"/>
    <w:rsid w:val="33E10C9B"/>
    <w:rsid w:val="342E4D2F"/>
    <w:rsid w:val="34337179"/>
    <w:rsid w:val="34594CB1"/>
    <w:rsid w:val="346A6A03"/>
    <w:rsid w:val="34E64372"/>
    <w:rsid w:val="357D3D33"/>
    <w:rsid w:val="357E23C7"/>
    <w:rsid w:val="358174F5"/>
    <w:rsid w:val="35853613"/>
    <w:rsid w:val="3594464B"/>
    <w:rsid w:val="359E2487"/>
    <w:rsid w:val="35A536CB"/>
    <w:rsid w:val="35BF2F7C"/>
    <w:rsid w:val="360C5BB3"/>
    <w:rsid w:val="3619425E"/>
    <w:rsid w:val="364D44D9"/>
    <w:rsid w:val="369D34C5"/>
    <w:rsid w:val="36AC3F7C"/>
    <w:rsid w:val="36B3685C"/>
    <w:rsid w:val="36CC61AE"/>
    <w:rsid w:val="36E07F01"/>
    <w:rsid w:val="36FA47E8"/>
    <w:rsid w:val="37260E03"/>
    <w:rsid w:val="37623C5F"/>
    <w:rsid w:val="37AD1231"/>
    <w:rsid w:val="37D544DD"/>
    <w:rsid w:val="37DB7324"/>
    <w:rsid w:val="37DF471B"/>
    <w:rsid w:val="37FD174B"/>
    <w:rsid w:val="38300AB5"/>
    <w:rsid w:val="383D0AFB"/>
    <w:rsid w:val="383F630A"/>
    <w:rsid w:val="384E78B7"/>
    <w:rsid w:val="387E5DE0"/>
    <w:rsid w:val="388D155A"/>
    <w:rsid w:val="38B335DE"/>
    <w:rsid w:val="38CB29A6"/>
    <w:rsid w:val="39206F6D"/>
    <w:rsid w:val="39406FBF"/>
    <w:rsid w:val="394547B1"/>
    <w:rsid w:val="39547E50"/>
    <w:rsid w:val="39720077"/>
    <w:rsid w:val="39925A2C"/>
    <w:rsid w:val="399B3996"/>
    <w:rsid w:val="39CC4B6A"/>
    <w:rsid w:val="39D441C1"/>
    <w:rsid w:val="3A5405F2"/>
    <w:rsid w:val="3A8B549B"/>
    <w:rsid w:val="3AB97BFD"/>
    <w:rsid w:val="3ABF2601"/>
    <w:rsid w:val="3AD43FB4"/>
    <w:rsid w:val="3AE05322"/>
    <w:rsid w:val="3AE83CF3"/>
    <w:rsid w:val="3AEF4105"/>
    <w:rsid w:val="3B1C4507"/>
    <w:rsid w:val="3BA7423C"/>
    <w:rsid w:val="3BB562E9"/>
    <w:rsid w:val="3BD10631"/>
    <w:rsid w:val="3C165492"/>
    <w:rsid w:val="3C4B7711"/>
    <w:rsid w:val="3C4C6E03"/>
    <w:rsid w:val="3C5F3A08"/>
    <w:rsid w:val="3C5F5E7C"/>
    <w:rsid w:val="3C820E70"/>
    <w:rsid w:val="3CA04923"/>
    <w:rsid w:val="3CA73830"/>
    <w:rsid w:val="3D832F66"/>
    <w:rsid w:val="3D967E6E"/>
    <w:rsid w:val="3DC944BF"/>
    <w:rsid w:val="3E194220"/>
    <w:rsid w:val="3E1D176C"/>
    <w:rsid w:val="3E2F5676"/>
    <w:rsid w:val="3E3753EB"/>
    <w:rsid w:val="3E3B1BAD"/>
    <w:rsid w:val="3E5F243E"/>
    <w:rsid w:val="3EF5733C"/>
    <w:rsid w:val="3EFD5957"/>
    <w:rsid w:val="3F064804"/>
    <w:rsid w:val="3F0C30F9"/>
    <w:rsid w:val="3F6F72C6"/>
    <w:rsid w:val="3F7E6A24"/>
    <w:rsid w:val="3F9166F1"/>
    <w:rsid w:val="400435A8"/>
    <w:rsid w:val="40085795"/>
    <w:rsid w:val="40412986"/>
    <w:rsid w:val="405613B9"/>
    <w:rsid w:val="406D47EE"/>
    <w:rsid w:val="40DA249B"/>
    <w:rsid w:val="40DA34EC"/>
    <w:rsid w:val="40EE3FBE"/>
    <w:rsid w:val="412A5995"/>
    <w:rsid w:val="414D5419"/>
    <w:rsid w:val="4152610F"/>
    <w:rsid w:val="416E7F9B"/>
    <w:rsid w:val="41A50B9E"/>
    <w:rsid w:val="41EE36E8"/>
    <w:rsid w:val="41F753D5"/>
    <w:rsid w:val="420D26C9"/>
    <w:rsid w:val="425C59DE"/>
    <w:rsid w:val="42DF0740"/>
    <w:rsid w:val="42E072B8"/>
    <w:rsid w:val="431B7EBD"/>
    <w:rsid w:val="43541C0D"/>
    <w:rsid w:val="437E6C50"/>
    <w:rsid w:val="44230CE4"/>
    <w:rsid w:val="442E48C3"/>
    <w:rsid w:val="444D0425"/>
    <w:rsid w:val="44555302"/>
    <w:rsid w:val="44A93839"/>
    <w:rsid w:val="44F965CB"/>
    <w:rsid w:val="450E126C"/>
    <w:rsid w:val="45501ABF"/>
    <w:rsid w:val="455361EC"/>
    <w:rsid w:val="45543DEA"/>
    <w:rsid w:val="45667F7D"/>
    <w:rsid w:val="45693A41"/>
    <w:rsid w:val="4574509A"/>
    <w:rsid w:val="45915A33"/>
    <w:rsid w:val="45BC22FB"/>
    <w:rsid w:val="45E26A81"/>
    <w:rsid w:val="462741D7"/>
    <w:rsid w:val="46502A1A"/>
    <w:rsid w:val="465E00CB"/>
    <w:rsid w:val="468825A0"/>
    <w:rsid w:val="469573E9"/>
    <w:rsid w:val="469C4479"/>
    <w:rsid w:val="46B01C2B"/>
    <w:rsid w:val="478061BA"/>
    <w:rsid w:val="47C417C2"/>
    <w:rsid w:val="47E56088"/>
    <w:rsid w:val="47FB30A3"/>
    <w:rsid w:val="4805200A"/>
    <w:rsid w:val="48222D0A"/>
    <w:rsid w:val="48534245"/>
    <w:rsid w:val="48A750BB"/>
    <w:rsid w:val="49181FD7"/>
    <w:rsid w:val="49210764"/>
    <w:rsid w:val="4935547F"/>
    <w:rsid w:val="49AE0C8F"/>
    <w:rsid w:val="4A023C66"/>
    <w:rsid w:val="4A954D82"/>
    <w:rsid w:val="4AA50054"/>
    <w:rsid w:val="4ADA718A"/>
    <w:rsid w:val="4ADE0BC6"/>
    <w:rsid w:val="4AF535D9"/>
    <w:rsid w:val="4B1B0781"/>
    <w:rsid w:val="4B5E2395"/>
    <w:rsid w:val="4B7A1FBB"/>
    <w:rsid w:val="4B7F7551"/>
    <w:rsid w:val="4B94598B"/>
    <w:rsid w:val="4B9D1223"/>
    <w:rsid w:val="4BF21262"/>
    <w:rsid w:val="4BF27F87"/>
    <w:rsid w:val="4BF60DA7"/>
    <w:rsid w:val="4BF61EFB"/>
    <w:rsid w:val="4C417867"/>
    <w:rsid w:val="4C6A3697"/>
    <w:rsid w:val="4CD058E2"/>
    <w:rsid w:val="4CDB6749"/>
    <w:rsid w:val="4D096BE2"/>
    <w:rsid w:val="4D1E1498"/>
    <w:rsid w:val="4D27373F"/>
    <w:rsid w:val="4D3465B3"/>
    <w:rsid w:val="4D9D1D61"/>
    <w:rsid w:val="4D9F27FE"/>
    <w:rsid w:val="4DBD0F1B"/>
    <w:rsid w:val="4DDB4B00"/>
    <w:rsid w:val="4DFF4B92"/>
    <w:rsid w:val="4E877C3C"/>
    <w:rsid w:val="4E8C05D0"/>
    <w:rsid w:val="4E8C6133"/>
    <w:rsid w:val="4EBE3C61"/>
    <w:rsid w:val="4EF47DD5"/>
    <w:rsid w:val="4F0747B1"/>
    <w:rsid w:val="4FAB75B4"/>
    <w:rsid w:val="4FB1310D"/>
    <w:rsid w:val="4FF60459"/>
    <w:rsid w:val="505E19C1"/>
    <w:rsid w:val="50840800"/>
    <w:rsid w:val="509178F1"/>
    <w:rsid w:val="50BC7A86"/>
    <w:rsid w:val="50C212D6"/>
    <w:rsid w:val="51203D2E"/>
    <w:rsid w:val="512F7CD7"/>
    <w:rsid w:val="51370F1F"/>
    <w:rsid w:val="51400C65"/>
    <w:rsid w:val="5172082C"/>
    <w:rsid w:val="5186641A"/>
    <w:rsid w:val="52050FCF"/>
    <w:rsid w:val="520F0401"/>
    <w:rsid w:val="520F10DA"/>
    <w:rsid w:val="52391D4A"/>
    <w:rsid w:val="52425BD7"/>
    <w:rsid w:val="525642DA"/>
    <w:rsid w:val="526F4483"/>
    <w:rsid w:val="527D4A21"/>
    <w:rsid w:val="528D0E6B"/>
    <w:rsid w:val="528D33B6"/>
    <w:rsid w:val="52A50D76"/>
    <w:rsid w:val="52A9708D"/>
    <w:rsid w:val="52F27B96"/>
    <w:rsid w:val="535F7D1B"/>
    <w:rsid w:val="53735E9A"/>
    <w:rsid w:val="537E2863"/>
    <w:rsid w:val="53B444FB"/>
    <w:rsid w:val="53C06BAA"/>
    <w:rsid w:val="53DE7F0C"/>
    <w:rsid w:val="540B21FA"/>
    <w:rsid w:val="54904327"/>
    <w:rsid w:val="54935807"/>
    <w:rsid w:val="54AA4673"/>
    <w:rsid w:val="54F80808"/>
    <w:rsid w:val="551A1670"/>
    <w:rsid w:val="5522433C"/>
    <w:rsid w:val="552B7ED9"/>
    <w:rsid w:val="55596A10"/>
    <w:rsid w:val="558B5CEE"/>
    <w:rsid w:val="55A1326B"/>
    <w:rsid w:val="55B15619"/>
    <w:rsid w:val="55C0090D"/>
    <w:rsid w:val="55E51C0C"/>
    <w:rsid w:val="563B0B03"/>
    <w:rsid w:val="57353C0A"/>
    <w:rsid w:val="574323EC"/>
    <w:rsid w:val="57502CC8"/>
    <w:rsid w:val="578C28A7"/>
    <w:rsid w:val="578F1928"/>
    <w:rsid w:val="57B838EB"/>
    <w:rsid w:val="5853306C"/>
    <w:rsid w:val="58894713"/>
    <w:rsid w:val="588B0163"/>
    <w:rsid w:val="58F05223"/>
    <w:rsid w:val="58F77106"/>
    <w:rsid w:val="5940130B"/>
    <w:rsid w:val="599D2464"/>
    <w:rsid w:val="59D529A2"/>
    <w:rsid w:val="5A1A377F"/>
    <w:rsid w:val="5A3F1425"/>
    <w:rsid w:val="5A661CA7"/>
    <w:rsid w:val="5A692670"/>
    <w:rsid w:val="5A73587F"/>
    <w:rsid w:val="5A8C681A"/>
    <w:rsid w:val="5ACD4D30"/>
    <w:rsid w:val="5AD66A85"/>
    <w:rsid w:val="5AD75554"/>
    <w:rsid w:val="5B812F63"/>
    <w:rsid w:val="5BC24DA1"/>
    <w:rsid w:val="5BC54FBA"/>
    <w:rsid w:val="5BFB2DC7"/>
    <w:rsid w:val="5BFE6F3B"/>
    <w:rsid w:val="5C4550D3"/>
    <w:rsid w:val="5C89785B"/>
    <w:rsid w:val="5D1268CD"/>
    <w:rsid w:val="5D141B91"/>
    <w:rsid w:val="5D184C58"/>
    <w:rsid w:val="5D3E7E36"/>
    <w:rsid w:val="5D4B533E"/>
    <w:rsid w:val="5D554CE1"/>
    <w:rsid w:val="5D5B5957"/>
    <w:rsid w:val="5D807B4B"/>
    <w:rsid w:val="5D8F1BBE"/>
    <w:rsid w:val="5DAA33FE"/>
    <w:rsid w:val="5E0A08AB"/>
    <w:rsid w:val="5E112D21"/>
    <w:rsid w:val="5E2F4865"/>
    <w:rsid w:val="5E2F4BFF"/>
    <w:rsid w:val="5E31569D"/>
    <w:rsid w:val="5E3F1AE1"/>
    <w:rsid w:val="5E846CF0"/>
    <w:rsid w:val="5EAE79C0"/>
    <w:rsid w:val="5EEB4551"/>
    <w:rsid w:val="5F274557"/>
    <w:rsid w:val="5F8A73EB"/>
    <w:rsid w:val="5F9507F1"/>
    <w:rsid w:val="5FB032AB"/>
    <w:rsid w:val="5FC76FFD"/>
    <w:rsid w:val="5FD527C6"/>
    <w:rsid w:val="5FDE0A54"/>
    <w:rsid w:val="5FF449D6"/>
    <w:rsid w:val="605D7707"/>
    <w:rsid w:val="607C56AA"/>
    <w:rsid w:val="609C12DF"/>
    <w:rsid w:val="60DC559C"/>
    <w:rsid w:val="60EB1264"/>
    <w:rsid w:val="61046BB9"/>
    <w:rsid w:val="61204060"/>
    <w:rsid w:val="61396CBE"/>
    <w:rsid w:val="61494087"/>
    <w:rsid w:val="61790927"/>
    <w:rsid w:val="61D34A57"/>
    <w:rsid w:val="61E45659"/>
    <w:rsid w:val="61FA2247"/>
    <w:rsid w:val="61FA6ADB"/>
    <w:rsid w:val="62144FD5"/>
    <w:rsid w:val="62290F33"/>
    <w:rsid w:val="624E73D3"/>
    <w:rsid w:val="62640EA1"/>
    <w:rsid w:val="62A91CB7"/>
    <w:rsid w:val="62E32B87"/>
    <w:rsid w:val="635134C5"/>
    <w:rsid w:val="63562135"/>
    <w:rsid w:val="638A3023"/>
    <w:rsid w:val="63A079B2"/>
    <w:rsid w:val="63A538F9"/>
    <w:rsid w:val="63AA081B"/>
    <w:rsid w:val="64013616"/>
    <w:rsid w:val="64247577"/>
    <w:rsid w:val="64436574"/>
    <w:rsid w:val="64472B03"/>
    <w:rsid w:val="645F53C2"/>
    <w:rsid w:val="64762DBA"/>
    <w:rsid w:val="647B02DA"/>
    <w:rsid w:val="64C331CB"/>
    <w:rsid w:val="64C42B79"/>
    <w:rsid w:val="64DE679F"/>
    <w:rsid w:val="64FB7819"/>
    <w:rsid w:val="65082624"/>
    <w:rsid w:val="651D045B"/>
    <w:rsid w:val="65B048A5"/>
    <w:rsid w:val="65D25129"/>
    <w:rsid w:val="65DE6635"/>
    <w:rsid w:val="65E510AE"/>
    <w:rsid w:val="65EA3D08"/>
    <w:rsid w:val="66045E38"/>
    <w:rsid w:val="66180211"/>
    <w:rsid w:val="666E6E98"/>
    <w:rsid w:val="667409E6"/>
    <w:rsid w:val="66960041"/>
    <w:rsid w:val="66A834F0"/>
    <w:rsid w:val="66C818BF"/>
    <w:rsid w:val="66CA5134"/>
    <w:rsid w:val="66D530B2"/>
    <w:rsid w:val="66ED766F"/>
    <w:rsid w:val="678B5A2B"/>
    <w:rsid w:val="67997DD1"/>
    <w:rsid w:val="67B62FB9"/>
    <w:rsid w:val="67CC3B3E"/>
    <w:rsid w:val="67CE3386"/>
    <w:rsid w:val="681574B6"/>
    <w:rsid w:val="68207BB2"/>
    <w:rsid w:val="68FA39A2"/>
    <w:rsid w:val="690D49BE"/>
    <w:rsid w:val="69411941"/>
    <w:rsid w:val="6952109B"/>
    <w:rsid w:val="696A59AF"/>
    <w:rsid w:val="69B31FE2"/>
    <w:rsid w:val="69BF1408"/>
    <w:rsid w:val="6A0D4CC7"/>
    <w:rsid w:val="6A217BA4"/>
    <w:rsid w:val="6A4C2B44"/>
    <w:rsid w:val="6A936FB6"/>
    <w:rsid w:val="6ADB0A23"/>
    <w:rsid w:val="6AE15F65"/>
    <w:rsid w:val="6AE623AA"/>
    <w:rsid w:val="6B001D72"/>
    <w:rsid w:val="6B1332DF"/>
    <w:rsid w:val="6B2A25D7"/>
    <w:rsid w:val="6B4E78D2"/>
    <w:rsid w:val="6B544E09"/>
    <w:rsid w:val="6B816A92"/>
    <w:rsid w:val="6BB164D6"/>
    <w:rsid w:val="6BCC0BB5"/>
    <w:rsid w:val="6BF97C4A"/>
    <w:rsid w:val="6C0667A7"/>
    <w:rsid w:val="6C456E2B"/>
    <w:rsid w:val="6C5E3345"/>
    <w:rsid w:val="6C602D88"/>
    <w:rsid w:val="6C6E6A8A"/>
    <w:rsid w:val="6C871376"/>
    <w:rsid w:val="6C912172"/>
    <w:rsid w:val="6CD930E6"/>
    <w:rsid w:val="6CE57C42"/>
    <w:rsid w:val="6D5C447A"/>
    <w:rsid w:val="6D642521"/>
    <w:rsid w:val="6D656206"/>
    <w:rsid w:val="6DAC036B"/>
    <w:rsid w:val="6DB739D3"/>
    <w:rsid w:val="6DE5783B"/>
    <w:rsid w:val="6DED0D56"/>
    <w:rsid w:val="6E913725"/>
    <w:rsid w:val="6EBD2EE7"/>
    <w:rsid w:val="6ED479CF"/>
    <w:rsid w:val="6F180158"/>
    <w:rsid w:val="6F190011"/>
    <w:rsid w:val="6F4924AE"/>
    <w:rsid w:val="6F796FF1"/>
    <w:rsid w:val="703D465D"/>
    <w:rsid w:val="706D7708"/>
    <w:rsid w:val="70924DD0"/>
    <w:rsid w:val="7096030E"/>
    <w:rsid w:val="70BF62EA"/>
    <w:rsid w:val="7106462A"/>
    <w:rsid w:val="712E75E7"/>
    <w:rsid w:val="7136174C"/>
    <w:rsid w:val="714E35B2"/>
    <w:rsid w:val="715312A8"/>
    <w:rsid w:val="7177120A"/>
    <w:rsid w:val="71775BA1"/>
    <w:rsid w:val="71857B77"/>
    <w:rsid w:val="718B58F8"/>
    <w:rsid w:val="71B06FE4"/>
    <w:rsid w:val="71BF2CC5"/>
    <w:rsid w:val="71DE32A3"/>
    <w:rsid w:val="71F05CAD"/>
    <w:rsid w:val="72045280"/>
    <w:rsid w:val="72061268"/>
    <w:rsid w:val="7214702C"/>
    <w:rsid w:val="723E2EF0"/>
    <w:rsid w:val="72517421"/>
    <w:rsid w:val="72774325"/>
    <w:rsid w:val="72A43FA1"/>
    <w:rsid w:val="72B7050A"/>
    <w:rsid w:val="72D97C21"/>
    <w:rsid w:val="72DE7673"/>
    <w:rsid w:val="72E72389"/>
    <w:rsid w:val="72F75AF3"/>
    <w:rsid w:val="72FF67AE"/>
    <w:rsid w:val="734B6E52"/>
    <w:rsid w:val="73885147"/>
    <w:rsid w:val="73F217E2"/>
    <w:rsid w:val="7419753A"/>
    <w:rsid w:val="741F100A"/>
    <w:rsid w:val="744D14DF"/>
    <w:rsid w:val="746100A5"/>
    <w:rsid w:val="74656CB0"/>
    <w:rsid w:val="74734E16"/>
    <w:rsid w:val="74AA186D"/>
    <w:rsid w:val="74CE5EBB"/>
    <w:rsid w:val="74EF0DDB"/>
    <w:rsid w:val="75010C1A"/>
    <w:rsid w:val="7531609A"/>
    <w:rsid w:val="7544175B"/>
    <w:rsid w:val="756503C8"/>
    <w:rsid w:val="75696A3D"/>
    <w:rsid w:val="75793196"/>
    <w:rsid w:val="75866185"/>
    <w:rsid w:val="75D3624C"/>
    <w:rsid w:val="75D61C0B"/>
    <w:rsid w:val="75E3375F"/>
    <w:rsid w:val="75F43489"/>
    <w:rsid w:val="76037D7A"/>
    <w:rsid w:val="76093E30"/>
    <w:rsid w:val="762B5354"/>
    <w:rsid w:val="765E1AEC"/>
    <w:rsid w:val="765E5E4D"/>
    <w:rsid w:val="768B302B"/>
    <w:rsid w:val="77097FD1"/>
    <w:rsid w:val="77171446"/>
    <w:rsid w:val="777A1EF8"/>
    <w:rsid w:val="77952600"/>
    <w:rsid w:val="77A345AA"/>
    <w:rsid w:val="78572BB3"/>
    <w:rsid w:val="78F92727"/>
    <w:rsid w:val="7966226A"/>
    <w:rsid w:val="79CA0C57"/>
    <w:rsid w:val="7A431BD5"/>
    <w:rsid w:val="7A774DB5"/>
    <w:rsid w:val="7A9940D3"/>
    <w:rsid w:val="7AF9186C"/>
    <w:rsid w:val="7B1A3DFB"/>
    <w:rsid w:val="7B263B9F"/>
    <w:rsid w:val="7B7E751A"/>
    <w:rsid w:val="7BAD4974"/>
    <w:rsid w:val="7BB75121"/>
    <w:rsid w:val="7C6155F5"/>
    <w:rsid w:val="7CCC77E0"/>
    <w:rsid w:val="7D7044A5"/>
    <w:rsid w:val="7D836233"/>
    <w:rsid w:val="7DB63368"/>
    <w:rsid w:val="7DF744D6"/>
    <w:rsid w:val="7E045853"/>
    <w:rsid w:val="7E317A32"/>
    <w:rsid w:val="7E9C2188"/>
    <w:rsid w:val="7EBC54A1"/>
    <w:rsid w:val="7F1F056B"/>
    <w:rsid w:val="7F215B7B"/>
    <w:rsid w:val="7F343809"/>
    <w:rsid w:val="7F5E1AB1"/>
    <w:rsid w:val="7F6A351D"/>
    <w:rsid w:val="7F7A0D8E"/>
    <w:rsid w:val="7FE6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152"/>
    <w:pPr>
      <w:widowControl/>
      <w:wordWrap/>
      <w:autoSpaceDE w:val="0"/>
      <w:autoSpaceDN w:val="0"/>
    </w:pPr>
    <w:rPr>
      <w:rFonts w:ascii="Times New Roman" w:hAnsi="Times New Roman" w:eastAsia="Times New Roman" w:cs="Times New Roman"/>
      <w:color w:val="000000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2024-02-01T02:26:00Z</dcterms:created>
  <dc:creator>靳晓萌</dc:creator>
  <cp:lastModifiedBy>DSCZK008</cp:lastModifiedBy>
  <dcterms:modified xsi:type="dcterms:W3CDTF">2024-12-24T07:18:50Z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494476E442714280BE82D10196A5238C</vt:lpwstr>
  </property>
</Properties>
</file>