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347E26">
      <w:pPr>
        <w:spacing w:line="560" w:lineRule="exact"/>
        <w:jc w:val="center"/>
        <w:rPr>
          <w:rFonts w:ascii="仿宋_GB2312" w:eastAsia="仿宋_GB2312"/>
          <w:b/>
          <w:color w:val="000000"/>
          <w:sz w:val="36"/>
          <w:szCs w:val="36"/>
        </w:rPr>
      </w:pPr>
      <w:r>
        <w:rPr>
          <w:rFonts w:hint="eastAsia" w:ascii="仿宋_GB2312" w:eastAsia="仿宋_GB2312"/>
          <w:b/>
          <w:color w:val="000000"/>
          <w:sz w:val="36"/>
          <w:szCs w:val="36"/>
        </w:rPr>
        <w:t>西城区总工会2023年部门预算公开目录</w:t>
      </w:r>
    </w:p>
    <w:p w14:paraId="37A3283C">
      <w:pPr>
        <w:spacing w:line="560" w:lineRule="exact"/>
        <w:jc w:val="center"/>
        <w:rPr>
          <w:rFonts w:ascii="仿宋_GB2312" w:eastAsia="仿宋_GB2312"/>
          <w:color w:val="000000"/>
          <w:sz w:val="32"/>
          <w:szCs w:val="32"/>
        </w:rPr>
      </w:pPr>
    </w:p>
    <w:p w14:paraId="2B7FE3C6">
      <w:pPr>
        <w:spacing w:line="560" w:lineRule="exact"/>
        <w:jc w:val="left"/>
        <w:rPr>
          <w:rFonts w:ascii="仿宋_GB2312" w:eastAsia="仿宋_GB2312"/>
          <w:b/>
          <w:color w:val="000000"/>
          <w:sz w:val="32"/>
          <w:szCs w:val="32"/>
        </w:rPr>
      </w:pPr>
      <w:r>
        <w:rPr>
          <w:rFonts w:hint="eastAsia" w:ascii="仿宋_GB2312" w:eastAsia="仿宋_GB2312"/>
          <w:b/>
          <w:color w:val="000000"/>
          <w:sz w:val="32"/>
          <w:szCs w:val="32"/>
        </w:rPr>
        <w:t>第一部分、2023年部门预算情况说明</w:t>
      </w:r>
    </w:p>
    <w:p w14:paraId="215EC75A">
      <w:pPr>
        <w:tabs>
          <w:tab w:val="left" w:pos="142"/>
          <w:tab w:val="left" w:pos="851"/>
        </w:tabs>
        <w:spacing w:line="560" w:lineRule="exact"/>
        <w:jc w:val="left"/>
        <w:rPr>
          <w:rFonts w:ascii="仿宋_GB2312" w:eastAsia="仿宋_GB2312"/>
          <w:color w:val="000000"/>
          <w:sz w:val="32"/>
          <w:szCs w:val="32"/>
        </w:rPr>
      </w:pPr>
      <w:r>
        <w:rPr>
          <w:rFonts w:hint="eastAsia" w:ascii="仿宋_GB2312" w:eastAsia="仿宋_GB2312"/>
          <w:color w:val="000000"/>
          <w:sz w:val="32"/>
          <w:szCs w:val="32"/>
        </w:rPr>
        <w:t xml:space="preserve"> 一、部门主要职责及机构设置情况</w:t>
      </w:r>
    </w:p>
    <w:p w14:paraId="36FD5C8C">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（一）部门机构设置、职责</w:t>
      </w:r>
    </w:p>
    <w:p w14:paraId="5C196514">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（二）人员构成情况</w:t>
      </w:r>
    </w:p>
    <w:p w14:paraId="6D072F60">
      <w:pPr>
        <w:spacing w:line="560" w:lineRule="exact"/>
        <w:ind w:firstLine="160" w:firstLineChars="50"/>
        <w:jc w:val="left"/>
        <w:rPr>
          <w:rFonts w:ascii="仿宋_GB2312" w:eastAsia="仿宋_GB2312"/>
          <w:color w:val="000000"/>
          <w:sz w:val="32"/>
          <w:szCs w:val="32"/>
        </w:rPr>
      </w:pPr>
      <w:r>
        <w:rPr>
          <w:rFonts w:hint="eastAsia" w:ascii="仿宋_GB2312" w:eastAsia="仿宋_GB2312"/>
          <w:color w:val="000000"/>
          <w:sz w:val="32"/>
          <w:szCs w:val="32"/>
        </w:rPr>
        <w:t>二、2023年部门预算收支及增减变化情况说明</w:t>
      </w:r>
    </w:p>
    <w:p w14:paraId="3CA1F61D">
      <w:pPr>
        <w:spacing w:line="560" w:lineRule="exact"/>
        <w:ind w:firstLine="160" w:firstLineChars="50"/>
        <w:jc w:val="left"/>
        <w:rPr>
          <w:rFonts w:ascii="仿宋_GB2312" w:eastAsia="仿宋_GB2312"/>
          <w:color w:val="000000"/>
          <w:sz w:val="32"/>
          <w:szCs w:val="32"/>
        </w:rPr>
      </w:pPr>
      <w:r>
        <w:rPr>
          <w:rFonts w:hint="eastAsia" w:ascii="仿宋_GB2312" w:eastAsia="仿宋_GB2312"/>
          <w:color w:val="000000"/>
          <w:sz w:val="32"/>
          <w:szCs w:val="32"/>
        </w:rPr>
        <w:t>三、主要支出情况</w:t>
      </w:r>
    </w:p>
    <w:p w14:paraId="7880A914">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 xml:space="preserve"> 四、部门“三公”经费财政拨款预算说明</w:t>
      </w:r>
    </w:p>
    <w:p w14:paraId="0932BD7E">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（一）“三公”经费的单位范围</w:t>
      </w:r>
    </w:p>
    <w:p w14:paraId="549F4549">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（二）“三公”经费预算财政拨款情况说明</w:t>
      </w:r>
    </w:p>
    <w:p w14:paraId="08B9069D">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 xml:space="preserve"> 五、其他情况说明</w:t>
      </w:r>
    </w:p>
    <w:p w14:paraId="1E591DFC">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（一）机构运行经费说明</w:t>
      </w:r>
    </w:p>
    <w:p w14:paraId="74C9DAAF">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（二）政府采购预算说明</w:t>
      </w:r>
    </w:p>
    <w:p w14:paraId="289E3DBE">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（三）政府购买服务预算说明</w:t>
      </w:r>
    </w:p>
    <w:p w14:paraId="794D5E7A">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（四）绩效目标情况及绩效评价结果说明</w:t>
      </w:r>
    </w:p>
    <w:p w14:paraId="2E7879B1">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（五）国有资本经营预算财政拨款情况说明</w:t>
      </w:r>
    </w:p>
    <w:p w14:paraId="7F56C65E">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（六）国有资产占用情况说明</w:t>
      </w:r>
    </w:p>
    <w:p w14:paraId="12D6B47C">
      <w:pPr>
        <w:tabs>
          <w:tab w:val="left" w:pos="142"/>
        </w:tabs>
        <w:spacing w:line="560" w:lineRule="exact"/>
        <w:ind w:firstLine="160" w:firstLineChars="50"/>
        <w:rPr>
          <w:rFonts w:ascii="仿宋_GB2312" w:eastAsia="仿宋_GB2312"/>
          <w:color w:val="000000"/>
          <w:sz w:val="32"/>
          <w:szCs w:val="32"/>
        </w:rPr>
      </w:pPr>
      <w:r>
        <w:rPr>
          <w:rFonts w:hint="eastAsia" w:ascii="仿宋_GB2312" w:eastAsia="仿宋_GB2312"/>
          <w:color w:val="000000"/>
          <w:sz w:val="32"/>
          <w:szCs w:val="32"/>
        </w:rPr>
        <w:t>六</w:t>
      </w:r>
      <w:r>
        <w:rPr>
          <w:rFonts w:ascii="仿宋_GB2312" w:eastAsia="仿宋_GB2312"/>
          <w:color w:val="000000"/>
          <w:sz w:val="32"/>
          <w:szCs w:val="32"/>
        </w:rPr>
        <w:t>、名称</w:t>
      </w:r>
      <w:r>
        <w:rPr>
          <w:rFonts w:hint="eastAsia" w:ascii="仿宋_GB2312" w:eastAsia="仿宋_GB2312"/>
          <w:color w:val="000000"/>
          <w:sz w:val="32"/>
          <w:szCs w:val="32"/>
        </w:rPr>
        <w:t>解释</w:t>
      </w:r>
    </w:p>
    <w:p w14:paraId="4B1B392E">
      <w:pPr>
        <w:spacing w:line="560" w:lineRule="exact"/>
        <w:jc w:val="left"/>
        <w:rPr>
          <w:rFonts w:ascii="仿宋_GB2312" w:eastAsia="仿宋_GB2312"/>
          <w:b/>
          <w:color w:val="000000"/>
          <w:sz w:val="32"/>
          <w:szCs w:val="32"/>
        </w:rPr>
      </w:pPr>
      <w:r>
        <w:rPr>
          <w:rFonts w:hint="eastAsia" w:ascii="仿宋_GB2312" w:eastAsia="仿宋_GB2312"/>
          <w:b/>
          <w:color w:val="000000"/>
          <w:sz w:val="32"/>
          <w:szCs w:val="32"/>
        </w:rPr>
        <w:t>第二部分、2023年部门预算表</w:t>
      </w:r>
    </w:p>
    <w:p w14:paraId="0101FA36">
      <w:pPr>
        <w:tabs>
          <w:tab w:val="left" w:pos="284"/>
        </w:tabs>
        <w:spacing w:line="560" w:lineRule="exact"/>
        <w:ind w:firstLine="160" w:firstLineChars="50"/>
        <w:jc w:val="left"/>
        <w:rPr>
          <w:rFonts w:ascii="仿宋_GB2312" w:eastAsia="仿宋_GB2312"/>
          <w:color w:val="000000"/>
          <w:sz w:val="32"/>
          <w:szCs w:val="32"/>
        </w:rPr>
      </w:pPr>
      <w:r>
        <w:rPr>
          <w:rFonts w:hint="eastAsia" w:ascii="仿宋_GB2312" w:eastAsia="仿宋_GB2312"/>
          <w:color w:val="000000"/>
          <w:sz w:val="32"/>
          <w:szCs w:val="32"/>
        </w:rPr>
        <w:t xml:space="preserve">表一、收支总表 </w:t>
      </w:r>
    </w:p>
    <w:p w14:paraId="26A299D3">
      <w:pPr>
        <w:spacing w:line="560" w:lineRule="exact"/>
        <w:ind w:firstLine="160" w:firstLineChars="50"/>
        <w:jc w:val="left"/>
        <w:rPr>
          <w:rFonts w:ascii="仿宋_GB2312" w:eastAsia="仿宋_GB2312"/>
          <w:color w:val="000000"/>
          <w:sz w:val="32"/>
          <w:szCs w:val="32"/>
        </w:rPr>
      </w:pPr>
      <w:r>
        <w:rPr>
          <w:rFonts w:hint="eastAsia" w:ascii="仿宋_GB2312" w:eastAsia="仿宋_GB2312"/>
          <w:color w:val="000000"/>
          <w:sz w:val="32"/>
          <w:szCs w:val="32"/>
        </w:rPr>
        <w:t>表二、收入总表</w:t>
      </w:r>
    </w:p>
    <w:p w14:paraId="1EF9655F">
      <w:pPr>
        <w:spacing w:line="560" w:lineRule="exact"/>
        <w:ind w:firstLine="160" w:firstLineChars="50"/>
        <w:jc w:val="left"/>
        <w:rPr>
          <w:rFonts w:ascii="仿宋_GB2312" w:eastAsia="仿宋_GB2312"/>
          <w:color w:val="000000"/>
          <w:sz w:val="32"/>
          <w:szCs w:val="32"/>
        </w:rPr>
      </w:pPr>
      <w:r>
        <w:rPr>
          <w:rFonts w:hint="eastAsia" w:ascii="仿宋_GB2312" w:eastAsia="仿宋_GB2312"/>
          <w:color w:val="000000"/>
          <w:sz w:val="32"/>
          <w:szCs w:val="32"/>
        </w:rPr>
        <w:t>表三、支出预算总表</w:t>
      </w:r>
    </w:p>
    <w:p w14:paraId="3476D9EF">
      <w:pPr>
        <w:spacing w:line="560" w:lineRule="exact"/>
        <w:ind w:firstLine="160" w:firstLineChars="50"/>
        <w:jc w:val="left"/>
        <w:rPr>
          <w:rFonts w:ascii="仿宋_GB2312" w:eastAsia="仿宋_GB2312"/>
          <w:color w:val="000000"/>
          <w:sz w:val="32"/>
          <w:szCs w:val="32"/>
        </w:rPr>
      </w:pPr>
      <w:r>
        <w:rPr>
          <w:rFonts w:hint="eastAsia" w:ascii="仿宋_GB2312" w:eastAsia="仿宋_GB2312"/>
          <w:color w:val="000000"/>
          <w:sz w:val="32"/>
          <w:szCs w:val="32"/>
        </w:rPr>
        <w:t>表四、项目支出表</w:t>
      </w:r>
    </w:p>
    <w:p w14:paraId="5181EB7E">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表五、财政拨款收支预算总表</w:t>
      </w:r>
    </w:p>
    <w:p w14:paraId="0494E5F0">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表六、一般公共预算财政拨款支出表</w:t>
      </w:r>
    </w:p>
    <w:p w14:paraId="2B175A77">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表七、一般公共预算财政拨款基本支出表</w:t>
      </w:r>
    </w:p>
    <w:p w14:paraId="2629A53E">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表八、政府性基金预算财政拨款支出表</w:t>
      </w:r>
    </w:p>
    <w:p w14:paraId="44AF34E2">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表九、国有资本经营预算财政拨款支出表</w:t>
      </w:r>
    </w:p>
    <w:p w14:paraId="56641712">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表十、一般公共预算“三公”经费支出情况表</w:t>
      </w:r>
    </w:p>
    <w:p w14:paraId="7056606B">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表十一、政府购买服务预算表</w:t>
      </w:r>
    </w:p>
    <w:p w14:paraId="59FF298A">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表十二、上级转移支付细化明细表</w:t>
      </w:r>
    </w:p>
    <w:p w14:paraId="7D29B8F2">
      <w:pPr>
        <w:spacing w:line="560" w:lineRule="exact"/>
        <w:jc w:val="left"/>
        <w:rPr>
          <w:rFonts w:ascii="仿宋_GB2312" w:eastAsia="仿宋_GB2312"/>
          <w:color w:val="000000"/>
          <w:sz w:val="32"/>
          <w:szCs w:val="32"/>
        </w:rPr>
      </w:pPr>
      <w:r>
        <w:rPr>
          <w:rFonts w:hint="eastAsia" w:ascii="仿宋_GB2312" w:eastAsia="仿宋_GB2312"/>
          <w:color w:val="000000"/>
          <w:sz w:val="32"/>
          <w:szCs w:val="32"/>
        </w:rPr>
        <w:t>表十三、项目支出绩效目标申报表</w:t>
      </w:r>
    </w:p>
    <w:p w14:paraId="2A66AA39">
      <w:pPr>
        <w:spacing w:line="560" w:lineRule="exact"/>
        <w:jc w:val="left"/>
        <w:rPr>
          <w:rFonts w:hint="eastAsia" w:ascii="仿宋_GB2312" w:eastAsia="仿宋_GB2312"/>
          <w:color w:val="000000"/>
          <w:sz w:val="32"/>
          <w:szCs w:val="32"/>
        </w:rPr>
      </w:pPr>
      <w:r>
        <w:rPr>
          <w:rFonts w:hint="eastAsia" w:ascii="仿宋_GB2312" w:eastAsia="仿宋_GB2312"/>
          <w:color w:val="000000"/>
          <w:sz w:val="32"/>
          <w:szCs w:val="32"/>
        </w:rPr>
        <w:t>表十四、部门整体支出绩效目标申报表</w:t>
      </w:r>
    </w:p>
    <w:p w14:paraId="071DDA74">
      <w:pPr>
        <w:spacing w:line="560" w:lineRule="exact"/>
        <w:jc w:val="left"/>
        <w:rPr>
          <w:rFonts w:hint="eastAsia" w:ascii="仿宋_GB2312" w:eastAsia="仿宋_GB2312"/>
          <w:color w:val="000000"/>
          <w:sz w:val="32"/>
          <w:szCs w:val="32"/>
          <w:lang w:eastAsia="zh-CN"/>
        </w:rPr>
      </w:pPr>
      <w:bookmarkStart w:id="0" w:name="_GoBack"/>
      <w:r>
        <w:rPr>
          <w:rFonts w:hint="eastAsia" w:ascii="仿宋_GB2312" w:eastAsia="仿宋_GB2312"/>
          <w:b/>
          <w:color w:val="000000"/>
          <w:sz w:val="32"/>
          <w:szCs w:val="32"/>
        </w:rPr>
        <w:t>第</w:t>
      </w:r>
      <w:r>
        <w:rPr>
          <w:rFonts w:hint="eastAsia" w:ascii="仿宋_GB2312" w:eastAsia="仿宋_GB2312"/>
          <w:b/>
          <w:color w:val="000000"/>
          <w:sz w:val="32"/>
          <w:szCs w:val="32"/>
          <w:lang w:eastAsia="zh-CN"/>
        </w:rPr>
        <w:t>三</w:t>
      </w:r>
      <w:r>
        <w:rPr>
          <w:rFonts w:hint="eastAsia" w:ascii="仿宋_GB2312" w:eastAsia="仿宋_GB2312"/>
          <w:b/>
          <w:color w:val="000000"/>
          <w:sz w:val="32"/>
          <w:szCs w:val="32"/>
        </w:rPr>
        <w:t>部分、202</w:t>
      </w:r>
      <w:r>
        <w:rPr>
          <w:rFonts w:hint="eastAsia" w:ascii="仿宋_GB2312" w:eastAsia="仿宋_GB2312"/>
          <w:b/>
          <w:color w:val="000000"/>
          <w:sz w:val="32"/>
          <w:szCs w:val="32"/>
          <w:lang w:val="en-US" w:eastAsia="zh-CN"/>
        </w:rPr>
        <w:t>2</w:t>
      </w:r>
      <w:r>
        <w:rPr>
          <w:rFonts w:hint="eastAsia" w:ascii="仿宋_GB2312" w:eastAsia="仿宋_GB2312"/>
          <w:b/>
          <w:color w:val="000000"/>
          <w:sz w:val="32"/>
          <w:szCs w:val="32"/>
        </w:rPr>
        <w:t>年</w:t>
      </w:r>
      <w:r>
        <w:rPr>
          <w:rFonts w:hint="eastAsia" w:ascii="仿宋_GB2312" w:eastAsia="仿宋_GB2312"/>
          <w:b/>
          <w:color w:val="000000"/>
          <w:sz w:val="32"/>
          <w:szCs w:val="32"/>
          <w:lang w:eastAsia="zh-CN"/>
        </w:rPr>
        <w:t>项目支出自评表及项目支出绩效报告</w:t>
      </w:r>
      <w:bookmarkEnd w:id="0"/>
    </w:p>
    <w:p w14:paraId="291929E2">
      <w:pPr>
        <w:spacing w:line="560" w:lineRule="exact"/>
        <w:jc w:val="left"/>
        <w:rPr>
          <w:rFonts w:ascii="仿宋_GB2312" w:eastAsia="仿宋_GB2312"/>
          <w:color w:val="000000"/>
          <w:sz w:val="32"/>
          <w:szCs w:val="32"/>
        </w:rPr>
      </w:pPr>
    </w:p>
    <w:p w14:paraId="1673352A">
      <w:pPr>
        <w:spacing w:line="560" w:lineRule="exact"/>
        <w:jc w:val="left"/>
        <w:rPr>
          <w:rFonts w:ascii="仿宋_GB2312" w:eastAsia="仿宋_GB2312"/>
          <w:color w:val="000000"/>
          <w:sz w:val="32"/>
          <w:szCs w:val="32"/>
        </w:rPr>
      </w:pPr>
    </w:p>
    <w:p w14:paraId="545CCE76">
      <w:pPr>
        <w:spacing w:line="560" w:lineRule="exact"/>
        <w:jc w:val="left"/>
        <w:rPr>
          <w:rFonts w:ascii="仿宋_GB2312" w:eastAsia="仿宋_GB2312"/>
          <w:color w:val="000000"/>
          <w:sz w:val="32"/>
          <w:szCs w:val="32"/>
        </w:rPr>
      </w:pPr>
    </w:p>
    <w:p w14:paraId="6F51A765">
      <w:pPr>
        <w:spacing w:line="560" w:lineRule="exact"/>
        <w:jc w:val="left"/>
        <w:rPr>
          <w:rFonts w:ascii="仿宋_GB2312" w:eastAsia="仿宋_GB2312"/>
          <w:color w:val="000000"/>
          <w:sz w:val="32"/>
          <w:szCs w:val="32"/>
        </w:rPr>
      </w:pPr>
    </w:p>
    <w:p w14:paraId="304A47BF">
      <w:pPr>
        <w:spacing w:line="560" w:lineRule="exact"/>
        <w:jc w:val="left"/>
        <w:rPr>
          <w:rFonts w:ascii="仿宋_GB2312" w:eastAsia="仿宋_GB2312"/>
          <w:color w:val="000000"/>
          <w:sz w:val="32"/>
          <w:szCs w:val="32"/>
        </w:rPr>
      </w:pPr>
    </w:p>
    <w:p w14:paraId="6A2B05A2">
      <w:pPr>
        <w:spacing w:line="560" w:lineRule="exact"/>
        <w:jc w:val="left"/>
        <w:rPr>
          <w:rFonts w:ascii="仿宋_GB2312" w:eastAsia="仿宋_GB2312"/>
          <w:color w:val="000000"/>
          <w:sz w:val="32"/>
          <w:szCs w:val="32"/>
        </w:rPr>
      </w:pPr>
    </w:p>
    <w:p w14:paraId="408757B5">
      <w:pPr>
        <w:spacing w:line="560" w:lineRule="exact"/>
        <w:jc w:val="left"/>
        <w:rPr>
          <w:rFonts w:ascii="仿宋_GB2312" w:eastAsia="仿宋_GB2312"/>
          <w:color w:val="000000"/>
          <w:sz w:val="32"/>
          <w:szCs w:val="32"/>
        </w:rPr>
      </w:pPr>
    </w:p>
    <w:p w14:paraId="216E8334">
      <w:pPr>
        <w:spacing w:line="560" w:lineRule="exact"/>
        <w:jc w:val="left"/>
        <w:rPr>
          <w:rFonts w:ascii="仿宋_GB2312" w:eastAsia="仿宋_GB2312"/>
          <w:color w:val="000000"/>
          <w:sz w:val="32"/>
          <w:szCs w:val="32"/>
        </w:rPr>
      </w:pPr>
    </w:p>
    <w:p w14:paraId="520AB8C7">
      <w:pPr>
        <w:spacing w:line="560" w:lineRule="exact"/>
        <w:jc w:val="left"/>
        <w:rPr>
          <w:rFonts w:ascii="仿宋_GB2312" w:eastAsia="仿宋_GB2312"/>
          <w:color w:val="000000"/>
          <w:sz w:val="32"/>
          <w:szCs w:val="32"/>
        </w:rPr>
      </w:pPr>
    </w:p>
    <w:p w14:paraId="7AD3678B">
      <w:pPr>
        <w:spacing w:line="560" w:lineRule="exact"/>
        <w:jc w:val="left"/>
        <w:rPr>
          <w:rFonts w:ascii="仿宋_GB2312" w:eastAsia="仿宋_GB2312"/>
          <w:color w:val="000000"/>
          <w:sz w:val="32"/>
          <w:szCs w:val="32"/>
        </w:rPr>
      </w:pPr>
    </w:p>
    <w:p w14:paraId="76AC9072">
      <w:pPr>
        <w:spacing w:line="560" w:lineRule="exact"/>
        <w:jc w:val="left"/>
        <w:rPr>
          <w:rFonts w:ascii="仿宋_GB2312" w:eastAsia="仿宋_GB2312"/>
          <w:color w:val="000000"/>
          <w:sz w:val="32"/>
          <w:szCs w:val="32"/>
        </w:rPr>
      </w:pPr>
    </w:p>
    <w:p w14:paraId="72783299">
      <w:pPr>
        <w:spacing w:line="560" w:lineRule="exact"/>
        <w:jc w:val="left"/>
        <w:rPr>
          <w:rFonts w:ascii="仿宋_GB2312" w:eastAsia="仿宋_GB2312"/>
          <w:color w:val="000000"/>
          <w:sz w:val="32"/>
          <w:szCs w:val="32"/>
        </w:rPr>
      </w:pPr>
    </w:p>
    <w:p w14:paraId="03D92C98">
      <w:pPr>
        <w:spacing w:line="560" w:lineRule="exact"/>
        <w:jc w:val="left"/>
        <w:rPr>
          <w:rFonts w:ascii="仿宋_GB2312" w:eastAsia="仿宋_GB2312"/>
          <w:color w:val="000000"/>
          <w:sz w:val="32"/>
          <w:szCs w:val="32"/>
        </w:rPr>
      </w:pPr>
    </w:p>
    <w:p w14:paraId="20C2D12A">
      <w:pPr>
        <w:spacing w:line="560" w:lineRule="exact"/>
        <w:jc w:val="left"/>
        <w:rPr>
          <w:rFonts w:ascii="仿宋_GB2312" w:eastAsia="仿宋_GB2312"/>
          <w:color w:val="000000"/>
          <w:sz w:val="32"/>
          <w:szCs w:val="32"/>
        </w:rPr>
      </w:pPr>
    </w:p>
    <w:p w14:paraId="12F4FA06">
      <w:pPr>
        <w:spacing w:line="560" w:lineRule="exact"/>
        <w:jc w:val="center"/>
        <w:rPr>
          <w:rFonts w:ascii="仿宋_GB2312" w:eastAsia="仿宋_GB2312"/>
          <w:b/>
          <w:color w:val="000000"/>
          <w:sz w:val="32"/>
          <w:szCs w:val="32"/>
        </w:rPr>
      </w:pPr>
      <w:r>
        <w:rPr>
          <w:rFonts w:hint="eastAsia" w:ascii="仿宋_GB2312" w:eastAsia="仿宋_GB2312"/>
          <w:b/>
          <w:color w:val="000000"/>
          <w:sz w:val="32"/>
          <w:szCs w:val="32"/>
        </w:rPr>
        <w:t>第一部分</w:t>
      </w:r>
      <w:r>
        <w:rPr>
          <w:rFonts w:ascii="仿宋_GB2312" w:eastAsia="仿宋_GB2312"/>
          <w:b/>
          <w:color w:val="000000"/>
          <w:sz w:val="32"/>
          <w:szCs w:val="32"/>
        </w:rPr>
        <w:t>、</w:t>
      </w:r>
      <w:r>
        <w:rPr>
          <w:rFonts w:hint="eastAsia" w:ascii="仿宋_GB2312" w:eastAsia="仿宋_GB2312"/>
          <w:b/>
          <w:color w:val="000000"/>
          <w:sz w:val="32"/>
          <w:szCs w:val="32"/>
        </w:rPr>
        <w:t>2023年</w:t>
      </w:r>
      <w:r>
        <w:rPr>
          <w:rFonts w:ascii="仿宋_GB2312" w:eastAsia="仿宋_GB2312"/>
          <w:b/>
          <w:color w:val="000000"/>
          <w:sz w:val="32"/>
          <w:szCs w:val="32"/>
        </w:rPr>
        <w:t>部门预算情况说明</w:t>
      </w:r>
    </w:p>
    <w:p w14:paraId="671719C5">
      <w:pPr>
        <w:spacing w:line="560" w:lineRule="exact"/>
        <w:ind w:firstLine="640" w:firstLineChars="200"/>
        <w:rPr>
          <w:rFonts w:ascii="仿宋_GB2312" w:eastAsia="仿宋_GB2312"/>
          <w:color w:val="000000"/>
          <w:sz w:val="32"/>
          <w:szCs w:val="32"/>
        </w:rPr>
      </w:pPr>
    </w:p>
    <w:p w14:paraId="39512DFC">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w:t>
      </w:r>
      <w:r>
        <w:rPr>
          <w:rFonts w:ascii="仿宋_GB2312" w:eastAsia="仿宋_GB2312"/>
          <w:color w:val="000000"/>
          <w:sz w:val="32"/>
          <w:szCs w:val="32"/>
        </w:rPr>
        <w:t>、</w:t>
      </w:r>
      <w:r>
        <w:rPr>
          <w:rFonts w:hint="eastAsia" w:ascii="仿宋_GB2312" w:eastAsia="仿宋_GB2312"/>
          <w:color w:val="000000"/>
          <w:sz w:val="32"/>
          <w:szCs w:val="32"/>
        </w:rPr>
        <w:t>部门主要职责及机构设置情况</w:t>
      </w:r>
    </w:p>
    <w:p w14:paraId="55166E9C">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（一）部门</w:t>
      </w:r>
      <w:r>
        <w:rPr>
          <w:rFonts w:ascii="仿宋_GB2312" w:eastAsia="仿宋_GB2312"/>
          <w:color w:val="000000"/>
          <w:sz w:val="32"/>
          <w:szCs w:val="32"/>
        </w:rPr>
        <w:t>机构设置、职责</w:t>
      </w:r>
    </w:p>
    <w:p w14:paraId="1D600005">
      <w:pPr>
        <w:spacing w:line="360" w:lineRule="auto"/>
        <w:ind w:firstLine="640" w:firstLineChars="200"/>
        <w:rPr>
          <w:rFonts w:ascii="仿宋_GB2312" w:eastAsia="仿宋_GB2312"/>
          <w:sz w:val="32"/>
          <w:szCs w:val="32"/>
        </w:rPr>
      </w:pPr>
      <w:r>
        <w:rPr>
          <w:rFonts w:hint="eastAsia" w:ascii="仿宋_GB2312" w:eastAsia="仿宋_GB2312"/>
          <w:sz w:val="32"/>
          <w:szCs w:val="32"/>
        </w:rPr>
        <w:t>北京市西城区总工会是中共北京市西城区委和北京市总工会领导下的职工自愿结合的</w:t>
      </w:r>
      <w:r>
        <w:fldChar w:fldCharType="begin"/>
      </w:r>
      <w:r>
        <w:instrText xml:space="preserve"> HYPERLINK "http://baike.baidu.com/view/400954.htm" \t "_blank" </w:instrText>
      </w:r>
      <w:r>
        <w:fldChar w:fldCharType="separate"/>
      </w:r>
      <w:r>
        <w:rPr>
          <w:rFonts w:hint="eastAsia" w:ascii="仿宋_GB2312" w:eastAsia="仿宋_GB2312"/>
          <w:sz w:val="32"/>
          <w:szCs w:val="32"/>
        </w:rPr>
        <w:t>工人阶级</w:t>
      </w:r>
      <w:r>
        <w:rPr>
          <w:rFonts w:hint="eastAsia" w:ascii="仿宋_GB2312" w:eastAsia="仿宋_GB2312"/>
          <w:sz w:val="32"/>
          <w:szCs w:val="32"/>
        </w:rPr>
        <w:fldChar w:fldCharType="end"/>
      </w:r>
      <w:r>
        <w:rPr>
          <w:rFonts w:hint="eastAsia" w:ascii="仿宋_GB2312" w:eastAsia="仿宋_GB2312"/>
          <w:sz w:val="32"/>
          <w:szCs w:val="32"/>
        </w:rPr>
        <w:t>群众组织，是党联系职工群众的桥梁和纽带，是会员和职工利益的代表。西城区总工会机关内设8个部室，下属二级事业单位包括：北京市西城区职工服务中心、北京市西城区职工文化宫、北京市西城区职工技能交流创新中心。</w:t>
      </w:r>
    </w:p>
    <w:p w14:paraId="101B99BC">
      <w:pPr>
        <w:spacing w:line="360" w:lineRule="auto"/>
        <w:ind w:firstLine="640" w:firstLineChars="200"/>
        <w:rPr>
          <w:rFonts w:ascii="仿宋_GB2312" w:eastAsia="仿宋_GB2312"/>
          <w:sz w:val="32"/>
          <w:szCs w:val="32"/>
        </w:rPr>
      </w:pPr>
      <w:r>
        <w:rPr>
          <w:rFonts w:hint="eastAsia" w:ascii="仿宋_GB2312" w:eastAsia="仿宋_GB2312"/>
          <w:sz w:val="32"/>
          <w:szCs w:val="32"/>
        </w:rPr>
        <w:t>北京市西城区总工会工作职责：</w:t>
      </w:r>
    </w:p>
    <w:p w14:paraId="2EA71023">
      <w:pPr>
        <w:spacing w:line="360" w:lineRule="auto"/>
        <w:ind w:firstLine="640" w:firstLineChars="200"/>
        <w:rPr>
          <w:rFonts w:ascii="仿宋_GB2312" w:eastAsia="仿宋_GB2312"/>
          <w:sz w:val="32"/>
          <w:szCs w:val="32"/>
        </w:rPr>
      </w:pPr>
      <w:r>
        <w:rPr>
          <w:rFonts w:hint="eastAsia" w:ascii="仿宋_GB2312" w:eastAsia="仿宋_GB2312"/>
          <w:sz w:val="32"/>
          <w:szCs w:val="32"/>
        </w:rPr>
        <w:t>（一）贯彻执行党的路线、方针、政策，依照《中华人民共和国工会法》和《中国工会章程》开展工作。执行北京市西城区工会代表大会的决议，研究制定并组织实施本区工会工作的总体目标和主要任务。</w:t>
      </w:r>
    </w:p>
    <w:p w14:paraId="705F7413">
      <w:pPr>
        <w:spacing w:line="360" w:lineRule="auto"/>
        <w:ind w:firstLine="640" w:firstLineChars="200"/>
        <w:rPr>
          <w:rFonts w:ascii="仿宋_GB2312" w:eastAsia="仿宋_GB2312"/>
          <w:sz w:val="32"/>
          <w:szCs w:val="32"/>
        </w:rPr>
      </w:pPr>
      <w:r>
        <w:rPr>
          <w:rFonts w:hint="eastAsia" w:ascii="仿宋_GB2312" w:eastAsia="仿宋_GB2312"/>
          <w:sz w:val="32"/>
          <w:szCs w:val="32"/>
        </w:rPr>
        <w:t>（二）代表和维护本区职工的合法权益，指导基层工会组织履行职能；指导和帮助基层工会组织建立健全平等协商制度、集体合同制度，完善民主管理制度。</w:t>
      </w:r>
    </w:p>
    <w:p w14:paraId="6DD0B5DF">
      <w:pPr>
        <w:spacing w:line="360" w:lineRule="auto"/>
        <w:ind w:firstLine="640" w:firstLineChars="200"/>
        <w:rPr>
          <w:rFonts w:ascii="仿宋_GB2312" w:eastAsia="仿宋_GB2312"/>
          <w:sz w:val="32"/>
          <w:szCs w:val="32"/>
        </w:rPr>
      </w:pPr>
      <w:r>
        <w:rPr>
          <w:rFonts w:hint="eastAsia" w:ascii="仿宋_GB2312" w:eastAsia="仿宋_GB2312"/>
          <w:sz w:val="32"/>
          <w:szCs w:val="32"/>
        </w:rPr>
        <w:t>（三）负责本区工会组织建设，指导新建企业组建工会，指导基层工会换届选举，推动社区工会建设。</w:t>
      </w:r>
    </w:p>
    <w:p w14:paraId="7C497A37">
      <w:pPr>
        <w:spacing w:line="360" w:lineRule="auto"/>
        <w:ind w:firstLine="640" w:firstLineChars="200"/>
        <w:rPr>
          <w:rFonts w:ascii="仿宋_GB2312" w:eastAsia="仿宋_GB2312"/>
          <w:sz w:val="32"/>
          <w:szCs w:val="32"/>
        </w:rPr>
      </w:pPr>
      <w:r>
        <w:rPr>
          <w:rFonts w:hint="eastAsia" w:ascii="仿宋_GB2312" w:eastAsia="仿宋_GB2312"/>
          <w:sz w:val="32"/>
          <w:szCs w:val="32"/>
        </w:rPr>
        <w:t>（四）监督和协调政府有关部门、企事业单位贯彻执行国家劳动安全卫生法律、法规，维护女职工的特殊利益；参与涉及职工切身利益的政策、制度、措施的制定，并对执行情况进行监督。</w:t>
      </w:r>
    </w:p>
    <w:p w14:paraId="6397FE05">
      <w:pPr>
        <w:spacing w:line="360" w:lineRule="auto"/>
        <w:ind w:firstLine="640" w:firstLineChars="200"/>
        <w:rPr>
          <w:rFonts w:ascii="仿宋_GB2312" w:eastAsia="仿宋_GB2312"/>
          <w:sz w:val="32"/>
          <w:szCs w:val="32"/>
        </w:rPr>
      </w:pPr>
      <w:r>
        <w:rPr>
          <w:rFonts w:hint="eastAsia" w:ascii="仿宋_GB2312" w:eastAsia="仿宋_GB2312"/>
          <w:sz w:val="32"/>
          <w:szCs w:val="32"/>
        </w:rPr>
        <w:t>（五）会同区人力资源和社会保障行政部门和企业方面代表建立劳动关系三方协商机制；指导和帮助基层工会参与劳动争议调解和劳动法律监督工作，为职工提供法律服务。</w:t>
      </w:r>
    </w:p>
    <w:p w14:paraId="4417FBF4">
      <w:pPr>
        <w:spacing w:line="360" w:lineRule="auto"/>
        <w:ind w:firstLine="640" w:firstLineChars="200"/>
        <w:rPr>
          <w:rFonts w:ascii="仿宋_GB2312" w:eastAsia="仿宋_GB2312"/>
          <w:sz w:val="32"/>
          <w:szCs w:val="32"/>
        </w:rPr>
      </w:pPr>
      <w:r>
        <w:rPr>
          <w:rFonts w:hint="eastAsia" w:ascii="仿宋_GB2312" w:eastAsia="仿宋_GB2312"/>
          <w:sz w:val="32"/>
          <w:szCs w:val="32"/>
        </w:rPr>
        <w:t>（六）指导基层工会组织对职工进行职业教育和职业技能培训。</w:t>
      </w:r>
    </w:p>
    <w:p w14:paraId="2FE5905E">
      <w:pPr>
        <w:spacing w:line="360" w:lineRule="auto"/>
        <w:ind w:firstLine="640" w:firstLineChars="200"/>
        <w:rPr>
          <w:rFonts w:ascii="仿宋_GB2312" w:eastAsia="仿宋_GB2312"/>
          <w:sz w:val="32"/>
          <w:szCs w:val="32"/>
        </w:rPr>
      </w:pPr>
      <w:r>
        <w:rPr>
          <w:rFonts w:hint="eastAsia" w:ascii="仿宋_GB2312" w:eastAsia="仿宋_GB2312"/>
          <w:sz w:val="32"/>
          <w:szCs w:val="32"/>
        </w:rPr>
        <w:t>（七）协助区政府进行全国和市级劳动模范、先进工作者的推荐和管理工作。</w:t>
      </w:r>
    </w:p>
    <w:p w14:paraId="42C394E4">
      <w:pPr>
        <w:spacing w:line="360" w:lineRule="auto"/>
        <w:ind w:firstLine="640" w:firstLineChars="200"/>
        <w:rPr>
          <w:rFonts w:ascii="仿宋_GB2312" w:eastAsia="仿宋_GB2312"/>
          <w:sz w:val="32"/>
          <w:szCs w:val="32"/>
        </w:rPr>
      </w:pPr>
      <w:r>
        <w:rPr>
          <w:rFonts w:hint="eastAsia" w:ascii="仿宋_GB2312" w:eastAsia="仿宋_GB2312"/>
          <w:sz w:val="32"/>
          <w:szCs w:val="32"/>
        </w:rPr>
        <w:t>（八）负责本区工会经费的收缴、管理、使用；负责本级和各直属基层工会的经费审查和资产的监督管理工作。</w:t>
      </w:r>
    </w:p>
    <w:p w14:paraId="35F96D00">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（九）承办区委、区政府和上级业务指导部门交办的其他事项。</w:t>
      </w:r>
    </w:p>
    <w:p w14:paraId="66A644F5">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（二）人员</w:t>
      </w:r>
      <w:r>
        <w:rPr>
          <w:rFonts w:ascii="仿宋_GB2312" w:eastAsia="仿宋_GB2312"/>
          <w:color w:val="000000"/>
          <w:sz w:val="32"/>
          <w:szCs w:val="32"/>
        </w:rPr>
        <w:t>构成情况</w:t>
      </w:r>
    </w:p>
    <w:p w14:paraId="29B838D5">
      <w:pPr>
        <w:spacing w:line="360" w:lineRule="auto"/>
        <w:ind w:firstLine="640" w:firstLineChars="200"/>
        <w:rPr>
          <w:rFonts w:ascii="仿宋_GB2312" w:eastAsia="仿宋_GB2312"/>
          <w:sz w:val="32"/>
          <w:szCs w:val="32"/>
        </w:rPr>
      </w:pPr>
      <w:r>
        <w:rPr>
          <w:rFonts w:hint="eastAsia" w:ascii="仿宋_GB2312" w:eastAsia="仿宋_GB2312"/>
          <w:sz w:val="32"/>
          <w:szCs w:val="32"/>
        </w:rPr>
        <w:t>西城区总工会本级行政编制32人, 实有31人; 西城区职工服务中心编制9 人,实有8人。</w:t>
      </w:r>
    </w:p>
    <w:p w14:paraId="14EA37AE">
      <w:pPr>
        <w:spacing w:line="360" w:lineRule="auto"/>
        <w:ind w:firstLine="640" w:firstLineChars="200"/>
        <w:rPr>
          <w:rFonts w:ascii="仿宋_GB2312" w:eastAsia="仿宋_GB2312"/>
          <w:sz w:val="32"/>
          <w:szCs w:val="32"/>
        </w:rPr>
      </w:pPr>
      <w:r>
        <w:rPr>
          <w:rFonts w:hint="eastAsia" w:ascii="仿宋_GB2312" w:eastAsia="仿宋_GB2312"/>
          <w:sz w:val="32"/>
          <w:szCs w:val="32"/>
        </w:rPr>
        <w:t>西城区总工会离退休人员198人，其中：机关离休1人，退休56 人，西城区工人文化宫退休及西城区职工技能交流创新中心退休141人。</w:t>
      </w:r>
    </w:p>
    <w:p w14:paraId="5CF1AD91">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二</w:t>
      </w:r>
      <w:r>
        <w:rPr>
          <w:rFonts w:ascii="仿宋_GB2312" w:eastAsia="仿宋_GB2312"/>
          <w:color w:val="000000"/>
          <w:sz w:val="32"/>
          <w:szCs w:val="32"/>
        </w:rPr>
        <w:t>、</w:t>
      </w:r>
      <w:r>
        <w:rPr>
          <w:rFonts w:hint="eastAsia" w:ascii="仿宋_GB2312" w:eastAsia="仿宋_GB2312"/>
          <w:color w:val="000000"/>
          <w:sz w:val="32"/>
          <w:szCs w:val="32"/>
        </w:rPr>
        <w:t>2023年部门预算收支及增减变化情况说明</w:t>
      </w:r>
    </w:p>
    <w:p w14:paraId="6ED79BF4">
      <w:pPr>
        <w:tabs>
          <w:tab w:val="left" w:pos="709"/>
        </w:tabs>
        <w:spacing w:line="360" w:lineRule="auto"/>
        <w:ind w:firstLine="640" w:firstLineChars="200"/>
        <w:rPr>
          <w:rFonts w:ascii="仿宋_GB2312" w:eastAsia="仿宋_GB2312"/>
          <w:sz w:val="32"/>
          <w:szCs w:val="32"/>
        </w:rPr>
      </w:pPr>
      <w:r>
        <w:rPr>
          <w:rFonts w:hint="eastAsia" w:ascii="仿宋_GB2312" w:eastAsia="仿宋_GB2312"/>
          <w:color w:val="000000"/>
          <w:sz w:val="32"/>
          <w:szCs w:val="32"/>
        </w:rPr>
        <w:t>2023</w:t>
      </w:r>
      <w:r>
        <w:rPr>
          <w:rFonts w:hint="eastAsia" w:ascii="仿宋_GB2312" w:eastAsia="仿宋_GB2312"/>
          <w:sz w:val="32"/>
          <w:szCs w:val="32"/>
        </w:rPr>
        <w:t>年收入预算6716318.85元。</w:t>
      </w:r>
    </w:p>
    <w:p w14:paraId="52AF03BF">
      <w:pPr>
        <w:spacing w:line="360" w:lineRule="auto"/>
        <w:ind w:firstLine="640" w:firstLineChars="200"/>
        <w:rPr>
          <w:rFonts w:ascii="仿宋_GB2312" w:eastAsia="仿宋_GB2312"/>
          <w:sz w:val="32"/>
          <w:szCs w:val="32"/>
        </w:rPr>
      </w:pPr>
      <w:r>
        <w:rPr>
          <w:rFonts w:hint="eastAsia" w:ascii="仿宋_GB2312" w:eastAsia="仿宋_GB2312"/>
          <w:sz w:val="32"/>
          <w:szCs w:val="32"/>
        </w:rPr>
        <w:t>2023年支出预算预算6716318.85元。按用途划分：（1）基本支出预算4484318.85元，主要是本级离退休经费和西城区职工服务中心在职人员经费等。（2）项目支出预算2232000元。主要项目是: ①劳模经费；②离退休委员工作补贴; ③律师调解劳动争议案件补贴；④西城区职工服务中心运行管理经费。</w:t>
      </w:r>
    </w:p>
    <w:p w14:paraId="574DF7E6">
      <w:pPr>
        <w:ind w:firstLine="640" w:firstLineChars="200"/>
        <w:rPr>
          <w:rFonts w:ascii="仿宋_GB2312" w:eastAsia="仿宋_GB2312"/>
          <w:sz w:val="32"/>
          <w:szCs w:val="32"/>
        </w:rPr>
      </w:pPr>
      <w:r>
        <w:rPr>
          <w:rFonts w:hint="eastAsia" w:ascii="仿宋_GB2312" w:eastAsia="仿宋_GB2312"/>
          <w:sz w:val="32"/>
          <w:szCs w:val="32"/>
        </w:rPr>
        <w:t>2023年区总工会预算比2022年预算减少1609598.37元，一般支出与项目支出的类别比2022年减少了参统退休人员养老金事企差项目。</w:t>
      </w:r>
    </w:p>
    <w:p w14:paraId="1E0C8F89">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三</w:t>
      </w:r>
      <w:r>
        <w:rPr>
          <w:rFonts w:ascii="仿宋_GB2312" w:eastAsia="仿宋_GB2312"/>
          <w:color w:val="000000"/>
          <w:sz w:val="32"/>
          <w:szCs w:val="32"/>
        </w:rPr>
        <w:t>、主要支出情况</w:t>
      </w:r>
    </w:p>
    <w:p w14:paraId="4B150FCD">
      <w:pPr>
        <w:spacing w:line="360" w:lineRule="auto"/>
        <w:ind w:firstLine="640" w:firstLineChars="200"/>
        <w:rPr>
          <w:rFonts w:ascii="仿宋_GB2312" w:eastAsia="仿宋_GB2312"/>
          <w:sz w:val="32"/>
          <w:szCs w:val="32"/>
        </w:rPr>
      </w:pPr>
      <w:r>
        <w:rPr>
          <w:rFonts w:hint="eastAsia" w:ascii="仿宋_GB2312" w:eastAsia="仿宋_GB2312"/>
          <w:sz w:val="32"/>
          <w:szCs w:val="32"/>
        </w:rPr>
        <w:t xml:space="preserve">2023年支出预算按支出项目类别划分：一般公共预算支出6716318.85元。其中（1）人员支出4086081.79元；（2）公用经费398237.06元；（3）项目支出2232000元。 </w:t>
      </w:r>
    </w:p>
    <w:p w14:paraId="0788DAE8">
      <w:pPr>
        <w:tabs>
          <w:tab w:val="left" w:pos="851"/>
        </w:tabs>
        <w:spacing w:line="360" w:lineRule="auto"/>
        <w:ind w:firstLine="800" w:firstLineChars="250"/>
        <w:rPr>
          <w:rFonts w:ascii="仿宋_GB2312" w:eastAsia="仿宋_GB2312"/>
          <w:color w:val="000000"/>
          <w:sz w:val="32"/>
          <w:szCs w:val="32"/>
        </w:rPr>
      </w:pPr>
      <w:r>
        <w:rPr>
          <w:rFonts w:hint="eastAsia" w:ascii="仿宋_GB2312" w:eastAsia="仿宋_GB2312"/>
          <w:color w:val="000000"/>
          <w:sz w:val="32"/>
          <w:szCs w:val="32"/>
        </w:rPr>
        <w:t>四、</w:t>
      </w:r>
      <w:r>
        <w:rPr>
          <w:rFonts w:ascii="仿宋_GB2312" w:eastAsia="仿宋_GB2312"/>
          <w:color w:val="000000"/>
          <w:sz w:val="32"/>
          <w:szCs w:val="32"/>
        </w:rPr>
        <w:t>部门“</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w:t>
      </w:r>
      <w:r>
        <w:rPr>
          <w:rFonts w:ascii="仿宋_GB2312" w:eastAsia="仿宋_GB2312"/>
          <w:color w:val="000000"/>
          <w:sz w:val="32"/>
          <w:szCs w:val="32"/>
        </w:rPr>
        <w:t>财政拨款预算说明</w:t>
      </w:r>
    </w:p>
    <w:p w14:paraId="200C1A58">
      <w:pPr>
        <w:spacing w:line="360" w:lineRule="auto"/>
        <w:ind w:firstLine="640" w:firstLineChars="200"/>
        <w:rPr>
          <w:rFonts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w:t>
      </w:r>
      <w:r>
        <w:rPr>
          <w:rFonts w:hint="eastAsia" w:ascii="仿宋_GB2312" w:eastAsia="仿宋_GB2312"/>
          <w:sz w:val="32"/>
          <w:szCs w:val="32"/>
        </w:rPr>
        <w:t>三公</w:t>
      </w:r>
      <w:r>
        <w:rPr>
          <w:rFonts w:ascii="仿宋_GB2312" w:eastAsia="仿宋_GB2312"/>
          <w:sz w:val="32"/>
          <w:szCs w:val="32"/>
        </w:rPr>
        <w:t>”</w:t>
      </w:r>
      <w:r>
        <w:rPr>
          <w:rFonts w:hint="eastAsia" w:ascii="仿宋_GB2312" w:eastAsia="仿宋_GB2312"/>
          <w:sz w:val="32"/>
          <w:szCs w:val="32"/>
        </w:rPr>
        <w:t>经费的</w:t>
      </w:r>
      <w:r>
        <w:rPr>
          <w:rFonts w:ascii="仿宋_GB2312" w:eastAsia="仿宋_GB2312"/>
          <w:sz w:val="32"/>
          <w:szCs w:val="32"/>
        </w:rPr>
        <w:t>单位</w:t>
      </w:r>
      <w:r>
        <w:rPr>
          <w:rFonts w:hint="eastAsia" w:ascii="仿宋_GB2312" w:eastAsia="仿宋_GB2312"/>
          <w:sz w:val="32"/>
          <w:szCs w:val="32"/>
        </w:rPr>
        <w:t>范围</w:t>
      </w:r>
    </w:p>
    <w:p w14:paraId="34EDD108">
      <w:pPr>
        <w:spacing w:line="360" w:lineRule="auto"/>
        <w:ind w:firstLine="645"/>
        <w:rPr>
          <w:rFonts w:ascii="仿宋_GB2312" w:eastAsia="仿宋_GB2312"/>
          <w:sz w:val="32"/>
          <w:szCs w:val="32"/>
        </w:rPr>
      </w:pPr>
      <w:r>
        <w:rPr>
          <w:rFonts w:hint="eastAsia" w:ascii="仿宋_GB2312" w:eastAsia="仿宋_GB2312"/>
          <w:sz w:val="32"/>
          <w:szCs w:val="32"/>
        </w:rPr>
        <w:t>北京市西城区总工会部门预算中因公出国（境）费、公务接待费、公务用车购置及运行维护费的支出单位包括1个所属单位，即北京市西城区职工服务中心。</w:t>
      </w:r>
    </w:p>
    <w:p w14:paraId="7DB0C77B">
      <w:pPr>
        <w:spacing w:line="36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（二）</w:t>
      </w:r>
      <w:r>
        <w:rPr>
          <w:rFonts w:ascii="仿宋_GB2312" w:eastAsia="仿宋_GB2312"/>
          <w:color w:val="000000"/>
          <w:sz w:val="32"/>
          <w:szCs w:val="32"/>
        </w:rPr>
        <w:t>“</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经费预算财政</w:t>
      </w:r>
      <w:r>
        <w:rPr>
          <w:rFonts w:ascii="仿宋_GB2312" w:eastAsia="仿宋_GB2312"/>
          <w:color w:val="000000"/>
          <w:sz w:val="32"/>
          <w:szCs w:val="32"/>
        </w:rPr>
        <w:t>拨款情况</w:t>
      </w:r>
      <w:r>
        <w:rPr>
          <w:rFonts w:hint="eastAsia" w:ascii="仿宋_GB2312" w:eastAsia="仿宋_GB2312"/>
          <w:color w:val="000000"/>
          <w:sz w:val="32"/>
          <w:szCs w:val="32"/>
        </w:rPr>
        <w:t>说明</w:t>
      </w:r>
    </w:p>
    <w:p w14:paraId="56D1525E">
      <w:pPr>
        <w:spacing w:line="500" w:lineRule="exact"/>
        <w:ind w:firstLine="645"/>
        <w:rPr>
          <w:rFonts w:ascii="仿宋_GB2312" w:eastAsia="仿宋_GB2312"/>
          <w:sz w:val="32"/>
          <w:szCs w:val="32"/>
        </w:rPr>
      </w:pPr>
      <w:r>
        <w:rPr>
          <w:rFonts w:hint="eastAsia" w:ascii="仿宋_GB2312" w:eastAsia="仿宋_GB2312"/>
          <w:sz w:val="32"/>
          <w:szCs w:val="32"/>
        </w:rPr>
        <w:t>2023年部门预算“三公”经费财政拨款预算安排0元，其中：</w:t>
      </w:r>
    </w:p>
    <w:p w14:paraId="41D569B3">
      <w:pPr>
        <w:spacing w:line="500" w:lineRule="exact"/>
        <w:ind w:firstLine="645"/>
        <w:rPr>
          <w:rFonts w:ascii="仿宋_GB2312" w:eastAsia="仿宋_GB2312"/>
          <w:sz w:val="32"/>
          <w:szCs w:val="32"/>
        </w:rPr>
      </w:pPr>
      <w:r>
        <w:rPr>
          <w:rFonts w:hint="eastAsia" w:ascii="仿宋_GB2312" w:eastAsia="仿宋_GB2312"/>
          <w:sz w:val="32"/>
          <w:szCs w:val="32"/>
        </w:rPr>
        <w:t>（一）因公出国（境）费</w:t>
      </w:r>
    </w:p>
    <w:p w14:paraId="56E626F9">
      <w:pPr>
        <w:spacing w:line="500" w:lineRule="exact"/>
        <w:ind w:firstLine="645"/>
        <w:rPr>
          <w:rFonts w:ascii="仿宋_GB2312" w:eastAsia="仿宋_GB2312"/>
          <w:sz w:val="32"/>
          <w:szCs w:val="32"/>
        </w:rPr>
      </w:pPr>
      <w:r>
        <w:rPr>
          <w:rFonts w:hint="eastAsia" w:ascii="仿宋_GB2312" w:eastAsia="仿宋_GB2312"/>
          <w:sz w:val="32"/>
          <w:szCs w:val="32"/>
        </w:rPr>
        <w:t>2023年财政拨款预算安排0元。与2022年财政拨款预算安排0元相等。</w:t>
      </w:r>
    </w:p>
    <w:p w14:paraId="37F8496D">
      <w:pPr>
        <w:spacing w:line="500" w:lineRule="exact"/>
        <w:ind w:firstLine="645"/>
        <w:rPr>
          <w:rFonts w:ascii="仿宋_GB2312" w:eastAsia="仿宋_GB2312"/>
          <w:sz w:val="32"/>
          <w:szCs w:val="32"/>
        </w:rPr>
      </w:pPr>
      <w:r>
        <w:rPr>
          <w:rFonts w:hint="eastAsia" w:ascii="仿宋_GB2312" w:eastAsia="仿宋_GB2312"/>
          <w:sz w:val="32"/>
          <w:szCs w:val="32"/>
        </w:rPr>
        <w:t>（二）公务接待费</w:t>
      </w:r>
    </w:p>
    <w:p w14:paraId="447FD18C">
      <w:pPr>
        <w:spacing w:line="500" w:lineRule="exact"/>
        <w:ind w:firstLine="645"/>
        <w:rPr>
          <w:rFonts w:ascii="仿宋_GB2312" w:eastAsia="仿宋_GB2312"/>
          <w:sz w:val="32"/>
          <w:szCs w:val="32"/>
        </w:rPr>
      </w:pPr>
      <w:r>
        <w:rPr>
          <w:rFonts w:hint="eastAsia" w:ascii="仿宋_GB2312" w:eastAsia="仿宋_GB2312"/>
          <w:sz w:val="32"/>
          <w:szCs w:val="32"/>
        </w:rPr>
        <w:t>2023年财政拨款预算安排0元与2022年财政拨款预算安排0元相等。</w:t>
      </w:r>
    </w:p>
    <w:p w14:paraId="437988A2">
      <w:pPr>
        <w:spacing w:line="500" w:lineRule="exact"/>
        <w:ind w:firstLine="645"/>
        <w:rPr>
          <w:rFonts w:ascii="仿宋_GB2312" w:eastAsia="仿宋_GB2312"/>
          <w:sz w:val="32"/>
          <w:szCs w:val="32"/>
        </w:rPr>
      </w:pPr>
      <w:r>
        <w:rPr>
          <w:rFonts w:hint="eastAsia" w:ascii="仿宋_GB2312" w:eastAsia="仿宋_GB2312"/>
          <w:sz w:val="32"/>
          <w:szCs w:val="32"/>
        </w:rPr>
        <w:t>（三）公务用车购置及运行维护费</w:t>
      </w:r>
    </w:p>
    <w:p w14:paraId="6F368C6C">
      <w:pPr>
        <w:spacing w:line="500" w:lineRule="exact"/>
        <w:ind w:firstLine="645"/>
        <w:rPr>
          <w:rFonts w:ascii="仿宋_GB2312" w:eastAsia="仿宋_GB2312"/>
          <w:sz w:val="32"/>
          <w:szCs w:val="32"/>
        </w:rPr>
      </w:pPr>
      <w:r>
        <w:rPr>
          <w:rFonts w:hint="eastAsia" w:ascii="仿宋_GB2312" w:eastAsia="仿宋_GB2312"/>
          <w:sz w:val="32"/>
          <w:szCs w:val="32"/>
        </w:rPr>
        <w:t>1、公务用车购置费</w:t>
      </w:r>
    </w:p>
    <w:p w14:paraId="77B474EC">
      <w:pPr>
        <w:spacing w:line="500" w:lineRule="exact"/>
        <w:ind w:firstLine="645"/>
        <w:rPr>
          <w:rFonts w:ascii="仿宋_GB2312" w:eastAsia="仿宋_GB2312"/>
          <w:sz w:val="32"/>
          <w:szCs w:val="32"/>
        </w:rPr>
      </w:pPr>
      <w:r>
        <w:rPr>
          <w:rFonts w:hint="eastAsia" w:ascii="仿宋_GB2312" w:eastAsia="仿宋_GB2312"/>
          <w:sz w:val="32"/>
          <w:szCs w:val="32"/>
        </w:rPr>
        <w:t>2023年财政拨款预算安排0元。与2022年财政拨款预算安排0元相等。</w:t>
      </w:r>
    </w:p>
    <w:p w14:paraId="65744107">
      <w:pPr>
        <w:spacing w:line="500" w:lineRule="exact"/>
        <w:ind w:firstLine="645"/>
        <w:rPr>
          <w:rFonts w:ascii="仿宋_GB2312" w:eastAsia="仿宋_GB2312"/>
          <w:sz w:val="32"/>
          <w:szCs w:val="32"/>
        </w:rPr>
      </w:pPr>
      <w:r>
        <w:rPr>
          <w:rFonts w:hint="eastAsia" w:ascii="仿宋_GB2312" w:eastAsia="仿宋_GB2312"/>
          <w:sz w:val="32"/>
          <w:szCs w:val="32"/>
        </w:rPr>
        <w:t>2、公务用车运行维护费</w:t>
      </w:r>
    </w:p>
    <w:p w14:paraId="66E0600D">
      <w:pPr>
        <w:spacing w:line="500" w:lineRule="exact"/>
        <w:ind w:firstLine="645"/>
        <w:rPr>
          <w:rFonts w:ascii="仿宋_GB2312" w:eastAsia="仿宋_GB2312"/>
          <w:sz w:val="32"/>
          <w:szCs w:val="32"/>
        </w:rPr>
      </w:pPr>
      <w:r>
        <w:rPr>
          <w:rFonts w:hint="eastAsia" w:ascii="仿宋_GB2312" w:eastAsia="仿宋_GB2312"/>
          <w:sz w:val="32"/>
          <w:szCs w:val="32"/>
        </w:rPr>
        <w:t>2023年财政拨款预算安排0元。与2022年财政拨款预算安排0元相等。</w:t>
      </w:r>
    </w:p>
    <w:p w14:paraId="00D48C0C">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w:t>
      </w:r>
      <w:r>
        <w:rPr>
          <w:rFonts w:ascii="仿宋_GB2312" w:eastAsia="仿宋_GB2312"/>
          <w:color w:val="000000"/>
          <w:sz w:val="32"/>
          <w:szCs w:val="32"/>
        </w:rPr>
        <w:t>、其他情况说明</w:t>
      </w:r>
    </w:p>
    <w:p w14:paraId="3F673ACE">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（一）机构运行经费</w:t>
      </w:r>
      <w:r>
        <w:rPr>
          <w:rFonts w:ascii="仿宋_GB2312" w:eastAsia="仿宋_GB2312"/>
          <w:color w:val="000000"/>
          <w:sz w:val="32"/>
          <w:szCs w:val="32"/>
        </w:rPr>
        <w:t>说明</w:t>
      </w:r>
    </w:p>
    <w:p w14:paraId="11537CFB">
      <w:pPr>
        <w:spacing w:line="560" w:lineRule="exact"/>
        <w:ind w:firstLine="640" w:firstLineChars="200"/>
        <w:rPr>
          <w:rFonts w:ascii="仿宋_GB2312" w:eastAsia="仿宋_GB2312"/>
          <w:sz w:val="32"/>
          <w:szCs w:val="32"/>
        </w:rPr>
      </w:pPr>
      <w:r>
        <w:rPr>
          <w:rFonts w:hint="eastAsia" w:ascii="仿宋_GB2312" w:eastAsia="仿宋_GB2312"/>
          <w:sz w:val="32"/>
          <w:szCs w:val="32"/>
        </w:rPr>
        <w:t>北京市西城区总工会部门预算中机构运行经费的支出单位包括1个所属单位，即北京市西城区职工服务中心。主要包括办公费16000.00元，水费3200.00元，电费21600.00元，邮电费9000.00元，取暖费77107.50元，差旅费5168.00元，维修（护）费1600.00元，会议费2040.00元，工会经费19100.32元，福利费33600.00元，培训费6936.00元，其他商品与服务支出179605.24元。</w:t>
      </w:r>
    </w:p>
    <w:p w14:paraId="00621FD0">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（二）政府</w:t>
      </w:r>
      <w:r>
        <w:rPr>
          <w:rFonts w:ascii="仿宋_GB2312" w:eastAsia="仿宋_GB2312"/>
          <w:color w:val="000000"/>
          <w:sz w:val="32"/>
          <w:szCs w:val="32"/>
        </w:rPr>
        <w:t>采购预算说明</w:t>
      </w:r>
    </w:p>
    <w:p w14:paraId="215EDCA4">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2023年</w:t>
      </w:r>
      <w:r>
        <w:rPr>
          <w:rFonts w:hint="eastAsia" w:ascii="仿宋_GB2312" w:eastAsia="仿宋_GB2312"/>
          <w:sz w:val="32"/>
          <w:szCs w:val="32"/>
        </w:rPr>
        <w:t>区总工会不涉及</w:t>
      </w:r>
      <w:r>
        <w:rPr>
          <w:rFonts w:hint="eastAsia" w:ascii="仿宋_GB2312" w:eastAsia="仿宋_GB2312"/>
          <w:color w:val="000000"/>
          <w:sz w:val="32"/>
          <w:szCs w:val="32"/>
        </w:rPr>
        <w:t xml:space="preserve">纳入政府采购项目的采购。   </w:t>
      </w:r>
    </w:p>
    <w:p w14:paraId="2254A984">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（三）政府购买服务</w:t>
      </w:r>
      <w:r>
        <w:rPr>
          <w:rFonts w:ascii="仿宋_GB2312" w:eastAsia="仿宋_GB2312"/>
          <w:color w:val="000000"/>
          <w:sz w:val="32"/>
          <w:szCs w:val="32"/>
        </w:rPr>
        <w:t>预算说明</w:t>
      </w:r>
    </w:p>
    <w:p w14:paraId="4656B4A0">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2023年本单位财政预算中不涉及此项目。</w:t>
      </w:r>
    </w:p>
    <w:p w14:paraId="54802126">
      <w:pPr>
        <w:tabs>
          <w:tab w:val="left" w:pos="709"/>
        </w:tabs>
        <w:spacing w:line="560" w:lineRule="exact"/>
        <w:ind w:firstLine="645"/>
        <w:rPr>
          <w:rFonts w:ascii="仿宋_GB2312" w:eastAsia="仿宋_GB2312"/>
          <w:color w:val="000000"/>
          <w:sz w:val="32"/>
          <w:szCs w:val="32"/>
        </w:rPr>
      </w:pPr>
      <w:r>
        <w:rPr>
          <w:rFonts w:hint="eastAsia" w:ascii="仿宋_GB2312" w:eastAsia="仿宋_GB2312"/>
          <w:color w:val="000000"/>
          <w:sz w:val="32"/>
          <w:szCs w:val="32"/>
        </w:rPr>
        <w:t>（四）</w:t>
      </w:r>
      <w:r>
        <w:rPr>
          <w:rFonts w:ascii="仿宋_GB2312" w:eastAsia="仿宋_GB2312"/>
          <w:color w:val="000000"/>
          <w:sz w:val="32"/>
          <w:szCs w:val="32"/>
        </w:rPr>
        <w:t>绩效目标情况</w:t>
      </w:r>
      <w:r>
        <w:rPr>
          <w:rFonts w:hint="eastAsia" w:ascii="仿宋_GB2312" w:eastAsia="仿宋_GB2312"/>
          <w:color w:val="000000"/>
          <w:sz w:val="32"/>
          <w:szCs w:val="32"/>
        </w:rPr>
        <w:t>及绩效评价结果</w:t>
      </w:r>
      <w:r>
        <w:rPr>
          <w:rFonts w:ascii="仿宋_GB2312" w:eastAsia="仿宋_GB2312"/>
          <w:color w:val="000000"/>
          <w:sz w:val="32"/>
          <w:szCs w:val="32"/>
        </w:rPr>
        <w:t>说明</w:t>
      </w:r>
    </w:p>
    <w:p w14:paraId="70712030">
      <w:pPr>
        <w:pStyle w:val="6"/>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ind w:left="0" w:right="0" w:firstLine="640"/>
        <w:jc w:val="both"/>
      </w:pPr>
      <w:r>
        <w:rPr>
          <w:rFonts w:hint="eastAsia" w:ascii="宋体" w:hAnsi="宋体" w:cs="宋体"/>
          <w:kern w:val="0"/>
          <w:szCs w:val="21"/>
        </w:rPr>
        <w:t xml:space="preserve">　  </w:t>
      </w:r>
      <w:r>
        <w:rPr>
          <w:rFonts w:ascii="仿宋" w:hAnsi="仿宋" w:eastAsia="仿宋" w:cs="仿宋"/>
          <w:color w:val="000000"/>
          <w:sz w:val="32"/>
          <w:szCs w:val="32"/>
        </w:rPr>
        <w:t>20</w:t>
      </w:r>
      <w:r>
        <w:rPr>
          <w:rFonts w:hint="eastAsia" w:ascii="仿宋" w:hAnsi="仿宋" w:eastAsia="仿宋" w:cs="仿宋"/>
          <w:color w:val="000000"/>
          <w:sz w:val="32"/>
          <w:szCs w:val="32"/>
        </w:rPr>
        <w:t>2</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rPr>
        <w:t>年，按照预算一体化实施要求，全部项目均填报绩效目标申报表。</w:t>
      </w:r>
    </w:p>
    <w:p w14:paraId="15127479">
      <w:pPr>
        <w:widowControl/>
        <w:ind w:firstLine="420" w:firstLineChars="0"/>
        <w:jc w:val="left"/>
        <w:rPr>
          <w:rFonts w:hint="eastAsia" w:ascii="仿宋_GB2312" w:eastAsia="仿宋_GB2312"/>
          <w:sz w:val="32"/>
          <w:szCs w:val="32"/>
          <w:highlight w:val="none"/>
          <w:lang w:val="en-US" w:eastAsia="zh-CN"/>
        </w:rPr>
      </w:pPr>
      <w:r>
        <w:rPr>
          <w:rFonts w:hint="eastAsia" w:ascii="仿宋" w:hAnsi="仿宋" w:eastAsia="仿宋" w:cs="仿宋"/>
          <w:color w:val="000000"/>
          <w:sz w:val="32"/>
          <w:szCs w:val="32"/>
          <w:highlight w:val="none"/>
        </w:rPr>
        <w:t>根据区财政局要求，对2022年支出项目开展绩效自评，</w:t>
      </w:r>
      <w:r>
        <w:rPr>
          <w:rFonts w:hint="eastAsia" w:ascii="仿宋_GB2312" w:eastAsia="仿宋_GB2312"/>
          <w:sz w:val="32"/>
          <w:szCs w:val="32"/>
          <w:highlight w:val="none"/>
          <w:lang w:val="en-US" w:eastAsia="zh-CN"/>
        </w:rPr>
        <w:t>律师调解劳动争议案件补贴项目得分94分。</w:t>
      </w:r>
    </w:p>
    <w:p w14:paraId="2BEFB26A">
      <w:pPr>
        <w:widowControl/>
        <w:ind w:firstLine="420" w:firstLineChars="0"/>
        <w:jc w:val="left"/>
        <w:rPr>
          <w:rFonts w:ascii="仿宋_GB2312" w:eastAsia="仿宋_GB2312"/>
          <w:sz w:val="32"/>
          <w:szCs w:val="32"/>
        </w:rPr>
      </w:pPr>
      <w:r>
        <w:rPr>
          <w:rFonts w:hint="eastAsia" w:ascii="仿宋_GB2312" w:eastAsia="仿宋_GB2312"/>
          <w:sz w:val="32"/>
          <w:szCs w:val="32"/>
        </w:rPr>
        <w:t>为了体现党和政府及工会组织对广大劳动模范的关心和爱护，激发广大劳模及先进人物荣誉感，积极营造劳动光荣的社会风尚和精益求精的敬业风气，2022年区总工会通过开展劳模两节送温暖、劳模体检、全国五一劳动奖章、首都劳动奖章的评选、表彰及宣传等各项工作，共计支付劳模经费53.8万元完成项目。充分发挥了劳模在群众中的特殊影响力、凝聚力和感召力，带动广大职工群众积极投身改革开放的各个领域，推进西城经济建设稳步发展。</w:t>
      </w:r>
    </w:p>
    <w:p w14:paraId="63FCC24A">
      <w:pPr>
        <w:widowControl/>
        <w:jc w:val="left"/>
        <w:rPr>
          <w:rFonts w:ascii="仿宋_GB2312" w:eastAsia="仿宋_GB2312"/>
          <w:sz w:val="32"/>
          <w:szCs w:val="32"/>
        </w:rPr>
      </w:pPr>
      <w:r>
        <w:rPr>
          <w:rFonts w:hint="eastAsia" w:ascii="仿宋_GB2312" w:eastAsia="仿宋_GB2312"/>
          <w:sz w:val="32"/>
          <w:szCs w:val="32"/>
        </w:rPr>
        <w:t xml:space="preserve">    依据北京市总工会和北京市财政局制订的《北京市劳动争议调解联动机制经费保障办法》规定，2022年区总工会律师调解劳动争议案件补贴项目在原计划60万元的基础上追加经费共计支付93.9万元。满足了广大职工日益增长的法律服务需求，切实维护职工合法权益，促进企业和谐劳动关系建设。</w:t>
      </w:r>
    </w:p>
    <w:p w14:paraId="490D25B2">
      <w:pPr>
        <w:tabs>
          <w:tab w:val="left" w:pos="709"/>
          <w:tab w:val="left" w:pos="851"/>
        </w:tabs>
        <w:spacing w:line="560" w:lineRule="exact"/>
        <w:ind w:firstLine="640" w:firstLineChars="200"/>
        <w:jc w:val="left"/>
        <w:rPr>
          <w:rFonts w:ascii="仿宋_GB2312" w:eastAsia="仿宋_GB2312"/>
          <w:color w:val="000000"/>
          <w:sz w:val="32"/>
          <w:szCs w:val="32"/>
        </w:rPr>
      </w:pPr>
      <w:r>
        <w:rPr>
          <w:rFonts w:hint="eastAsia" w:ascii="仿宋_GB2312" w:eastAsia="仿宋_GB2312"/>
          <w:color w:val="000000"/>
          <w:sz w:val="32"/>
          <w:szCs w:val="32"/>
        </w:rPr>
        <w:t>（五）国有</w:t>
      </w:r>
      <w:r>
        <w:rPr>
          <w:rFonts w:ascii="仿宋_GB2312" w:eastAsia="仿宋_GB2312"/>
          <w:color w:val="000000"/>
          <w:sz w:val="32"/>
          <w:szCs w:val="32"/>
        </w:rPr>
        <w:t>资本经营预算财政拨款</w:t>
      </w:r>
      <w:r>
        <w:rPr>
          <w:rFonts w:hint="eastAsia" w:ascii="仿宋_GB2312" w:eastAsia="仿宋_GB2312"/>
          <w:color w:val="000000"/>
          <w:sz w:val="32"/>
          <w:szCs w:val="32"/>
        </w:rPr>
        <w:t>情况</w:t>
      </w:r>
      <w:r>
        <w:rPr>
          <w:rFonts w:ascii="仿宋_GB2312" w:eastAsia="仿宋_GB2312"/>
          <w:color w:val="000000"/>
          <w:sz w:val="32"/>
          <w:szCs w:val="32"/>
        </w:rPr>
        <w:t>说明</w:t>
      </w:r>
    </w:p>
    <w:p w14:paraId="16AAB88A">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2023年本单位财政预算中不涉及此项目。</w:t>
      </w:r>
    </w:p>
    <w:p w14:paraId="34FA37D1">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（六）国有资产</w:t>
      </w:r>
      <w:r>
        <w:rPr>
          <w:rFonts w:ascii="仿宋_GB2312" w:eastAsia="仿宋_GB2312"/>
          <w:color w:val="000000"/>
          <w:sz w:val="32"/>
          <w:szCs w:val="32"/>
        </w:rPr>
        <w:t>占用情况说明</w:t>
      </w:r>
    </w:p>
    <w:p w14:paraId="5A917DBF">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2023年本单位财政预算中不涉及此项目。</w:t>
      </w:r>
    </w:p>
    <w:p w14:paraId="40147611">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六</w:t>
      </w:r>
      <w:r>
        <w:rPr>
          <w:rFonts w:ascii="仿宋_GB2312" w:eastAsia="仿宋_GB2312"/>
          <w:color w:val="000000"/>
          <w:sz w:val="32"/>
          <w:szCs w:val="32"/>
        </w:rPr>
        <w:t>、名称</w:t>
      </w:r>
      <w:r>
        <w:rPr>
          <w:rFonts w:hint="eastAsia" w:ascii="仿宋_GB2312" w:eastAsia="仿宋_GB2312"/>
          <w:color w:val="000000"/>
          <w:sz w:val="32"/>
          <w:szCs w:val="32"/>
        </w:rPr>
        <w:t>解释</w:t>
      </w:r>
    </w:p>
    <w:p w14:paraId="6E4215CB">
      <w:pPr>
        <w:spacing w:line="500" w:lineRule="exact"/>
        <w:ind w:firstLine="645"/>
        <w:rPr>
          <w:rFonts w:ascii="仿宋_GB2312" w:eastAsia="仿宋_GB2312"/>
          <w:sz w:val="32"/>
          <w:szCs w:val="32"/>
        </w:rPr>
      </w:pPr>
      <w:r>
        <w:rPr>
          <w:rFonts w:ascii="仿宋_GB2312" w:eastAsia="仿宋_GB2312"/>
          <w:sz w:val="32"/>
          <w:szCs w:val="32"/>
        </w:rPr>
        <w:t>工会业务经费，指工会开展各项宣传、教育、维权、困难帮扶等与职工切身利益密切相关的活动所需要的经费。</w:t>
      </w:r>
    </w:p>
    <w:p w14:paraId="2684C3BE">
      <w:pPr>
        <w:spacing w:line="360" w:lineRule="auto"/>
        <w:ind w:firstLine="643" w:firstLineChars="200"/>
        <w:rPr>
          <w:rFonts w:ascii="仿宋_GB2312" w:eastAsia="仿宋_GB2312"/>
          <w:b/>
          <w:sz w:val="32"/>
          <w:szCs w:val="32"/>
        </w:rPr>
      </w:pPr>
    </w:p>
    <w:p w14:paraId="759A9461">
      <w:pPr>
        <w:spacing w:line="360" w:lineRule="auto"/>
        <w:rPr>
          <w:rFonts w:ascii="仿宋_GB2312" w:eastAsia="仿宋_GB2312"/>
          <w:sz w:val="32"/>
          <w:szCs w:val="32"/>
        </w:rPr>
        <w:sectPr>
          <w:headerReference r:id="rId3" w:type="default"/>
          <w:headerReference r:id="rId4" w:type="even"/>
          <w:pgSz w:w="11906" w:h="16838"/>
          <w:pgMar w:top="1440" w:right="1800" w:bottom="1440" w:left="1800" w:header="851" w:footer="992" w:gutter="0"/>
          <w:cols w:space="720" w:num="1"/>
          <w:docGrid w:type="lines" w:linePitch="312" w:charSpace="0"/>
        </w:sectPr>
      </w:pPr>
    </w:p>
    <w:tbl>
      <w:tblPr>
        <w:tblStyle w:val="8"/>
        <w:tblW w:w="236" w:type="dxa"/>
        <w:tblInd w:w="250" w:type="dxa"/>
        <w:tblLayout w:type="autofit"/>
        <w:tblCellMar>
          <w:top w:w="0" w:type="dxa"/>
          <w:left w:w="108" w:type="dxa"/>
          <w:bottom w:w="0" w:type="dxa"/>
          <w:right w:w="108" w:type="dxa"/>
        </w:tblCellMar>
      </w:tblPr>
      <w:tblGrid>
        <w:gridCol w:w="236"/>
      </w:tblGrid>
      <w:tr w14:paraId="6472F5B1">
        <w:tblPrEx>
          <w:tblCellMar>
            <w:top w:w="0" w:type="dxa"/>
            <w:left w:w="108" w:type="dxa"/>
            <w:bottom w:w="0" w:type="dxa"/>
            <w:right w:w="108" w:type="dxa"/>
          </w:tblCellMar>
        </w:tblPrEx>
        <w:trPr>
          <w:trHeight w:val="569" w:hRule="atLeast"/>
        </w:trPr>
        <w:tc>
          <w:tcPr>
            <w:tcW w:w="236" w:type="dxa"/>
            <w:tcBorders>
              <w:top w:val="nil"/>
              <w:left w:val="nil"/>
              <w:bottom w:val="single" w:color="000000" w:sz="4" w:space="0"/>
              <w:right w:val="single" w:color="000000" w:sz="4" w:space="0"/>
            </w:tcBorders>
            <w:shd w:val="clear" w:color="auto" w:fill="auto"/>
            <w:vAlign w:val="center"/>
          </w:tcPr>
          <w:p w14:paraId="067D2BA4">
            <w:pPr>
              <w:rPr>
                <w:rFonts w:ascii="宋体" w:hAnsi="宋体" w:cs="Arial"/>
                <w:color w:val="000000"/>
                <w:sz w:val="18"/>
                <w:szCs w:val="18"/>
              </w:rPr>
            </w:pPr>
          </w:p>
        </w:tc>
      </w:tr>
    </w:tbl>
    <w:p w14:paraId="6B7E370C">
      <w:pPr>
        <w:spacing w:line="360" w:lineRule="auto"/>
        <w:rPr>
          <w:rFonts w:ascii="仿宋_GB2312" w:eastAsia="仿宋_GB2312"/>
          <w:sz w:val="32"/>
          <w:szCs w:val="32"/>
        </w:rPr>
      </w:pPr>
    </w:p>
    <w:sectPr>
      <w:pgSz w:w="11906" w:h="16838"/>
      <w:pgMar w:top="720" w:right="720" w:bottom="720" w:left="720"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8193C0">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77612F">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E17E5"/>
    <w:rsid w:val="00001E05"/>
    <w:rsid w:val="00004B9A"/>
    <w:rsid w:val="00023AA2"/>
    <w:rsid w:val="00044C72"/>
    <w:rsid w:val="00044F27"/>
    <w:rsid w:val="0006714F"/>
    <w:rsid w:val="000741D1"/>
    <w:rsid w:val="000756FE"/>
    <w:rsid w:val="00076E6C"/>
    <w:rsid w:val="0008016C"/>
    <w:rsid w:val="00080277"/>
    <w:rsid w:val="0008215E"/>
    <w:rsid w:val="000845E1"/>
    <w:rsid w:val="000B0052"/>
    <w:rsid w:val="000C2BBA"/>
    <w:rsid w:val="000C7493"/>
    <w:rsid w:val="000D5CD9"/>
    <w:rsid w:val="000E5FC1"/>
    <w:rsid w:val="000E7347"/>
    <w:rsid w:val="000F4228"/>
    <w:rsid w:val="00102B61"/>
    <w:rsid w:val="00104B7F"/>
    <w:rsid w:val="00106F35"/>
    <w:rsid w:val="00113AB5"/>
    <w:rsid w:val="00117B84"/>
    <w:rsid w:val="001216D5"/>
    <w:rsid w:val="001366F1"/>
    <w:rsid w:val="00142266"/>
    <w:rsid w:val="00156495"/>
    <w:rsid w:val="001642C5"/>
    <w:rsid w:val="001851CF"/>
    <w:rsid w:val="001A71BA"/>
    <w:rsid w:val="001D613C"/>
    <w:rsid w:val="001E17E5"/>
    <w:rsid w:val="001E611B"/>
    <w:rsid w:val="001F0D8D"/>
    <w:rsid w:val="00203504"/>
    <w:rsid w:val="002047A6"/>
    <w:rsid w:val="0020544F"/>
    <w:rsid w:val="00221793"/>
    <w:rsid w:val="00225B5C"/>
    <w:rsid w:val="00233CE4"/>
    <w:rsid w:val="002415AA"/>
    <w:rsid w:val="00245122"/>
    <w:rsid w:val="002506CB"/>
    <w:rsid w:val="00266A50"/>
    <w:rsid w:val="0028122D"/>
    <w:rsid w:val="00287486"/>
    <w:rsid w:val="00294738"/>
    <w:rsid w:val="002955D1"/>
    <w:rsid w:val="00297E4C"/>
    <w:rsid w:val="002A181D"/>
    <w:rsid w:val="002A3A24"/>
    <w:rsid w:val="002A51FB"/>
    <w:rsid w:val="002A61F7"/>
    <w:rsid w:val="002C1542"/>
    <w:rsid w:val="002C29E5"/>
    <w:rsid w:val="002D1AA8"/>
    <w:rsid w:val="002E4EFE"/>
    <w:rsid w:val="002F445F"/>
    <w:rsid w:val="002F4C06"/>
    <w:rsid w:val="003024B2"/>
    <w:rsid w:val="00311A2B"/>
    <w:rsid w:val="00313C5E"/>
    <w:rsid w:val="003202E3"/>
    <w:rsid w:val="00334787"/>
    <w:rsid w:val="00336EE9"/>
    <w:rsid w:val="003403FE"/>
    <w:rsid w:val="00342F46"/>
    <w:rsid w:val="00344B62"/>
    <w:rsid w:val="00347815"/>
    <w:rsid w:val="0035697D"/>
    <w:rsid w:val="00360543"/>
    <w:rsid w:val="00362A86"/>
    <w:rsid w:val="003675EC"/>
    <w:rsid w:val="00373357"/>
    <w:rsid w:val="0037674D"/>
    <w:rsid w:val="00381328"/>
    <w:rsid w:val="00381A91"/>
    <w:rsid w:val="00383CF1"/>
    <w:rsid w:val="003861DD"/>
    <w:rsid w:val="00390AA1"/>
    <w:rsid w:val="003B5BC9"/>
    <w:rsid w:val="003B67A7"/>
    <w:rsid w:val="003B7998"/>
    <w:rsid w:val="003C308C"/>
    <w:rsid w:val="003D1497"/>
    <w:rsid w:val="003E19B3"/>
    <w:rsid w:val="003F53E8"/>
    <w:rsid w:val="004342AB"/>
    <w:rsid w:val="00441BB9"/>
    <w:rsid w:val="004443F7"/>
    <w:rsid w:val="00445912"/>
    <w:rsid w:val="00445FD2"/>
    <w:rsid w:val="004646C7"/>
    <w:rsid w:val="004671B3"/>
    <w:rsid w:val="004724D6"/>
    <w:rsid w:val="00483026"/>
    <w:rsid w:val="00490783"/>
    <w:rsid w:val="00492DAF"/>
    <w:rsid w:val="00495684"/>
    <w:rsid w:val="00497C69"/>
    <w:rsid w:val="004B5D81"/>
    <w:rsid w:val="004B6DA8"/>
    <w:rsid w:val="004C099F"/>
    <w:rsid w:val="004D3426"/>
    <w:rsid w:val="004E5CA1"/>
    <w:rsid w:val="004E6276"/>
    <w:rsid w:val="004F17CE"/>
    <w:rsid w:val="00511E45"/>
    <w:rsid w:val="00520D45"/>
    <w:rsid w:val="0052221C"/>
    <w:rsid w:val="0052447B"/>
    <w:rsid w:val="00526E55"/>
    <w:rsid w:val="0053415F"/>
    <w:rsid w:val="00543AB8"/>
    <w:rsid w:val="00546BC1"/>
    <w:rsid w:val="00553364"/>
    <w:rsid w:val="0055539A"/>
    <w:rsid w:val="00562457"/>
    <w:rsid w:val="0058485B"/>
    <w:rsid w:val="00590555"/>
    <w:rsid w:val="005963BC"/>
    <w:rsid w:val="005A217D"/>
    <w:rsid w:val="005C1205"/>
    <w:rsid w:val="005E2163"/>
    <w:rsid w:val="005E4C72"/>
    <w:rsid w:val="005F56B4"/>
    <w:rsid w:val="00613485"/>
    <w:rsid w:val="00621084"/>
    <w:rsid w:val="00622354"/>
    <w:rsid w:val="00626062"/>
    <w:rsid w:val="0062698B"/>
    <w:rsid w:val="006346BC"/>
    <w:rsid w:val="006439A5"/>
    <w:rsid w:val="006533BA"/>
    <w:rsid w:val="0065473A"/>
    <w:rsid w:val="00662B5E"/>
    <w:rsid w:val="0066386E"/>
    <w:rsid w:val="006670FD"/>
    <w:rsid w:val="00671FA7"/>
    <w:rsid w:val="00673DCD"/>
    <w:rsid w:val="00681273"/>
    <w:rsid w:val="006A4939"/>
    <w:rsid w:val="006A7D1F"/>
    <w:rsid w:val="006B19E5"/>
    <w:rsid w:val="006C6FF4"/>
    <w:rsid w:val="006E555B"/>
    <w:rsid w:val="006E5A10"/>
    <w:rsid w:val="006F08BE"/>
    <w:rsid w:val="006F7B17"/>
    <w:rsid w:val="00702EB1"/>
    <w:rsid w:val="007042EC"/>
    <w:rsid w:val="00717657"/>
    <w:rsid w:val="00721509"/>
    <w:rsid w:val="007234A9"/>
    <w:rsid w:val="007264F9"/>
    <w:rsid w:val="0073271F"/>
    <w:rsid w:val="007623C5"/>
    <w:rsid w:val="00767E5E"/>
    <w:rsid w:val="00773FE7"/>
    <w:rsid w:val="007762CA"/>
    <w:rsid w:val="00794875"/>
    <w:rsid w:val="007A43A9"/>
    <w:rsid w:val="007B767B"/>
    <w:rsid w:val="007B7B0D"/>
    <w:rsid w:val="007C179E"/>
    <w:rsid w:val="007C5315"/>
    <w:rsid w:val="007C596A"/>
    <w:rsid w:val="007D44CC"/>
    <w:rsid w:val="007E3BC6"/>
    <w:rsid w:val="007E63A1"/>
    <w:rsid w:val="0080189A"/>
    <w:rsid w:val="00804E38"/>
    <w:rsid w:val="00811133"/>
    <w:rsid w:val="0081729C"/>
    <w:rsid w:val="008219C8"/>
    <w:rsid w:val="00821BE7"/>
    <w:rsid w:val="008260FC"/>
    <w:rsid w:val="00843F5D"/>
    <w:rsid w:val="0085146E"/>
    <w:rsid w:val="00863073"/>
    <w:rsid w:val="00892120"/>
    <w:rsid w:val="00893FAF"/>
    <w:rsid w:val="008B4B05"/>
    <w:rsid w:val="008B52C2"/>
    <w:rsid w:val="008E4578"/>
    <w:rsid w:val="008E7416"/>
    <w:rsid w:val="008F73C2"/>
    <w:rsid w:val="00903D7E"/>
    <w:rsid w:val="00915BF5"/>
    <w:rsid w:val="00947DB4"/>
    <w:rsid w:val="00971658"/>
    <w:rsid w:val="009838FB"/>
    <w:rsid w:val="009924C7"/>
    <w:rsid w:val="00992552"/>
    <w:rsid w:val="009B06A0"/>
    <w:rsid w:val="009B4867"/>
    <w:rsid w:val="00A037C7"/>
    <w:rsid w:val="00A12A09"/>
    <w:rsid w:val="00A147A2"/>
    <w:rsid w:val="00A14925"/>
    <w:rsid w:val="00A2415D"/>
    <w:rsid w:val="00A26F5D"/>
    <w:rsid w:val="00A44CEE"/>
    <w:rsid w:val="00A7280A"/>
    <w:rsid w:val="00A84053"/>
    <w:rsid w:val="00A96562"/>
    <w:rsid w:val="00AB3022"/>
    <w:rsid w:val="00AC21DC"/>
    <w:rsid w:val="00AC3764"/>
    <w:rsid w:val="00AC5715"/>
    <w:rsid w:val="00AD2C36"/>
    <w:rsid w:val="00AF3ABA"/>
    <w:rsid w:val="00B02420"/>
    <w:rsid w:val="00B0441B"/>
    <w:rsid w:val="00B11BF6"/>
    <w:rsid w:val="00B1407D"/>
    <w:rsid w:val="00B253DB"/>
    <w:rsid w:val="00B266FD"/>
    <w:rsid w:val="00B270FE"/>
    <w:rsid w:val="00B3669F"/>
    <w:rsid w:val="00B452AB"/>
    <w:rsid w:val="00B55FFA"/>
    <w:rsid w:val="00B654E0"/>
    <w:rsid w:val="00B666C5"/>
    <w:rsid w:val="00B763C4"/>
    <w:rsid w:val="00B77819"/>
    <w:rsid w:val="00B81FF1"/>
    <w:rsid w:val="00B822E1"/>
    <w:rsid w:val="00B86D5E"/>
    <w:rsid w:val="00B9736B"/>
    <w:rsid w:val="00BA4BD1"/>
    <w:rsid w:val="00BB16CA"/>
    <w:rsid w:val="00BB3371"/>
    <w:rsid w:val="00BC0082"/>
    <w:rsid w:val="00BC241E"/>
    <w:rsid w:val="00BC3E31"/>
    <w:rsid w:val="00BC55E6"/>
    <w:rsid w:val="00BE7B38"/>
    <w:rsid w:val="00C03AA1"/>
    <w:rsid w:val="00C064A5"/>
    <w:rsid w:val="00C1345D"/>
    <w:rsid w:val="00C21F54"/>
    <w:rsid w:val="00C57282"/>
    <w:rsid w:val="00C65A93"/>
    <w:rsid w:val="00C7708D"/>
    <w:rsid w:val="00CA10D7"/>
    <w:rsid w:val="00CB16E0"/>
    <w:rsid w:val="00CC3C98"/>
    <w:rsid w:val="00CC6152"/>
    <w:rsid w:val="00CD1E68"/>
    <w:rsid w:val="00CD65E3"/>
    <w:rsid w:val="00CE3833"/>
    <w:rsid w:val="00CE6E15"/>
    <w:rsid w:val="00CF0D63"/>
    <w:rsid w:val="00CF236F"/>
    <w:rsid w:val="00CF6EF7"/>
    <w:rsid w:val="00D103B6"/>
    <w:rsid w:val="00D12275"/>
    <w:rsid w:val="00D14A40"/>
    <w:rsid w:val="00D27A1C"/>
    <w:rsid w:val="00D41A7B"/>
    <w:rsid w:val="00D42E5B"/>
    <w:rsid w:val="00D52ABE"/>
    <w:rsid w:val="00D53091"/>
    <w:rsid w:val="00D56388"/>
    <w:rsid w:val="00D72E91"/>
    <w:rsid w:val="00D75B87"/>
    <w:rsid w:val="00D76307"/>
    <w:rsid w:val="00D76663"/>
    <w:rsid w:val="00D80E57"/>
    <w:rsid w:val="00D86CB7"/>
    <w:rsid w:val="00D87F2A"/>
    <w:rsid w:val="00D924D0"/>
    <w:rsid w:val="00D944C0"/>
    <w:rsid w:val="00DA02F7"/>
    <w:rsid w:val="00DB7105"/>
    <w:rsid w:val="00DC3A6F"/>
    <w:rsid w:val="00DD1696"/>
    <w:rsid w:val="00DD4191"/>
    <w:rsid w:val="00DE064C"/>
    <w:rsid w:val="00DE5AD6"/>
    <w:rsid w:val="00DF19A3"/>
    <w:rsid w:val="00E31514"/>
    <w:rsid w:val="00E365C5"/>
    <w:rsid w:val="00E37992"/>
    <w:rsid w:val="00E46E9F"/>
    <w:rsid w:val="00E64821"/>
    <w:rsid w:val="00E64ADA"/>
    <w:rsid w:val="00E7438B"/>
    <w:rsid w:val="00E83F9B"/>
    <w:rsid w:val="00E87D50"/>
    <w:rsid w:val="00E91B62"/>
    <w:rsid w:val="00EA7C8C"/>
    <w:rsid w:val="00EB1F89"/>
    <w:rsid w:val="00EC3FBE"/>
    <w:rsid w:val="00EC5553"/>
    <w:rsid w:val="00EC5B65"/>
    <w:rsid w:val="00ED2677"/>
    <w:rsid w:val="00EE3787"/>
    <w:rsid w:val="00EE5EE6"/>
    <w:rsid w:val="00EF1E2C"/>
    <w:rsid w:val="00F04AC4"/>
    <w:rsid w:val="00F05E3A"/>
    <w:rsid w:val="00F25C29"/>
    <w:rsid w:val="00F31C67"/>
    <w:rsid w:val="00F36093"/>
    <w:rsid w:val="00F430FA"/>
    <w:rsid w:val="00F4388A"/>
    <w:rsid w:val="00F50365"/>
    <w:rsid w:val="00F73168"/>
    <w:rsid w:val="00F77AE8"/>
    <w:rsid w:val="00F919D0"/>
    <w:rsid w:val="00FA0403"/>
    <w:rsid w:val="00FA747F"/>
    <w:rsid w:val="00FC393A"/>
    <w:rsid w:val="00FC3AA6"/>
    <w:rsid w:val="00FD4363"/>
    <w:rsid w:val="00FF2DEA"/>
    <w:rsid w:val="00FF56F9"/>
    <w:rsid w:val="00FF6621"/>
    <w:rsid w:val="00FF66E3"/>
    <w:rsid w:val="22A717E7"/>
    <w:rsid w:val="285F280A"/>
    <w:rsid w:val="2EBF6DB8"/>
    <w:rsid w:val="370B32B9"/>
    <w:rsid w:val="74E74A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unhideWhenUsed/>
    <w:qFormat/>
    <w:uiPriority w:val="99"/>
    <w:rPr>
      <w:kern w:val="0"/>
      <w:sz w:val="18"/>
      <w:szCs w:val="18"/>
    </w:rPr>
  </w:style>
  <w:style w:type="paragraph" w:styleId="4">
    <w:name w:val="footer"/>
    <w:basedOn w:val="1"/>
    <w:link w:val="10"/>
    <w:unhideWhenUsed/>
    <w:qFormat/>
    <w:uiPriority w:val="99"/>
    <w:pPr>
      <w:tabs>
        <w:tab w:val="center" w:pos="4153"/>
        <w:tab w:val="right" w:pos="8306"/>
      </w:tabs>
      <w:snapToGrid w:val="0"/>
      <w:jc w:val="left"/>
    </w:pPr>
    <w:rPr>
      <w:rFonts w:ascii="Calibri" w:hAnsi="Calibri"/>
      <w:kern w:val="0"/>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6">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paragraph" w:styleId="7">
    <w:name w:val="Title"/>
    <w:basedOn w:val="1"/>
    <w:next w:val="1"/>
    <w:link w:val="13"/>
    <w:qFormat/>
    <w:uiPriority w:val="0"/>
    <w:pPr>
      <w:spacing w:before="240" w:after="60"/>
      <w:jc w:val="center"/>
      <w:outlineLvl w:val="0"/>
    </w:pPr>
    <w:rPr>
      <w:rFonts w:ascii="Cambria" w:hAnsi="Cambria"/>
      <w:b/>
      <w:bCs/>
      <w:sz w:val="32"/>
      <w:szCs w:val="32"/>
    </w:rPr>
  </w:style>
  <w:style w:type="character" w:customStyle="1" w:styleId="10">
    <w:name w:val="页脚 Char"/>
    <w:link w:val="4"/>
    <w:qFormat/>
    <w:uiPriority w:val="99"/>
    <w:rPr>
      <w:sz w:val="18"/>
      <w:szCs w:val="18"/>
    </w:rPr>
  </w:style>
  <w:style w:type="character" w:customStyle="1" w:styleId="11">
    <w:name w:val="页眉 Char"/>
    <w:link w:val="5"/>
    <w:qFormat/>
    <w:uiPriority w:val="99"/>
    <w:rPr>
      <w:sz w:val="18"/>
      <w:szCs w:val="18"/>
    </w:rPr>
  </w:style>
  <w:style w:type="character" w:customStyle="1" w:styleId="12">
    <w:name w:val="批注框文本 Char"/>
    <w:link w:val="3"/>
    <w:semiHidden/>
    <w:qFormat/>
    <w:uiPriority w:val="99"/>
    <w:rPr>
      <w:rFonts w:ascii="Times New Roman" w:hAnsi="Times New Roman" w:eastAsia="宋体" w:cs="Times New Roman"/>
      <w:sz w:val="18"/>
      <w:szCs w:val="18"/>
    </w:rPr>
  </w:style>
  <w:style w:type="character" w:customStyle="1" w:styleId="13">
    <w:name w:val="标题 Char"/>
    <w:basedOn w:val="9"/>
    <w:link w:val="7"/>
    <w:qFormat/>
    <w:uiPriority w:val="0"/>
    <w:rPr>
      <w:rFonts w:ascii="Cambria" w:hAnsi="Cambria"/>
      <w:b/>
      <w:bCs/>
      <w:kern w:val="2"/>
      <w:sz w:val="32"/>
      <w:szCs w:val="32"/>
    </w:rPr>
  </w:style>
  <w:style w:type="paragraph" w:styleId="14">
    <w:name w:val="List Paragraph"/>
    <w:basedOn w:val="1"/>
    <w:qFormat/>
    <w:uiPriority w:val="99"/>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2586</Words>
  <Characters>2841</Characters>
  <Lines>20</Lines>
  <Paragraphs>5</Paragraphs>
  <TotalTime>3</TotalTime>
  <ScaleCrop>false</ScaleCrop>
  <LinksUpToDate>false</LinksUpToDate>
  <CharactersWithSpaces>2862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2022-01-06T07:39:00Z</dcterms:created>
  <dc:creator>白杨</dc:creator>
  <cp:lastModifiedBy>Caihy</cp:lastModifiedBy>
  <cp:lastPrinted>2022-01-14T03:06:00Z</cp:lastPrinted>
  <dcterms:modified xsi:type="dcterms:W3CDTF">2024-12-25T08:51:55Z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52ACF7E2CEC745C38ECE4BF84867FA03_12</vt:lpwstr>
  </property>
</Properties>
</file>