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E423A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北京</w:t>
      </w:r>
      <w:r>
        <w:rPr>
          <w:rFonts w:ascii="黑体" w:hAnsi="黑体" w:eastAsia="黑体"/>
          <w:b/>
          <w:sz w:val="44"/>
          <w:szCs w:val="44"/>
        </w:rPr>
        <w:t>德源兴业投资管理集团有限公司</w:t>
      </w:r>
    </w:p>
    <w:p w14:paraId="218FEE7F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年财政部门预算公开信息</w:t>
      </w:r>
    </w:p>
    <w:p w14:paraId="02315F47">
      <w:pPr>
        <w:spacing w:line="360" w:lineRule="auto"/>
        <w:rPr>
          <w:rFonts w:asciiTheme="minorEastAsia" w:hAnsiTheme="minorEastAsia" w:eastAsiaTheme="minorEastAsia"/>
          <w:b/>
          <w:sz w:val="30"/>
          <w:szCs w:val="30"/>
        </w:rPr>
      </w:pPr>
    </w:p>
    <w:p w14:paraId="37EA98E6">
      <w:pPr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第一</w:t>
      </w:r>
      <w:r>
        <w:rPr>
          <w:rFonts w:asciiTheme="minorEastAsia" w:hAnsiTheme="minorEastAsia" w:eastAsiaTheme="minorEastAsia"/>
          <w:b/>
          <w:sz w:val="30"/>
          <w:szCs w:val="30"/>
        </w:rPr>
        <w:t>部分、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</w:t>
      </w:r>
      <w:r>
        <w:rPr>
          <w:rFonts w:asciiTheme="minorEastAsia" w:hAnsiTheme="minorEastAsia" w:eastAsiaTheme="minorEastAsia"/>
          <w:b/>
          <w:sz w:val="30"/>
          <w:szCs w:val="30"/>
        </w:rPr>
        <w:t>部门预算情况说明</w:t>
      </w:r>
    </w:p>
    <w:p w14:paraId="0C1A4C8A"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一、部门主要职责及机构设置情况</w:t>
      </w:r>
    </w:p>
    <w:p w14:paraId="27DE3811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（一）部门机构设置、职责</w:t>
      </w:r>
    </w:p>
    <w:p w14:paraId="5794507B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集团董事会下设董事监事办公室，管理层下设8个职能部室，即财务管理部、集团办公室、计划管理部、人力资源部、房屋管理部、工程管理部、安全管理部、信访办公室，党委下调4个部室，即党委工作部、纪检监察部、工会办公室、巡回检查组。</w:t>
      </w:r>
    </w:p>
    <w:p w14:paraId="0FF9633F"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集团公司围绕推动城市居住环境改善，着眼于古都风貌保护、老城复建和服务品质提升，拓宽生存与发展的新渠道，努力构建一个以直管公房管理为基础、以综合性物业管理服务和老城复建为支撑、以综合服务业为补充的“三轮驱动”发展格局，着力将新企业打造成为立足北京、服务西城的和谐宜居示范区的综合服务运营商。经营范围包括投资管理、项目投资、房地产开发、资产管理、企业管理、物业管理、房地产价格评估、房屋征收、热力供应、清洁服务、承办展览展示活动。</w:t>
      </w:r>
    </w:p>
    <w:p w14:paraId="646BC7A8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（二）人员构成情况</w:t>
      </w:r>
    </w:p>
    <w:p w14:paraId="4F7BC199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现有在职人员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sz w:val="30"/>
          <w:szCs w:val="30"/>
        </w:rPr>
        <w:t>人，其中高管人员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0"/>
          <w:szCs w:val="30"/>
        </w:rPr>
        <w:t>人，其他工作人员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33</w:t>
      </w:r>
      <w:r>
        <w:rPr>
          <w:rFonts w:hint="eastAsia" w:asciiTheme="minorEastAsia" w:hAnsiTheme="minorEastAsia" w:eastAsiaTheme="minorEastAsia"/>
          <w:sz w:val="30"/>
          <w:szCs w:val="30"/>
        </w:rPr>
        <w:t>人。</w:t>
      </w:r>
    </w:p>
    <w:p w14:paraId="287CC06F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二、202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年部门预算收支及增减变化情况说明</w:t>
      </w:r>
    </w:p>
    <w:p w14:paraId="470A2193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集团公司是预算单位，下属子公司没有财政预算。汇总预算即本级预算。</w:t>
      </w:r>
    </w:p>
    <w:p w14:paraId="5D977B54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年集团公司安排预算22,486.168295万元，与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sz w:val="30"/>
          <w:szCs w:val="30"/>
        </w:rPr>
        <w:t>年预算</w:t>
      </w:r>
      <w:r>
        <w:rPr>
          <w:rFonts w:asciiTheme="minorEastAsia" w:hAnsiTheme="minorEastAsia" w:eastAsiaTheme="minorEastAsia"/>
          <w:sz w:val="30"/>
          <w:szCs w:val="30"/>
        </w:rPr>
        <w:t>20,102.624356</w:t>
      </w:r>
      <w:r>
        <w:rPr>
          <w:rFonts w:hint="eastAsia" w:asciiTheme="minorEastAsia" w:hAnsiTheme="minorEastAsia" w:eastAsiaTheme="minorEastAsia"/>
          <w:sz w:val="30"/>
          <w:szCs w:val="30"/>
        </w:rPr>
        <w:t>万元相比，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增加2,383.543939</w:t>
      </w:r>
      <w:r>
        <w:rPr>
          <w:rFonts w:hint="eastAsia" w:asciiTheme="minorEastAsia" w:hAnsiTheme="minorEastAsia" w:eastAsiaTheme="minorEastAsia"/>
          <w:sz w:val="30"/>
          <w:szCs w:val="30"/>
        </w:rPr>
        <w:t>万元。其中：预算内资金安排22,486.168295万元，财政专户资金安排0万元，其他资金安排0万元，市级提前下达专项转移支付项目资金安排0万元。</w:t>
      </w:r>
    </w:p>
    <w:p w14:paraId="4715C7C4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年将做好直管公房的修缮管理，完成平房翻建、群力胡同地下停车库建设等多项工程。202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年预算安排22,486.168295万元。</w:t>
      </w:r>
    </w:p>
    <w:p w14:paraId="140160E4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三、主要支出情况</w:t>
      </w:r>
    </w:p>
    <w:p w14:paraId="584EF60E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年支出预算按用途划分：（1）基本支出预算0元，其中公用支出0元。（2）项目支出预算22,486.168295万元。主要项目是其他城乡社区支出。</w:t>
      </w:r>
    </w:p>
    <w:p w14:paraId="1312B31E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四、部门“三公”经费财政拨款预算说明</w:t>
      </w:r>
    </w:p>
    <w:p w14:paraId="5B7E367A">
      <w:pPr>
        <w:spacing w:line="500" w:lineRule="exact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（一）“三公”预算单位范围</w:t>
      </w:r>
    </w:p>
    <w:p w14:paraId="07EF1FBC">
      <w:pPr>
        <w:spacing w:line="500" w:lineRule="exact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集团公司部门预算中因公出国（境）费、公务接待费、公务用车购置及运行维护费的支出单位包括0个下属单位。</w:t>
      </w:r>
    </w:p>
    <w:p w14:paraId="32FB9A20">
      <w:pPr>
        <w:spacing w:line="500" w:lineRule="exact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 “三公”经费财政拨款情况说明</w:t>
      </w:r>
    </w:p>
    <w:p w14:paraId="4B184691">
      <w:pPr>
        <w:spacing w:line="500" w:lineRule="exact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2022年部门预算“三公”经费财政拨款预算安排0万元，与上年相同。我单位及下属单位财政不安排经费预算，也不安排“三公”经费支出。</w:t>
      </w:r>
    </w:p>
    <w:p w14:paraId="6F91FC2B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五、其他情况说明</w:t>
      </w:r>
    </w:p>
    <w:p w14:paraId="4276CED5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（一）政府采购预算说明</w:t>
      </w:r>
    </w:p>
    <w:p w14:paraId="3ED50D35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年涉及政府采购总金额0万元。</w:t>
      </w:r>
    </w:p>
    <w:p w14:paraId="0FDAD4E9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（二</w:t>
      </w:r>
      <w:r>
        <w:rPr>
          <w:rFonts w:asciiTheme="minorEastAsia" w:hAnsiTheme="minorEastAsia" w:eastAsiaTheme="minorEastAsia"/>
          <w:b/>
          <w:sz w:val="30"/>
          <w:szCs w:val="30"/>
        </w:rPr>
        <w:t>）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政府购买服务预算说明</w:t>
      </w:r>
    </w:p>
    <w:p w14:paraId="65774FDC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我集团没有政府购买服务的内容。</w:t>
      </w:r>
    </w:p>
    <w:p w14:paraId="62BF452C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（三）机构运行经费说明</w:t>
      </w:r>
    </w:p>
    <w:p w14:paraId="51593E3B"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集团公司是国有企业，202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年本部门（含下属单位）履行一般行政事业管理职能、维持机关运行，用于一般公共预算安排的行政运行经费0元。财政不安排机关运行经费。</w:t>
      </w:r>
    </w:p>
    <w:p w14:paraId="33CA6D17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（四）项目</w:t>
      </w:r>
      <w:r>
        <w:rPr>
          <w:rFonts w:asciiTheme="minorEastAsia" w:hAnsiTheme="minorEastAsia" w:eastAsiaTheme="minorEastAsia"/>
          <w:b/>
          <w:sz w:val="30"/>
          <w:szCs w:val="30"/>
        </w:rPr>
        <w:t>支出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绩效目标情况说明</w:t>
      </w:r>
    </w:p>
    <w:p w14:paraId="4BD77CE4"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年集团公司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按照预算一体化实施要求，全部项目均填报绩效目标申报表。</w:t>
      </w:r>
    </w:p>
    <w:p w14:paraId="0693933E">
      <w:pPr>
        <w:spacing w:line="360" w:lineRule="auto"/>
        <w:ind w:firstLine="600" w:firstLineChars="20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2022年，区财政局对“2021年直管公房管理费”项目实施绩效评价，绩效评价综合得分86.90分，绩效评价级别评定为“良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”。</w:t>
      </w:r>
    </w:p>
    <w:p w14:paraId="591901FD">
      <w:pPr>
        <w:spacing w:line="360" w:lineRule="auto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（五）重点</w:t>
      </w:r>
      <w:r>
        <w:rPr>
          <w:rFonts w:asciiTheme="minorEastAsia" w:hAnsiTheme="minorEastAsia" w:eastAsiaTheme="minorEastAsia"/>
          <w:b/>
          <w:sz w:val="30"/>
          <w:szCs w:val="30"/>
        </w:rPr>
        <w:t>行政事业性收费情况说明</w:t>
      </w:r>
    </w:p>
    <w:p w14:paraId="3A3766C5"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</w:t>
      </w:r>
      <w:r>
        <w:rPr>
          <w:rFonts w:asciiTheme="minorEastAsia" w:hAnsiTheme="minorEastAsia" w:eastAsiaTheme="minorEastAsia"/>
          <w:sz w:val="30"/>
          <w:szCs w:val="30"/>
        </w:rPr>
        <w:t>集团</w:t>
      </w:r>
      <w:r>
        <w:rPr>
          <w:rFonts w:hint="eastAsia" w:asciiTheme="minorEastAsia" w:hAnsiTheme="minorEastAsia" w:eastAsiaTheme="minorEastAsia"/>
          <w:sz w:val="30"/>
          <w:szCs w:val="30"/>
        </w:rPr>
        <w:t>不</w:t>
      </w:r>
      <w:r>
        <w:rPr>
          <w:rFonts w:asciiTheme="minorEastAsia" w:hAnsiTheme="minorEastAsia" w:eastAsiaTheme="minorEastAsia"/>
          <w:sz w:val="30"/>
          <w:szCs w:val="30"/>
        </w:rPr>
        <w:t>涉及该项收费，预算</w:t>
      </w:r>
      <w:r>
        <w:rPr>
          <w:rFonts w:hint="eastAsia" w:asciiTheme="minorEastAsia" w:hAnsiTheme="minorEastAsia" w:eastAsiaTheme="minorEastAsia"/>
          <w:sz w:val="30"/>
          <w:szCs w:val="30"/>
        </w:rPr>
        <w:t>为0</w:t>
      </w:r>
    </w:p>
    <w:p w14:paraId="7B198DA2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（六）国有资本经营预算财政拨款情况说明</w:t>
      </w:r>
    </w:p>
    <w:p w14:paraId="51B1CDBC">
      <w:pPr>
        <w:spacing w:line="360" w:lineRule="auto"/>
        <w:ind w:firstLine="55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我集团国有资本经营预算收入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万元，暂无拨款。</w:t>
      </w:r>
    </w:p>
    <w:p w14:paraId="23CA1740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</w:rPr>
        <w:t>七）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国有资产占用情况说明</w:t>
      </w:r>
    </w:p>
    <w:p w14:paraId="616AA112">
      <w:pPr>
        <w:spacing w:before="120" w:beforeLines="50" w:after="120" w:afterLines="50" w:line="0" w:lineRule="atLeas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截止</w:t>
      </w:r>
      <w:r>
        <w:rPr>
          <w:rFonts w:hint="eastAsia" w:ascii="宋体" w:hAnsi="宋体"/>
          <w:sz w:val="30"/>
          <w:szCs w:val="30"/>
        </w:rPr>
        <w:t>202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底，</w:t>
      </w:r>
      <w:r>
        <w:rPr>
          <w:rFonts w:hint="eastAsia" w:ascii="宋体" w:hAnsi="宋体"/>
          <w:sz w:val="30"/>
          <w:szCs w:val="30"/>
        </w:rPr>
        <w:t>本部门</w:t>
      </w:r>
      <w:r>
        <w:rPr>
          <w:rFonts w:ascii="宋体" w:hAnsi="宋体"/>
          <w:sz w:val="30"/>
          <w:szCs w:val="30"/>
        </w:rPr>
        <w:t>固定资产总额</w:t>
      </w:r>
      <w:r>
        <w:rPr>
          <w:rFonts w:hint="eastAsia" w:ascii="宋体" w:hAnsi="宋体"/>
          <w:sz w:val="30"/>
          <w:szCs w:val="30"/>
        </w:rPr>
        <w:t>0万元</w:t>
      </w:r>
      <w:r>
        <w:rPr>
          <w:rFonts w:ascii="宋体" w:hAnsi="宋体"/>
          <w:sz w:val="30"/>
          <w:szCs w:val="30"/>
        </w:rPr>
        <w:t>，其中：</w:t>
      </w:r>
      <w:r>
        <w:rPr>
          <w:rFonts w:hint="eastAsia" w:ascii="宋体" w:hAnsi="宋体"/>
          <w:sz w:val="30"/>
          <w:szCs w:val="30"/>
        </w:rPr>
        <w:t>车辆0台</w:t>
      </w:r>
      <w:r>
        <w:rPr>
          <w:rFonts w:ascii="宋体" w:hAnsi="宋体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0万元；单位</w:t>
      </w:r>
      <w:r>
        <w:rPr>
          <w:rFonts w:ascii="宋体" w:hAnsi="宋体"/>
          <w:sz w:val="30"/>
          <w:szCs w:val="30"/>
        </w:rPr>
        <w:t>价值</w:t>
      </w:r>
      <w:r>
        <w:rPr>
          <w:rFonts w:hint="eastAsia" w:ascii="宋体" w:hAnsi="宋体"/>
          <w:sz w:val="30"/>
          <w:szCs w:val="30"/>
        </w:rPr>
        <w:t>50万元以上</w:t>
      </w:r>
      <w:r>
        <w:rPr>
          <w:rFonts w:ascii="宋体" w:hAnsi="宋体"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通用</w:t>
      </w:r>
      <w:r>
        <w:rPr>
          <w:rFonts w:ascii="宋体" w:hAnsi="宋体"/>
          <w:sz w:val="30"/>
          <w:szCs w:val="30"/>
        </w:rPr>
        <w:t>设备</w:t>
      </w:r>
      <w:r>
        <w:rPr>
          <w:rFonts w:hint="eastAsia" w:ascii="宋体" w:hAnsi="宋体"/>
          <w:sz w:val="30"/>
          <w:szCs w:val="30"/>
        </w:rPr>
        <w:t>0台（套）、0万元，单位</w:t>
      </w:r>
      <w:r>
        <w:rPr>
          <w:rFonts w:ascii="宋体" w:hAnsi="宋体"/>
          <w:sz w:val="30"/>
          <w:szCs w:val="30"/>
        </w:rPr>
        <w:t>价值100</w:t>
      </w:r>
      <w:r>
        <w:rPr>
          <w:rFonts w:hint="eastAsia" w:ascii="宋体" w:hAnsi="宋体"/>
          <w:sz w:val="30"/>
          <w:szCs w:val="30"/>
        </w:rPr>
        <w:t>万元以上</w:t>
      </w:r>
      <w:r>
        <w:rPr>
          <w:rFonts w:ascii="宋体" w:hAnsi="宋体"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专用</w:t>
      </w:r>
      <w:r>
        <w:rPr>
          <w:rFonts w:ascii="宋体" w:hAnsi="宋体"/>
          <w:sz w:val="30"/>
          <w:szCs w:val="30"/>
        </w:rPr>
        <w:t>设备</w:t>
      </w:r>
      <w:r>
        <w:rPr>
          <w:rFonts w:hint="eastAsia" w:ascii="宋体" w:hAnsi="宋体"/>
          <w:sz w:val="30"/>
          <w:szCs w:val="30"/>
        </w:rPr>
        <w:t>0台（套）、0万元。</w:t>
      </w:r>
    </w:p>
    <w:p w14:paraId="0F75D51A">
      <w:pPr>
        <w:spacing w:before="120" w:beforeLines="50" w:after="120" w:afterLines="50" w:line="0" w:lineRule="atLeas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部门预算：安排购置车辆0台</w:t>
      </w:r>
      <w:r>
        <w:rPr>
          <w:rFonts w:ascii="宋体" w:hAnsi="宋体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0万元；安排购置单位</w:t>
      </w:r>
      <w:r>
        <w:rPr>
          <w:rFonts w:ascii="宋体" w:hAnsi="宋体"/>
          <w:sz w:val="30"/>
          <w:szCs w:val="30"/>
        </w:rPr>
        <w:t>价值</w:t>
      </w:r>
      <w:r>
        <w:rPr>
          <w:rFonts w:hint="eastAsia" w:ascii="宋体" w:hAnsi="宋体"/>
          <w:sz w:val="30"/>
          <w:szCs w:val="30"/>
        </w:rPr>
        <w:t>50万元以上</w:t>
      </w:r>
      <w:r>
        <w:rPr>
          <w:rFonts w:ascii="宋体" w:hAnsi="宋体"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通用</w:t>
      </w:r>
      <w:r>
        <w:rPr>
          <w:rFonts w:ascii="宋体" w:hAnsi="宋体"/>
          <w:sz w:val="30"/>
          <w:szCs w:val="30"/>
        </w:rPr>
        <w:t>设备</w:t>
      </w:r>
      <w:r>
        <w:rPr>
          <w:rFonts w:hint="eastAsia" w:ascii="宋体" w:hAnsi="宋体"/>
          <w:sz w:val="30"/>
          <w:szCs w:val="30"/>
        </w:rPr>
        <w:t>0台（套）、0万元，安排购置单位</w:t>
      </w:r>
      <w:r>
        <w:rPr>
          <w:rFonts w:ascii="宋体" w:hAnsi="宋体"/>
          <w:sz w:val="30"/>
          <w:szCs w:val="30"/>
        </w:rPr>
        <w:t>价值100</w:t>
      </w:r>
      <w:r>
        <w:rPr>
          <w:rFonts w:hint="eastAsia" w:ascii="宋体" w:hAnsi="宋体"/>
          <w:sz w:val="30"/>
          <w:szCs w:val="30"/>
        </w:rPr>
        <w:t>万元以上</w:t>
      </w:r>
      <w:r>
        <w:rPr>
          <w:rFonts w:ascii="宋体" w:hAnsi="宋体"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专用</w:t>
      </w:r>
      <w:r>
        <w:rPr>
          <w:rFonts w:ascii="宋体" w:hAnsi="宋体"/>
          <w:sz w:val="30"/>
          <w:szCs w:val="30"/>
        </w:rPr>
        <w:t>设备</w:t>
      </w:r>
      <w:r>
        <w:rPr>
          <w:rFonts w:hint="eastAsia" w:ascii="宋体" w:hAnsi="宋体"/>
          <w:sz w:val="30"/>
          <w:szCs w:val="30"/>
        </w:rPr>
        <w:t>0台（套）、0万元。</w:t>
      </w:r>
    </w:p>
    <w:p w14:paraId="6AECC70B">
      <w:pPr>
        <w:spacing w:before="120" w:beforeLines="50" w:after="120" w:afterLines="50" w:line="0" w:lineRule="atLeas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截止202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年12月31日集团公司占有国有资产</w:t>
      </w:r>
      <w:r>
        <w:rPr>
          <w:rFonts w:hint="eastAsia" w:ascii="宋体" w:hAnsi="宋体"/>
          <w:sz w:val="30"/>
          <w:szCs w:val="30"/>
          <w:lang w:val="en-US" w:eastAsia="zh-CN"/>
        </w:rPr>
        <w:t>47.87</w:t>
      </w:r>
      <w:r>
        <w:rPr>
          <w:rFonts w:hint="eastAsia" w:ascii="宋体" w:hAnsi="宋体"/>
          <w:sz w:val="30"/>
          <w:szCs w:val="30"/>
        </w:rPr>
        <w:t>亿元。</w:t>
      </w:r>
    </w:p>
    <w:p w14:paraId="6C81B110">
      <w:pPr>
        <w:spacing w:line="360" w:lineRule="auto"/>
        <w:ind w:firstLine="555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六、名词解释</w:t>
      </w:r>
    </w:p>
    <w:p w14:paraId="4D4F6589"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散房后期管理费用：政府用于定向安置被征收户的房源在已经交付后、没有对接前，需要承担的物业供暖等费用。</w:t>
      </w:r>
    </w:p>
    <w:p w14:paraId="258A837A">
      <w:pPr>
        <w:jc w:val="center"/>
        <w:rPr>
          <w:rFonts w:ascii="楷体_GB2312" w:hAnsi="宋体" w:eastAsia="楷体_GB2312"/>
          <w:b/>
          <w:sz w:val="36"/>
          <w:szCs w:val="32"/>
        </w:rPr>
      </w:pPr>
    </w:p>
    <w:p w14:paraId="42FC76F8">
      <w:pPr>
        <w:jc w:val="center"/>
        <w:rPr>
          <w:rFonts w:ascii="楷体_GB2312" w:hAnsi="宋体" w:eastAsia="楷体_GB2312"/>
          <w:b/>
          <w:sz w:val="36"/>
          <w:szCs w:val="32"/>
        </w:rPr>
      </w:pPr>
    </w:p>
    <w:p w14:paraId="0E1171AA">
      <w:pPr>
        <w:jc w:val="center"/>
        <w:rPr>
          <w:rFonts w:ascii="楷体_GB2312" w:hAnsi="宋体" w:eastAsia="楷体_GB2312"/>
          <w:b/>
          <w:sz w:val="36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FE"/>
    <w:rsid w:val="000942FE"/>
    <w:rsid w:val="000D4F06"/>
    <w:rsid w:val="00147469"/>
    <w:rsid w:val="001B558A"/>
    <w:rsid w:val="00207874"/>
    <w:rsid w:val="002C4B49"/>
    <w:rsid w:val="004B44E7"/>
    <w:rsid w:val="00507BED"/>
    <w:rsid w:val="00596537"/>
    <w:rsid w:val="00683F0B"/>
    <w:rsid w:val="00961998"/>
    <w:rsid w:val="00AC4D12"/>
    <w:rsid w:val="00B42598"/>
    <w:rsid w:val="00B518FA"/>
    <w:rsid w:val="00BE5DFD"/>
    <w:rsid w:val="00E07E4C"/>
    <w:rsid w:val="00FE63B5"/>
    <w:rsid w:val="0E363A8E"/>
    <w:rsid w:val="112F3EDB"/>
    <w:rsid w:val="18D12439"/>
    <w:rsid w:val="196A39FA"/>
    <w:rsid w:val="1E491BD9"/>
    <w:rsid w:val="20191280"/>
    <w:rsid w:val="24870CA0"/>
    <w:rsid w:val="399E0B72"/>
    <w:rsid w:val="3B136115"/>
    <w:rsid w:val="536A04BB"/>
    <w:rsid w:val="5CAA5D16"/>
    <w:rsid w:val="5E0B306D"/>
    <w:rsid w:val="5FAE255F"/>
    <w:rsid w:val="6D772B49"/>
    <w:rsid w:val="777A35F3"/>
    <w:rsid w:val="7B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WW-表格内容11111111"/>
    <w:basedOn w:val="1"/>
    <w:qFormat/>
    <w:uiPriority w:val="0"/>
    <w:pPr>
      <w:suppressLineNumbers/>
      <w:suppressAutoHyphens/>
    </w:pPr>
  </w:style>
  <w:style w:type="paragraph" w:customStyle="1" w:styleId="16">
    <w:name w:val="WW-表格标题11111111"/>
    <w:basedOn w:val="15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1402</Words>
  <Characters>1537</Characters>
  <Lines>10</Lines>
  <Paragraphs>3</Paragraphs>
  <TotalTime>1</TotalTime>
  <ScaleCrop>false</ScaleCrop>
  <LinksUpToDate>false</LinksUpToDate>
  <CharactersWithSpaces>1539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2022-01-19T08:40:00Z</dcterms:created>
  <dc:creator>杜贺</dc:creator>
  <cp:lastModifiedBy>李峡</cp:lastModifiedBy>
  <dcterms:modified xsi:type="dcterms:W3CDTF">2024-12-25T09:28:00Z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C5FD9C4CC36646C78610023940DE1AD3_12</vt:lpwstr>
  </property>
</Properties>
</file>