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C1D05">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北京市</w:t>
      </w:r>
      <w:r>
        <w:rPr>
          <w:rFonts w:hint="eastAsia" w:ascii="方正小标宋简体" w:hAnsi="宋体" w:eastAsia="方正小标宋简体"/>
          <w:sz w:val="44"/>
          <w:szCs w:val="44"/>
          <w:highlight w:val="none"/>
          <w:lang w:eastAsia="zh-CN"/>
        </w:rPr>
        <w:t>西城区</w:t>
      </w:r>
      <w:r>
        <w:rPr>
          <w:rFonts w:hint="eastAsia" w:ascii="方正小标宋简体" w:hAnsi="宋体" w:eastAsia="方正小标宋简体"/>
          <w:sz w:val="44"/>
          <w:szCs w:val="44"/>
          <w:highlight w:val="none"/>
        </w:rPr>
        <w:t>医疗保障局</w:t>
      </w:r>
    </w:p>
    <w:p w14:paraId="24D0F435">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202</w:t>
      </w:r>
      <w:r>
        <w:rPr>
          <w:rFonts w:hint="eastAsia" w:ascii="方正小标宋简体" w:hAnsi="宋体" w:eastAsia="方正小标宋简体"/>
          <w:sz w:val="44"/>
          <w:szCs w:val="44"/>
          <w:highlight w:val="none"/>
          <w:lang w:val="en-US" w:eastAsia="zh-CN"/>
        </w:rPr>
        <w:t>4</w:t>
      </w:r>
      <w:r>
        <w:rPr>
          <w:rFonts w:hint="eastAsia" w:ascii="方正小标宋简体" w:hAnsi="宋体" w:eastAsia="方正小标宋简体"/>
          <w:sz w:val="44"/>
          <w:szCs w:val="44"/>
          <w:highlight w:val="none"/>
        </w:rPr>
        <w:t>年法治政府建设年度情况报告</w:t>
      </w:r>
    </w:p>
    <w:p w14:paraId="0BC1CF52">
      <w:pPr>
        <w:pStyle w:val="3"/>
        <w:rPr>
          <w:rFonts w:hint="eastAsia"/>
        </w:rPr>
      </w:pPr>
      <w:bookmarkStart w:id="16" w:name="_GoBack"/>
      <w:bookmarkEnd w:id="16"/>
    </w:p>
    <w:p w14:paraId="3214685A">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2024年，</w:t>
      </w:r>
      <w:r>
        <w:rPr>
          <w:rFonts w:hint="eastAsia" w:ascii="仿宋_GB2312" w:eastAsia="仿宋_GB2312" w:cs="仿宋_GB2312"/>
          <w:sz w:val="32"/>
          <w:szCs w:val="32"/>
          <w:highlight w:val="none"/>
          <w:lang w:eastAsia="zh-CN"/>
        </w:rPr>
        <w:t>西城区医疗保障局</w:t>
      </w:r>
      <w:r>
        <w:rPr>
          <w:rFonts w:hint="eastAsia" w:ascii="仿宋_GB2312" w:eastAsia="仿宋_GB2312" w:cs="仿宋_GB2312"/>
          <w:sz w:val="32"/>
          <w:szCs w:val="32"/>
          <w:highlight w:val="none"/>
        </w:rPr>
        <w:t>坚持以习近平新时代中国特色社会主义思想为指导，</w:t>
      </w:r>
      <w:r>
        <w:rPr>
          <w:rFonts w:hint="eastAsia" w:ascii="仿宋_GB2312" w:hAnsi="仿宋_GB2312" w:eastAsia="仿宋_GB2312" w:cs="仿宋_GB2312"/>
          <w:color w:val="000000"/>
          <w:sz w:val="32"/>
          <w:szCs w:val="32"/>
          <w:highlight w:val="none"/>
        </w:rPr>
        <w:t>全面贯彻党的二十大和二十届</w:t>
      </w:r>
      <w:r>
        <w:rPr>
          <w:rFonts w:hint="eastAsia" w:ascii="仿宋_GB2312" w:hAnsi="仿宋_GB2312" w:eastAsia="仿宋_GB2312" w:cs="仿宋_GB2312"/>
          <w:color w:val="000000"/>
          <w:sz w:val="32"/>
          <w:szCs w:val="32"/>
          <w:highlight w:val="none"/>
          <w:lang w:val="en-US" w:eastAsia="zh-CN"/>
        </w:rPr>
        <w:t>二中、</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中全会精神</w:t>
      </w:r>
      <w:r>
        <w:rPr>
          <w:rFonts w:hint="eastAsia" w:ascii="仿宋_GB2312" w:eastAsia="仿宋_GB2312" w:cs="仿宋_GB2312"/>
          <w:sz w:val="32"/>
          <w:szCs w:val="32"/>
          <w:highlight w:val="none"/>
        </w:rPr>
        <w:t>，贯彻落实市、区</w:t>
      </w:r>
      <w:r>
        <w:rPr>
          <w:rFonts w:hint="eastAsia" w:ascii="仿宋_GB2312" w:hAnsi="仿宋_GB2312" w:eastAsia="仿宋_GB2312" w:cs="仿宋_GB2312"/>
          <w:color w:val="000000"/>
          <w:sz w:val="32"/>
          <w:szCs w:val="32"/>
          <w:highlight w:val="none"/>
        </w:rPr>
        <w:t>关于法治政府建设的各项决策部署</w:t>
      </w:r>
      <w:r>
        <w:rPr>
          <w:rFonts w:hint="eastAsia" w:ascii="仿宋_GB2312" w:eastAsia="仿宋_GB2312" w:cs="仿宋_GB2312"/>
          <w:sz w:val="32"/>
          <w:szCs w:val="32"/>
          <w:highlight w:val="none"/>
        </w:rPr>
        <w:t>，按照法治政府建设工作要求，紧跟高质量发展、“百千万工程”主旋律，推动各项工作“提劲、提质、提效”。现将区医保局2024年法治政府建设的工作情况报告如下：</w:t>
      </w:r>
    </w:p>
    <w:p w14:paraId="02549BAC">
      <w:pPr>
        <w:pStyle w:val="6"/>
        <w:keepNext w:val="0"/>
        <w:keepLines w:val="0"/>
        <w:pageBreakBefore w:val="0"/>
        <w:kinsoku/>
        <w:wordWrap/>
        <w:overflowPunct/>
        <w:topLinePunct w:val="0"/>
        <w:autoSpaceDE/>
        <w:autoSpaceDN/>
        <w:bidi w:val="0"/>
        <w:adjustRightInd/>
        <w:spacing w:line="560" w:lineRule="exact"/>
        <w:ind w:firstLine="640"/>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一、2024年度推进法治政府建设的主要举措和成效</w:t>
      </w:r>
    </w:p>
    <w:p w14:paraId="2C0E083A">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仿宋_GB2312"/>
          <w:sz w:val="32"/>
          <w:szCs w:val="32"/>
          <w:highlight w:val="none"/>
        </w:rPr>
      </w:pPr>
      <w:r>
        <w:rPr>
          <w:rFonts w:hint="eastAsia" w:ascii="楷体_GB2312" w:hAnsi="仿宋" w:eastAsia="楷体_GB2312" w:cs="楷体_GB2312"/>
          <w:bCs/>
          <w:sz w:val="32"/>
          <w:szCs w:val="32"/>
          <w:highlight w:val="none"/>
        </w:rPr>
        <w:t>（一）深入学习贯彻党的二十大精神和习近平法治思想</w:t>
      </w:r>
    </w:p>
    <w:p w14:paraId="2155E49C">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eastAsia="仿宋_GB2312" w:cs="仿宋_GB2312"/>
          <w:sz w:val="32"/>
          <w:szCs w:val="32"/>
          <w:highlight w:val="none"/>
        </w:rPr>
      </w:pPr>
      <w:r>
        <w:rPr>
          <w:rFonts w:hint="eastAsia" w:ascii="仿宋_GB2312" w:eastAsia="仿宋_GB2312" w:cs="仿宋_GB2312"/>
          <w:b/>
          <w:bCs/>
          <w:sz w:val="32"/>
          <w:szCs w:val="32"/>
          <w:highlight w:val="none"/>
        </w:rPr>
        <w:t>一是抓好党的二十大精神和习近平法治思想学习常态化。</w:t>
      </w:r>
      <w:r>
        <w:rPr>
          <w:rFonts w:hint="eastAsia" w:ascii="仿宋_GB2312" w:eastAsia="仿宋_GB2312" w:cs="仿宋_GB2312"/>
          <w:sz w:val="32"/>
          <w:szCs w:val="32"/>
          <w:highlight w:val="none"/>
        </w:rPr>
        <w:t>把学习习近平总书记重要讲话和重要指示批示精神列入局长办公会会前学习的重要学习内容，将会前学习范围扩大到全局正科以上领导干部</w:t>
      </w:r>
      <w:r>
        <w:rPr>
          <w:rFonts w:hint="eastAsia" w:ascii="仿宋_GB2312" w:hAnsi="仿宋_GB2312" w:eastAsia="仿宋_GB2312" w:cs="仿宋_GB2312"/>
          <w:color w:val="000000"/>
          <w:sz w:val="32"/>
          <w:szCs w:val="32"/>
          <w:highlight w:val="none"/>
          <w:lang w:eastAsia="zh-CN" w:bidi="ar"/>
        </w:rPr>
        <w:t>，</w:t>
      </w:r>
      <w:r>
        <w:rPr>
          <w:rFonts w:hint="eastAsia" w:ascii="仿宋_GB2312" w:eastAsia="仿宋_GB2312" w:cs="仿宋_GB2312"/>
          <w:sz w:val="32"/>
          <w:szCs w:val="32"/>
          <w:highlight w:val="none"/>
        </w:rPr>
        <w:t>通过“三会一课”、主题党日活动和自主学习等方式，引导全体干部职工学深悟透习近平法治思想，提高全体干部职工依法行政的能力。</w:t>
      </w:r>
    </w:p>
    <w:p w14:paraId="2B23C50A">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eastAsia="仿宋_GB2312" w:cs="仿宋_GB2312"/>
          <w:sz w:val="32"/>
          <w:szCs w:val="32"/>
          <w:highlight w:val="none"/>
        </w:rPr>
      </w:pPr>
      <w:r>
        <w:rPr>
          <w:rFonts w:hint="eastAsia" w:ascii="仿宋_GB2312" w:eastAsia="仿宋_GB2312" w:cs="仿宋_GB2312"/>
          <w:b/>
          <w:bCs/>
          <w:sz w:val="32"/>
          <w:szCs w:val="32"/>
          <w:highlight w:val="none"/>
        </w:rPr>
        <w:t>二是</w:t>
      </w:r>
      <w:r>
        <w:rPr>
          <w:rFonts w:hint="eastAsia" w:ascii="仿宋_GB2312" w:hAnsi="仿宋_GB2312" w:eastAsia="仿宋_GB2312" w:cs="仿宋_GB2312"/>
          <w:b/>
          <w:color w:val="000000"/>
          <w:sz w:val="32"/>
          <w:szCs w:val="32"/>
          <w:highlight w:val="none"/>
        </w:rPr>
        <w:t>以二十大精神和习近平法治思想为指导，全面提升依法行政工作质效。</w:t>
      </w:r>
      <w:r>
        <w:rPr>
          <w:rFonts w:hint="eastAsia" w:ascii="仿宋_GB2312" w:hAnsi="仿宋_GB2312" w:eastAsia="仿宋_GB2312" w:cs="仿宋_GB2312"/>
          <w:color w:val="000000"/>
          <w:sz w:val="32"/>
          <w:szCs w:val="32"/>
          <w:highlight w:val="none"/>
        </w:rPr>
        <w:t>坚持抓住领导干部这个“关键少数”，把法治素养和依法履职情况纳入考核评价领导干部的重要内容，坚持在作出重大行政决策前开展专题学法，把党的二十大精神和习近平法治思想贯彻落实到扎实推进依法行政、全面建设法治政府的全过程和各方面</w:t>
      </w:r>
      <w:r>
        <w:rPr>
          <w:rFonts w:hint="eastAsia" w:ascii="仿宋_GB2312" w:hAnsi="仿宋_GB2312" w:eastAsia="仿宋_GB2312" w:cs="仿宋_GB2312"/>
          <w:color w:val="000000"/>
          <w:sz w:val="32"/>
          <w:szCs w:val="32"/>
          <w:highlight w:val="none"/>
        </w:rPr>
        <w:t>。</w:t>
      </w:r>
    </w:p>
    <w:p w14:paraId="6516121D">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eastAsia="仿宋_GB2312" w:cs="仿宋_GB2312"/>
          <w:sz w:val="32"/>
          <w:szCs w:val="32"/>
          <w:highlight w:val="none"/>
        </w:rPr>
      </w:pPr>
      <w:r>
        <w:rPr>
          <w:rFonts w:hint="eastAsia" w:ascii="仿宋_GB2312" w:eastAsia="仿宋_GB2312" w:cs="仿宋_GB2312"/>
          <w:b/>
          <w:bCs/>
          <w:sz w:val="32"/>
          <w:szCs w:val="32"/>
          <w:highlight w:val="none"/>
        </w:rPr>
        <w:t>三是把医保法治建设摆在医保工作全局的重要位置。</w:t>
      </w:r>
      <w:r>
        <w:rPr>
          <w:rFonts w:hint="eastAsia" w:ascii="仿宋_GB2312" w:eastAsia="仿宋_GB2312" w:cs="仿宋_GB2312"/>
          <w:sz w:val="32"/>
          <w:szCs w:val="32"/>
          <w:highlight w:val="none"/>
        </w:rPr>
        <w:t>将法治政府建设纳入年度工作要点，按季度制定工作计划，督查督办落实情况。</w:t>
      </w:r>
      <w:r>
        <w:rPr>
          <w:rFonts w:hint="eastAsia" w:ascii="仿宋_GB2312" w:hAnsi="仿宋_GB2312" w:eastAsia="仿宋_GB2312" w:cs="仿宋_GB2312"/>
          <w:sz w:val="32"/>
          <w:szCs w:val="32"/>
          <w:highlight w:val="none"/>
        </w:rPr>
        <w:t>坚持民主集中制，党组会定期研究审议“三重一大”事项，将落实党内法规制度执行情况纳入重要议事日程。</w:t>
      </w:r>
    </w:p>
    <w:p w14:paraId="64213810">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eastAsia="仿宋_GB2312" w:cs="仿宋_GB2312"/>
          <w:sz w:val="32"/>
          <w:szCs w:val="32"/>
          <w:highlight w:val="none"/>
        </w:rPr>
      </w:pPr>
      <w:r>
        <w:rPr>
          <w:rFonts w:hint="eastAsia" w:ascii="楷体_GB2312" w:hAnsi="仿宋" w:eastAsia="楷体_GB2312" w:cs="楷体_GB2312"/>
          <w:bCs/>
          <w:sz w:val="32"/>
          <w:szCs w:val="32"/>
          <w:highlight w:val="none"/>
        </w:rPr>
        <w:t>（二）强化党建引领，抓实党建工作责任</w:t>
      </w:r>
    </w:p>
    <w:p w14:paraId="4D814ED0">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一是落实巡察反馈问题整改。</w:t>
      </w:r>
      <w:r>
        <w:rPr>
          <w:rFonts w:hint="eastAsia" w:ascii="仿宋_GB2312" w:hAnsi="仿宋_GB2312" w:eastAsia="仿宋_GB2312" w:cs="仿宋_GB2312"/>
          <w:sz w:val="32"/>
          <w:szCs w:val="32"/>
          <w:highlight w:val="none"/>
        </w:rPr>
        <w:t>成立局党组落实巡察反馈意见整改领导小组，坚持把巡察整改作为重要政治任务抓紧抓实抓好，与推进当前工作紧密结合起来，定期听取整改情况汇报，专题研究重点问题，深入医疗机构、药店、兄弟区县医保部门开展调研，巡察反馈的10个方面、27个问题，已全部整改完成。</w:t>
      </w:r>
    </w:p>
    <w:p w14:paraId="5B10A62F">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二是不断完善制度建设。</w:t>
      </w:r>
      <w:r>
        <w:rPr>
          <w:rFonts w:hint="eastAsia" w:ascii="仿宋_GB2312" w:hAnsi="仿宋_GB2312" w:eastAsia="仿宋_GB2312" w:cs="仿宋_GB2312"/>
          <w:sz w:val="32"/>
          <w:szCs w:val="32"/>
          <w:highlight w:val="none"/>
        </w:rPr>
        <w:t>将全局各类制度、方案、实施办法等内部管理文件梳理归总形成议事决策类、党务管理类、行政管理类、人事管理类、内控财务类共计五类</w:t>
      </w:r>
      <w:r>
        <w:rPr>
          <w:rFonts w:hint="eastAsia" w:ascii="仿宋_GB2312" w:hAnsi="Times New Roman" w:eastAsia="仿宋_GB2312" w:cs="Times New Roman"/>
          <w:sz w:val="32"/>
          <w:szCs w:val="32"/>
          <w:highlight w:val="none"/>
        </w:rPr>
        <w:t>分类</w:t>
      </w:r>
      <w:r>
        <w:rPr>
          <w:rFonts w:hint="eastAsia" w:ascii="仿宋_GB2312" w:hAnsi="仿宋_GB2312" w:eastAsia="仿宋_GB2312" w:cs="仿宋_GB2312"/>
          <w:sz w:val="32"/>
          <w:szCs w:val="32"/>
          <w:highlight w:val="none"/>
        </w:rPr>
        <w:t>方法，搭建包括5方面40余项制度在内的框架体系，新增完善规章制度10项，规范工作流程4项，形成长效机制28项。</w:t>
      </w:r>
    </w:p>
    <w:p w14:paraId="3F0C1170">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eastAsia="仿宋_GB2312"/>
          <w:sz w:val="32"/>
          <w:szCs w:val="32"/>
          <w:highlight w:val="none"/>
        </w:rPr>
      </w:pPr>
      <w:r>
        <w:rPr>
          <w:rFonts w:hint="eastAsia" w:ascii="仿宋_GB2312" w:hAnsi="仿宋_GB2312" w:eastAsia="仿宋_GB2312" w:cs="仿宋_GB2312"/>
          <w:b/>
          <w:sz w:val="32"/>
          <w:szCs w:val="32"/>
          <w:highlight w:val="none"/>
        </w:rPr>
        <w:t>三是落实全面从严治党主体责任严格执行党内法规。</w:t>
      </w:r>
      <w:r>
        <w:rPr>
          <w:rFonts w:hint="eastAsia" w:ascii="仿宋_GB2312" w:hAnsi="仿宋_GB2312" w:eastAsia="仿宋_GB2312" w:cs="仿宋_GB2312"/>
          <w:bCs/>
          <w:sz w:val="32"/>
          <w:szCs w:val="32"/>
          <w:highlight w:val="none"/>
        </w:rPr>
        <w:t>科</w:t>
      </w:r>
      <w:r>
        <w:rPr>
          <w:rFonts w:hint="eastAsia" w:ascii="仿宋_GB2312" w:hAnsi="仿宋_GB2312" w:eastAsia="仿宋_GB2312" w:cs="仿宋_GB2312"/>
          <w:sz w:val="32"/>
          <w:szCs w:val="32"/>
          <w:highlight w:val="none"/>
        </w:rPr>
        <w:t>室负责人签订《落实全面从严治党主体责任清单》，其他工作人员签订《廉洁自律承诺书》。完善《进一步加强作风建设的规定》、《区医保局工作人员“六项准则”》等制度规定，明确“八小时内外”行为规范，约束干部行为。强化日常教育、廉洁提醒，</w:t>
      </w:r>
      <w:r>
        <w:rPr>
          <w:rFonts w:hint="eastAsia" w:ascii="仿宋_GB2312" w:eastAsia="仿宋_GB2312"/>
          <w:sz w:val="32"/>
          <w:szCs w:val="32"/>
          <w:highlight w:val="none"/>
        </w:rPr>
        <w:t>时刻保持医保事业发展定力、活力和耐力。</w:t>
      </w:r>
    </w:p>
    <w:p w14:paraId="0189AC45">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highlight w:val="none"/>
        </w:rPr>
      </w:pPr>
      <w:r>
        <w:rPr>
          <w:rFonts w:hint="eastAsia" w:ascii="仿宋_GB2312" w:hAnsi="仿宋_GB2312" w:eastAsia="仿宋_GB2312" w:cs="仿宋_GB2312"/>
          <w:b/>
          <w:sz w:val="32"/>
          <w:szCs w:val="32"/>
          <w:highlight w:val="none"/>
        </w:rPr>
        <w:t>四是做实做细廉政风险防控。</w:t>
      </w:r>
      <w:r>
        <w:rPr>
          <w:rFonts w:hint="eastAsia" w:ascii="仿宋_GB2312" w:hAnsi="仿宋_GB2312" w:eastAsia="仿宋_GB2312" w:cs="仿宋_GB2312"/>
          <w:sz w:val="32"/>
          <w:szCs w:val="32"/>
          <w:highlight w:val="none"/>
        </w:rPr>
        <w:t>严格落实中央八项规定精神，召开警示教育大会，召开廉政风险防控分析会，强化谈心谈话，</w:t>
      </w:r>
      <w:r>
        <w:rPr>
          <w:rFonts w:hint="eastAsia" w:ascii="仿宋_GB2312" w:hAnsi="仿宋_GB2312" w:eastAsia="仿宋_GB2312" w:cs="仿宋_GB2312"/>
          <w:kern w:val="0"/>
          <w:sz w:val="32"/>
          <w:szCs w:val="32"/>
          <w:highlight w:val="none"/>
        </w:rPr>
        <w:t>对管理人、财、物的专职人员围绕工作纪律、廉政风险点和日常检查中发现的问题进行廉政谈话。</w:t>
      </w:r>
      <w:r>
        <w:rPr>
          <w:rFonts w:hint="eastAsia" w:ascii="仿宋_GB2312" w:hAnsi="仿宋_GB2312" w:eastAsia="仿宋_GB2312" w:cs="仿宋_GB2312"/>
          <w:sz w:val="32"/>
          <w:szCs w:val="32"/>
          <w:highlight w:val="none"/>
        </w:rPr>
        <w:t>支持纪检监察机关履行监督责任，一体推进不敢腐、不想腐、不能腐。</w:t>
      </w:r>
    </w:p>
    <w:p w14:paraId="00965F3D">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eastAsia="仿宋_GB2312" w:cs="仿宋_GB2312"/>
          <w:sz w:val="32"/>
          <w:szCs w:val="32"/>
          <w:highlight w:val="none"/>
        </w:rPr>
      </w:pPr>
      <w:r>
        <w:rPr>
          <w:rFonts w:hint="eastAsia" w:ascii="楷体_GB2312" w:hAnsi="仿宋" w:eastAsia="楷体_GB2312" w:cs="楷体_GB2312"/>
          <w:bCs/>
          <w:sz w:val="32"/>
          <w:szCs w:val="32"/>
          <w:highlight w:val="none"/>
        </w:rPr>
        <w:t>（三</w:t>
      </w:r>
      <w:r>
        <w:rPr>
          <w:rFonts w:hint="eastAsia" w:ascii="楷体_GB2312" w:hAnsi="仿宋" w:eastAsia="楷体_GB2312" w:cs="楷体_GB2312"/>
          <w:bCs/>
          <w:sz w:val="32"/>
          <w:szCs w:val="32"/>
          <w:highlight w:val="none"/>
          <w:lang w:eastAsia="zh-CN"/>
        </w:rPr>
        <w:t>）</w:t>
      </w:r>
      <w:r>
        <w:rPr>
          <w:rFonts w:hint="eastAsia" w:ascii="楷体_GB2312" w:hAnsi="仿宋" w:eastAsia="楷体_GB2312" w:cs="楷体_GB2312"/>
          <w:bCs/>
          <w:sz w:val="32"/>
          <w:szCs w:val="32"/>
          <w:highlight w:val="none"/>
        </w:rPr>
        <w:t>加强行政权力规范运行提升服务水平</w:t>
      </w:r>
    </w:p>
    <w:p w14:paraId="0D473549">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仿宋" w:eastAsia="仿宋_GB2312" w:cs="仿宋"/>
          <w:sz w:val="32"/>
          <w:szCs w:val="32"/>
          <w:highlight w:val="none"/>
        </w:rPr>
      </w:pPr>
      <w:r>
        <w:rPr>
          <w:rFonts w:hint="eastAsia" w:ascii="仿宋_GB2312" w:hAnsi="宋体" w:eastAsia="仿宋_GB2312"/>
          <w:b/>
          <w:sz w:val="32"/>
          <w:szCs w:val="32"/>
          <w:highlight w:val="none"/>
        </w:rPr>
        <w:t>一是落实党政主要负责人履行法治建设第一责任人职责。</w:t>
      </w:r>
      <w:r>
        <w:rPr>
          <w:rFonts w:hint="eastAsia" w:ascii="仿宋_GB2312" w:hAnsi="仿宋" w:eastAsia="仿宋_GB2312" w:cs="仿宋"/>
          <w:sz w:val="32"/>
          <w:szCs w:val="32"/>
          <w:highlight w:val="none"/>
        </w:rPr>
        <w:t>将法治政府机制建设工作放在首位，坚决坚持党的全面</w:t>
      </w:r>
      <w:r>
        <w:rPr>
          <w:rFonts w:hint="eastAsia" w:ascii="仿宋_GB2312" w:hAnsi="Times New Roman" w:eastAsia="仿宋_GB2312" w:cs="Times New Roman"/>
          <w:sz w:val="32"/>
          <w:szCs w:val="32"/>
          <w:highlight w:val="none"/>
        </w:rPr>
        <w:t>领导</w:t>
      </w:r>
      <w:r>
        <w:rPr>
          <w:rFonts w:hint="eastAsia" w:ascii="仿宋_GB2312" w:hAnsi="仿宋" w:eastAsia="仿宋_GB2312" w:cs="仿宋"/>
          <w:sz w:val="32"/>
          <w:szCs w:val="32"/>
          <w:highlight w:val="none"/>
        </w:rPr>
        <w:t>，深入学习贯彻习近平法治思想，聚焦推进全面依法治区的重大理论和实践问题，坚持提高依法行政能力与推进医疗保障事业科学发展相适应，推进依法行政建设。</w:t>
      </w:r>
    </w:p>
    <w:p w14:paraId="34CF68A9">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hint="eastAsia" w:ascii="仿宋_GB2312" w:hAnsi="宋体" w:eastAsia="仿宋_GB2312"/>
          <w:sz w:val="32"/>
          <w:szCs w:val="32"/>
          <w:highlight w:val="none"/>
          <w:lang w:eastAsia="zh-CN"/>
        </w:rPr>
      </w:pPr>
      <w:r>
        <w:rPr>
          <w:rFonts w:hint="eastAsia" w:ascii="仿宋_GB2312" w:hAnsi="仿宋" w:eastAsia="仿宋_GB2312" w:cs="仿宋"/>
          <w:b/>
          <w:bCs/>
          <w:sz w:val="32"/>
          <w:szCs w:val="32"/>
          <w:highlight w:val="none"/>
        </w:rPr>
        <w:t>二是</w:t>
      </w:r>
      <w:r>
        <w:rPr>
          <w:rFonts w:hint="eastAsia" w:ascii="仿宋_GB2312" w:hAnsi="宋体" w:eastAsia="仿宋_GB2312"/>
          <w:b/>
          <w:sz w:val="32"/>
          <w:szCs w:val="32"/>
          <w:highlight w:val="none"/>
        </w:rPr>
        <w:t>开展法治教育培训。</w:t>
      </w:r>
      <w:r>
        <w:rPr>
          <w:rFonts w:hint="eastAsia" w:ascii="仿宋_GB2312" w:hAnsi="宋体" w:eastAsia="仿宋_GB2312"/>
          <w:sz w:val="32"/>
          <w:szCs w:val="32"/>
          <w:highlight w:val="none"/>
        </w:rPr>
        <w:t>培养全局党员干部的法治意识和法治精神，开展会前学法、法律知识讲座等，深入学习贯彻习近平法治思想，</w:t>
      </w:r>
      <w:r>
        <w:rPr>
          <w:rFonts w:hint="eastAsia" w:ascii="仿宋_GB2312" w:eastAsia="仿宋_GB2312" w:cs="仿宋_GB2312"/>
          <w:sz w:val="32"/>
          <w:szCs w:val="32"/>
          <w:highlight w:val="none"/>
        </w:rPr>
        <w:t>每季度邀请法律顾问开展专题法治讲座</w:t>
      </w:r>
      <w:r>
        <w:rPr>
          <w:rFonts w:hint="eastAsia" w:ascii="仿宋_GB2312" w:eastAsia="仿宋_GB2312" w:cs="仿宋_GB2312"/>
          <w:sz w:val="32"/>
          <w:szCs w:val="32"/>
          <w:highlight w:val="none"/>
          <w:lang w:eastAsia="zh-CN"/>
        </w:rPr>
        <w:t>，</w:t>
      </w:r>
      <w:r>
        <w:rPr>
          <w:rFonts w:hint="eastAsia" w:ascii="仿宋_GB2312" w:hAnsi="宋体" w:eastAsia="仿宋_GB2312"/>
          <w:sz w:val="32"/>
          <w:szCs w:val="32"/>
          <w:highlight w:val="none"/>
        </w:rPr>
        <w:t>增强法治意识素养，提高依法履职能力，形成知法、守法、用法、信法的良好氛围。</w:t>
      </w:r>
    </w:p>
    <w:p w14:paraId="565712A9">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宋体" w:eastAsia="仿宋_GB2312"/>
          <w:sz w:val="32"/>
          <w:szCs w:val="32"/>
          <w:highlight w:val="none"/>
        </w:rPr>
      </w:pPr>
      <w:r>
        <w:rPr>
          <w:rFonts w:hint="eastAsia" w:ascii="仿宋_GB2312" w:hAnsi="宋体" w:eastAsia="仿宋_GB2312"/>
          <w:b/>
          <w:sz w:val="32"/>
          <w:szCs w:val="32"/>
          <w:highlight w:val="none"/>
        </w:rPr>
        <w:t>三是做好政策文件合法性审核。</w:t>
      </w:r>
      <w:r>
        <w:rPr>
          <w:rFonts w:hint="eastAsia" w:ascii="仿宋_GB2312" w:hAnsi="宋体" w:eastAsia="仿宋_GB2312"/>
          <w:sz w:val="32"/>
          <w:szCs w:val="32"/>
          <w:highlight w:val="none"/>
        </w:rPr>
        <w:t>聘请法律顾问协助做好审查工作，共审核全局各类决策事项、重要文件、合同等40余件次，出具合法性审核意见书70余份，参与全局决策咨询论证5次</w:t>
      </w:r>
      <w:r>
        <w:rPr>
          <w:rFonts w:hint="eastAsia" w:ascii="仿宋_GB2312" w:hAnsi="宋体" w:eastAsia="仿宋_GB2312"/>
          <w:sz w:val="32"/>
          <w:szCs w:val="32"/>
          <w:highlight w:val="none"/>
        </w:rPr>
        <w:t>。</w:t>
      </w:r>
    </w:p>
    <w:p w14:paraId="41C129F0">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宋体" w:eastAsia="仿宋_GB2312"/>
          <w:sz w:val="32"/>
          <w:szCs w:val="32"/>
          <w:highlight w:val="none"/>
        </w:rPr>
      </w:pPr>
      <w:r>
        <w:rPr>
          <w:rFonts w:hint="eastAsia" w:ascii="仿宋_GB2312" w:hAnsi="宋体" w:eastAsia="仿宋_GB2312"/>
          <w:b/>
          <w:sz w:val="32"/>
          <w:szCs w:val="32"/>
          <w:highlight w:val="none"/>
        </w:rPr>
        <w:t>四是稳步推进信访复议应诉工作。</w:t>
      </w:r>
      <w:r>
        <w:rPr>
          <w:rFonts w:hint="eastAsia" w:ascii="仿宋_GB2312" w:hAnsi="宋体" w:eastAsia="仿宋_GB2312"/>
          <w:sz w:val="32"/>
          <w:szCs w:val="32"/>
          <w:highlight w:val="none"/>
        </w:rPr>
        <w:t>全面梳理工作流程，针对信访、行政复议、行政诉讼工作细化法治程序标准，制定并完善工作</w:t>
      </w:r>
      <w:r>
        <w:rPr>
          <w:rFonts w:hint="eastAsia" w:ascii="仿宋_GB2312" w:hAnsi="Times New Roman" w:eastAsia="仿宋_GB2312" w:cs="Times New Roman"/>
          <w:sz w:val="32"/>
          <w:szCs w:val="32"/>
          <w:highlight w:val="none"/>
        </w:rPr>
        <w:t>办法</w:t>
      </w:r>
      <w:r>
        <w:rPr>
          <w:rFonts w:hint="eastAsia" w:ascii="仿宋_GB2312" w:hAnsi="宋体" w:eastAsia="仿宋_GB2312"/>
          <w:sz w:val="32"/>
          <w:szCs w:val="32"/>
          <w:highlight w:val="none"/>
        </w:rPr>
        <w:t>。落实负责人出庭工作要求，开展“以庭代训”法治见习活动，参加区司法局庭审旁听活动</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rPr>
        <w:t>全年完成各类案件9件。</w:t>
      </w:r>
    </w:p>
    <w:p w14:paraId="60F5C74A">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楷体_GB2312" w:hAnsi="宋体" w:eastAsia="楷体_GB2312"/>
          <w:b w:val="0"/>
          <w:bCs w:val="0"/>
          <w:color w:val="000000"/>
          <w:sz w:val="32"/>
          <w:szCs w:val="32"/>
          <w:highlight w:val="none"/>
        </w:rPr>
      </w:pPr>
      <w:r>
        <w:rPr>
          <w:rFonts w:hint="eastAsia" w:ascii="楷体_GB2312" w:hAnsi="宋体" w:eastAsia="楷体_GB2312"/>
          <w:b w:val="0"/>
          <w:bCs w:val="0"/>
          <w:color w:val="000000"/>
          <w:sz w:val="32"/>
          <w:szCs w:val="32"/>
          <w:highlight w:val="none"/>
        </w:rPr>
        <w:t>（四）强化高压态势维护医保基金安全</w:t>
      </w:r>
    </w:p>
    <w:p w14:paraId="6E1A0BA4">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b/>
          <w:sz w:val="32"/>
          <w:szCs w:val="32"/>
          <w:highlight w:val="none"/>
        </w:rPr>
        <w:t>一是扎实医保基金监管集中宣传月活动。</w:t>
      </w:r>
      <w:r>
        <w:rPr>
          <w:rFonts w:hint="eastAsia" w:ascii="仿宋_GB2312" w:hAnsi="仿宋_GB2312" w:eastAsia="仿宋_GB2312" w:cs="仿宋_GB2312"/>
          <w:sz w:val="32"/>
          <w:szCs w:val="32"/>
          <w:highlight w:val="none"/>
        </w:rPr>
        <w:t>充分利用自有、区级、街道等部门媒介宣传海报、标语，公布投诉举报电话，联合</w:t>
      </w:r>
      <w:r>
        <w:rPr>
          <w:rFonts w:hint="eastAsia" w:ascii="仿宋_GB2312" w:hAnsi="仿宋_GB2312" w:eastAsia="仿宋_GB2312" w:cs="仿宋_GB2312"/>
          <w:snapToGrid w:val="0"/>
          <w:sz w:val="32"/>
          <w:szCs w:val="32"/>
          <w:highlight w:val="none"/>
        </w:rPr>
        <w:t>卫健、区总工会等多部门宣传进单位、进企业，曝光欺诈骗保典型案件</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广泛动员社会各界参与打击医保欺诈骗保原创宣传画征集活动，</w:t>
      </w:r>
      <w:r>
        <w:rPr>
          <w:rFonts w:hint="eastAsia" w:ascii="仿宋_GB2312" w:hAnsi="仿宋_GB2312" w:eastAsia="仿宋_GB2312" w:cs="仿宋_GB2312"/>
          <w:snapToGrid w:val="0"/>
          <w:sz w:val="32"/>
          <w:szCs w:val="32"/>
          <w:highlight w:val="none"/>
        </w:rPr>
        <w:t>党支部共建</w:t>
      </w:r>
      <w:r>
        <w:rPr>
          <w:rFonts w:hint="eastAsia" w:ascii="仿宋_GB2312" w:eastAsia="仿宋_GB2312"/>
          <w:sz w:val="32"/>
          <w:szCs w:val="32"/>
          <w:highlight w:val="none"/>
        </w:rPr>
        <w:t>走进辖区阜外医院、北京按摩医院开展主题宣传和政策解答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sz w:val="32"/>
          <w:szCs w:val="32"/>
          <w:highlight w:val="none"/>
        </w:rPr>
        <w:t>组织30余家定点医药机构在北京市第二医院开展主题活动</w:t>
      </w:r>
      <w:r>
        <w:rPr>
          <w:rFonts w:hint="eastAsia" w:ascii="仿宋_GB2312" w:hAnsi="仿宋_GB2312" w:eastAsia="仿宋_GB2312" w:cs="仿宋_GB2312"/>
          <w:snapToGrid w:val="0"/>
          <w:sz w:val="32"/>
          <w:szCs w:val="32"/>
          <w:highlight w:val="none"/>
          <w:lang w:eastAsia="zh-CN"/>
        </w:rPr>
        <w:t>。</w:t>
      </w:r>
      <w:r>
        <w:rPr>
          <w:rFonts w:hint="eastAsia" w:ascii="仿宋_GB2312" w:hAnsi="仿宋_GB2312" w:eastAsia="仿宋_GB2312" w:cs="仿宋_GB2312"/>
          <w:sz w:val="32"/>
          <w:szCs w:val="32"/>
          <w:highlight w:val="none"/>
        </w:rPr>
        <w:t>加强区街协同，</w:t>
      </w:r>
      <w:r>
        <w:rPr>
          <w:rFonts w:hint="eastAsia" w:ascii="仿宋_GB2312" w:eastAsia="仿宋_GB2312"/>
          <w:sz w:val="32"/>
          <w:szCs w:val="32"/>
          <w:highlight w:val="none"/>
        </w:rPr>
        <w:t>走进辖区街道</w:t>
      </w:r>
      <w:r>
        <w:rPr>
          <w:rFonts w:hint="eastAsia" w:ascii="仿宋_GB2312" w:hAnsi="仿宋_GB2312" w:eastAsia="仿宋_GB2312" w:cs="仿宋_GB2312"/>
          <w:sz w:val="32"/>
          <w:szCs w:val="32"/>
          <w:highlight w:val="none"/>
        </w:rPr>
        <w:t>开展维护医保基金</w:t>
      </w:r>
      <w:r>
        <w:rPr>
          <w:rFonts w:hint="eastAsia" w:ascii="仿宋_GB2312" w:hAnsi="Times New Roman" w:eastAsia="仿宋_GB2312" w:cs="Times New Roman"/>
          <w:sz w:val="32"/>
          <w:szCs w:val="32"/>
          <w:highlight w:val="none"/>
        </w:rPr>
        <w:t>安全</w:t>
      </w:r>
      <w:r>
        <w:rPr>
          <w:rFonts w:hint="eastAsia" w:ascii="仿宋_GB2312" w:hAnsi="仿宋_GB2312" w:eastAsia="仿宋_GB2312" w:cs="仿宋_GB2312"/>
          <w:sz w:val="32"/>
          <w:szCs w:val="32"/>
          <w:highlight w:val="none"/>
        </w:rPr>
        <w:t>系列宣讲</w:t>
      </w:r>
      <w:r>
        <w:rPr>
          <w:rFonts w:hint="eastAsia" w:ascii="仿宋_GB2312" w:eastAsia="仿宋_GB2312"/>
          <w:sz w:val="32"/>
          <w:szCs w:val="32"/>
          <w:highlight w:val="none"/>
        </w:rPr>
        <w:t>。</w:t>
      </w:r>
    </w:p>
    <w:p w14:paraId="606DE135">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宋体" w:eastAsia="仿宋_GB2312"/>
          <w:color w:val="000000"/>
          <w:sz w:val="32"/>
          <w:szCs w:val="32"/>
          <w:highlight w:val="none"/>
          <w:u w:val="none"/>
        </w:rPr>
      </w:pPr>
      <w:r>
        <w:rPr>
          <w:rFonts w:hint="eastAsia" w:ascii="仿宋_GB2312" w:hAnsi="宋体" w:eastAsia="仿宋_GB2312"/>
          <w:b/>
          <w:color w:val="000000"/>
          <w:sz w:val="32"/>
          <w:szCs w:val="32"/>
          <w:highlight w:val="none"/>
        </w:rPr>
        <w:t>二是有效保障医保数据分析。</w:t>
      </w:r>
      <w:r>
        <w:rPr>
          <w:rFonts w:hint="eastAsia" w:ascii="仿宋_GB2312" w:hAnsi="宋体" w:eastAsia="仿宋_GB2312"/>
          <w:color w:val="000000"/>
          <w:sz w:val="32"/>
          <w:szCs w:val="32"/>
          <w:highlight w:val="none"/>
          <w:u w:val="none"/>
        </w:rPr>
        <w:t>继续深化我局率先运用大数据分析技术开展医保基金监督方式的创新工作。对接软件公司和审计中介机构，扩充数据模型设计思路，完善现场检查工作方案</w:t>
      </w:r>
      <w:r>
        <w:rPr>
          <w:rFonts w:hint="eastAsia" w:ascii="仿宋_GB2312" w:hAnsi="宋体" w:eastAsia="仿宋_GB2312"/>
          <w:color w:val="000000"/>
          <w:sz w:val="32"/>
          <w:szCs w:val="32"/>
          <w:highlight w:val="none"/>
          <w:u w:val="none"/>
          <w:lang w:eastAsia="zh-CN"/>
        </w:rPr>
        <w:t>。</w:t>
      </w:r>
      <w:r>
        <w:rPr>
          <w:rFonts w:hint="eastAsia" w:ascii="仿宋_GB2312" w:hAnsi="仿宋_GB2312" w:eastAsia="仿宋_GB2312" w:cs="仿宋_GB2312"/>
          <w:sz w:val="32"/>
          <w:szCs w:val="32"/>
          <w:highlight w:val="none"/>
          <w:u w:val="none"/>
        </w:rPr>
        <w:t>发布“负面清单”强化警示预警，针对历年各类检查发现的医保管理规范、一般违规2大类、274个具体问题问题，订立《落实医保基金监管责任负面清单（2024年）》。</w:t>
      </w:r>
    </w:p>
    <w:p w14:paraId="2160C638">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hint="eastAsia" w:ascii="仿宋_GB2312" w:hAnsi="宋体" w:eastAsia="仿宋_GB2312"/>
          <w:sz w:val="32"/>
          <w:szCs w:val="32"/>
          <w:highlight w:val="none"/>
          <w:lang w:eastAsia="zh-CN"/>
        </w:rPr>
      </w:pPr>
      <w:r>
        <w:rPr>
          <w:rFonts w:hint="eastAsia" w:ascii="仿宋_GB2312" w:hAnsi="宋体" w:eastAsia="仿宋_GB2312"/>
          <w:b/>
          <w:color w:val="000000"/>
          <w:sz w:val="32"/>
          <w:szCs w:val="32"/>
          <w:highlight w:val="none"/>
          <w:u w:val="none"/>
        </w:rPr>
        <w:t>三是</w:t>
      </w:r>
      <w:r>
        <w:rPr>
          <w:rFonts w:ascii="仿宋_GB2312" w:hAnsi="宋体" w:eastAsia="仿宋_GB2312"/>
          <w:b/>
          <w:color w:val="000000"/>
          <w:sz w:val="32"/>
          <w:szCs w:val="32"/>
          <w:highlight w:val="none"/>
          <w:u w:val="none"/>
        </w:rPr>
        <w:t>巩固打击欺诈骗保高压态势</w:t>
      </w:r>
      <w:r>
        <w:rPr>
          <w:rFonts w:hint="eastAsia" w:ascii="仿宋_GB2312" w:hAnsi="宋体" w:eastAsia="仿宋_GB2312"/>
          <w:b/>
          <w:color w:val="000000"/>
          <w:sz w:val="32"/>
          <w:szCs w:val="32"/>
          <w:highlight w:val="none"/>
          <w:u w:val="none"/>
        </w:rPr>
        <w:t>。</w:t>
      </w:r>
      <w:r>
        <w:rPr>
          <w:rFonts w:hint="eastAsia" w:ascii="仿宋_GB2312" w:hAnsi="宋体" w:eastAsia="仿宋_GB2312"/>
          <w:color w:val="000000"/>
          <w:sz w:val="32"/>
          <w:szCs w:val="32"/>
          <w:highlight w:val="none"/>
          <w:u w:val="none"/>
        </w:rPr>
        <w:t>开展西城区2024年医保基金监督检查专项工作，聚焦重点领域，全面开展排查整治，并</w:t>
      </w:r>
      <w:r>
        <w:rPr>
          <w:rFonts w:hint="eastAsia" w:ascii="仿宋_GB2312" w:eastAsia="仿宋_GB2312" w:cs="仿宋_GB2312"/>
          <w:color w:val="000000"/>
          <w:sz w:val="32"/>
          <w:szCs w:val="32"/>
          <w:highlight w:val="none"/>
          <w:u w:val="none"/>
        </w:rPr>
        <w:t>启动辖区定点</w:t>
      </w:r>
      <w:r>
        <w:rPr>
          <w:rFonts w:hint="eastAsia" w:ascii="仿宋_GB2312" w:hAnsi="宋体" w:eastAsia="仿宋_GB2312"/>
          <w:color w:val="000000"/>
          <w:sz w:val="32"/>
          <w:szCs w:val="32"/>
          <w:highlight w:val="none"/>
          <w:u w:val="none"/>
        </w:rPr>
        <w:t>医药机构</w:t>
      </w:r>
      <w:r>
        <w:rPr>
          <w:rFonts w:hint="eastAsia" w:ascii="仿宋_GB2312" w:eastAsia="仿宋_GB2312" w:cs="仿宋_GB2312"/>
          <w:color w:val="000000"/>
          <w:sz w:val="32"/>
          <w:szCs w:val="32"/>
          <w:highlight w:val="none"/>
          <w:u w:val="none"/>
        </w:rPr>
        <w:t>自查自纠工作，开展百日行动</w:t>
      </w:r>
      <w:r>
        <w:rPr>
          <w:rFonts w:hint="eastAsia" w:ascii="仿宋_GB2312" w:eastAsia="仿宋_GB2312" w:cs="仿宋_GB2312"/>
          <w:color w:val="000000"/>
          <w:sz w:val="32"/>
          <w:szCs w:val="32"/>
          <w:highlight w:val="none"/>
        </w:rPr>
        <w:t>检查工作。</w:t>
      </w:r>
      <w:r>
        <w:rPr>
          <w:rFonts w:hint="eastAsia" w:ascii="仿宋_GB2312" w:eastAsia="仿宋_GB2312"/>
          <w:bCs/>
          <w:sz w:val="32"/>
          <w:szCs w:val="32"/>
          <w:highlight w:val="none"/>
        </w:rPr>
        <w:t>加强医保基金监管数据分析力度</w:t>
      </w:r>
      <w:r>
        <w:rPr>
          <w:rFonts w:hint="eastAsia" w:ascii="仿宋_GB2312" w:eastAsia="仿宋_GB2312"/>
          <w:sz w:val="32"/>
          <w:szCs w:val="32"/>
          <w:highlight w:val="none"/>
        </w:rPr>
        <w:t>，</w:t>
      </w:r>
      <w:r>
        <w:rPr>
          <w:rFonts w:hint="eastAsia" w:ascii="仿宋_GB2312" w:eastAsia="仿宋_GB2312"/>
          <w:sz w:val="32"/>
          <w:szCs w:val="32"/>
          <w:highlight w:val="none"/>
        </w:rPr>
        <w:t>对医保违规行为由事后监管转变为事前宣传提示、事中预警甚至费用拦截</w:t>
      </w:r>
      <w:r>
        <w:rPr>
          <w:rFonts w:hint="eastAsia" w:ascii="仿宋_GB2312" w:eastAsia="仿宋_GB2312"/>
          <w:sz w:val="32"/>
          <w:szCs w:val="32"/>
          <w:highlight w:val="none"/>
          <w:lang w:eastAsia="zh-CN"/>
        </w:rPr>
        <w:t>。</w:t>
      </w:r>
    </w:p>
    <w:p w14:paraId="48A1D84E">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楷体_GB2312" w:hAnsi="宋体" w:eastAsia="楷体_GB2312"/>
          <w:bCs/>
          <w:color w:val="000000"/>
          <w:sz w:val="32"/>
          <w:szCs w:val="32"/>
          <w:highlight w:val="none"/>
        </w:rPr>
      </w:pPr>
      <w:r>
        <w:rPr>
          <w:rFonts w:hint="eastAsia" w:ascii="楷体_GB2312" w:hAnsi="宋体" w:eastAsia="楷体_GB2312"/>
          <w:bCs/>
          <w:color w:val="000000"/>
          <w:sz w:val="32"/>
          <w:szCs w:val="32"/>
          <w:highlight w:val="none"/>
        </w:rPr>
        <w:t>（五）优化营商环境，深化重要医疗改革任务</w:t>
      </w:r>
    </w:p>
    <w:p w14:paraId="5A3166A4">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仿宋_GB2312" w:eastAsia="仿宋_GB2312" w:cs="Times New Roman"/>
          <w:color w:val="000000"/>
          <w:sz w:val="32"/>
          <w:szCs w:val="32"/>
          <w:highlight w:val="none"/>
        </w:rPr>
      </w:pPr>
      <w:r>
        <w:rPr>
          <w:rFonts w:hint="eastAsia" w:ascii="仿宋_GB2312" w:hAnsi="仿宋_GB2312" w:eastAsia="仿宋_GB2312" w:cs="Times New Roman"/>
          <w:b/>
          <w:bCs/>
          <w:color w:val="000000"/>
          <w:sz w:val="32"/>
          <w:szCs w:val="32"/>
          <w:highlight w:val="none"/>
        </w:rPr>
        <w:t>一是服务保障中央国家政务更精准。</w:t>
      </w:r>
      <w:r>
        <w:rPr>
          <w:rFonts w:hint="eastAsia" w:ascii="仿宋_GB2312" w:hAnsi="仿宋_GB2312" w:eastAsia="仿宋_GB2312" w:cs="Times New Roman"/>
          <w:color w:val="000000"/>
          <w:sz w:val="32"/>
          <w:szCs w:val="32"/>
          <w:highlight w:val="none"/>
        </w:rPr>
        <w:t>建立多个联系点开展公费医疗核定工作，对重点单位、涉密单位提供上门服务，确保196家中央单位6亿余元公费医疗拨款准确、及时拨付。发挥“中央单位医保服务议事厅”工作机制，协助中央单位解决机构改革形成的历史问题10余件,典型做法入选《2024年西城区“微改革、微创新”案例集》。</w:t>
      </w:r>
    </w:p>
    <w:p w14:paraId="3199C074">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仿宋_GB2312" w:eastAsia="仿宋_GB2312" w:cs="Times New Roman"/>
          <w:color w:val="000000"/>
          <w:sz w:val="32"/>
          <w:szCs w:val="32"/>
          <w:highlight w:val="none"/>
        </w:rPr>
      </w:pPr>
      <w:r>
        <w:rPr>
          <w:rFonts w:hint="eastAsia" w:ascii="仿宋_GB2312" w:hAnsi="仿宋_GB2312" w:eastAsia="仿宋_GB2312" w:cs="Times New Roman"/>
          <w:b/>
          <w:bCs/>
          <w:color w:val="000000"/>
          <w:sz w:val="32"/>
          <w:szCs w:val="32"/>
          <w:highlight w:val="none"/>
        </w:rPr>
        <w:t>二是多层次医疗保障体系</w:t>
      </w:r>
      <w:bookmarkStart w:id="0" w:name="_Toc25329"/>
      <w:bookmarkStart w:id="1" w:name="_Toc2953_WPSOffice_Level3"/>
      <w:bookmarkStart w:id="2" w:name="_Toc16908"/>
      <w:bookmarkStart w:id="3" w:name="_Toc15393"/>
      <w:bookmarkStart w:id="4" w:name="_Toc13827"/>
      <w:r>
        <w:rPr>
          <w:rFonts w:hint="eastAsia" w:ascii="仿宋_GB2312" w:hAnsi="仿宋_GB2312" w:eastAsia="仿宋_GB2312" w:cs="Times New Roman"/>
          <w:b/>
          <w:bCs/>
          <w:color w:val="000000"/>
          <w:sz w:val="32"/>
          <w:szCs w:val="32"/>
          <w:highlight w:val="none"/>
        </w:rPr>
        <w:t>持续健全。</w:t>
      </w:r>
      <w:r>
        <w:rPr>
          <w:rFonts w:hint="eastAsia" w:ascii="仿宋_GB2312" w:hAnsi="仿宋_GB2312" w:eastAsia="仿宋_GB2312" w:cs="Times New Roman"/>
          <w:color w:val="000000"/>
          <w:sz w:val="32"/>
          <w:szCs w:val="32"/>
          <w:highlight w:val="none"/>
        </w:rPr>
        <w:t>“兜住”民生防线，巩固全民参保制度</w:t>
      </w:r>
      <w:bookmarkEnd w:id="0"/>
      <w:bookmarkEnd w:id="1"/>
      <w:bookmarkEnd w:id="2"/>
      <w:bookmarkEnd w:id="3"/>
      <w:bookmarkEnd w:id="4"/>
      <w:r>
        <w:rPr>
          <w:rFonts w:hint="eastAsia" w:ascii="仿宋_GB2312" w:hAnsi="仿宋_GB2312" w:eastAsia="仿宋_GB2312" w:cs="Times New Roman"/>
          <w:color w:val="000000"/>
          <w:sz w:val="32"/>
          <w:szCs w:val="32"/>
          <w:highlight w:val="none"/>
        </w:rPr>
        <w:t>，参保宣传视频获全国“全民参保宣传作品征集大赛”三等奖。落实基本医疗保险、大病保险和困难群体的医疗保障和救助制度，实现医保三重保障一站式实时结算，“兜准”困难群体，为2万余名困难群体购买“北京普惠健康保”，多渠道化解“因病致贫”、“因病返贫”</w:t>
      </w:r>
      <w:r>
        <w:rPr>
          <w:rFonts w:hint="eastAsia" w:ascii="仿宋_GB2312" w:hAnsi="仿宋_GB2312" w:eastAsia="仿宋_GB2312" w:cs="Times New Roman"/>
          <w:color w:val="000000"/>
          <w:sz w:val="32"/>
          <w:szCs w:val="32"/>
          <w:highlight w:val="none"/>
        </w:rPr>
        <w:t>。</w:t>
      </w:r>
      <w:r>
        <w:rPr>
          <w:rFonts w:hint="eastAsia" w:ascii="仿宋_GB2312" w:hAnsi="仿宋_GB2312" w:eastAsia="仿宋_GB2312" w:cs="Times New Roman"/>
          <w:color w:val="000000"/>
          <w:sz w:val="32"/>
          <w:szCs w:val="32"/>
          <w:highlight w:val="none"/>
        </w:rPr>
        <w:t>“兜好”群众需求，推动30家定点医疗机构在就医场景“北京普惠健康保”参保信息和特药清单可视化</w:t>
      </w:r>
      <w:r>
        <w:rPr>
          <w:rFonts w:hint="eastAsia" w:ascii="仿宋_GB2312" w:hAnsi="仿宋_GB2312" w:eastAsia="仿宋_GB2312" w:cs="Times New Roman"/>
          <w:color w:val="000000"/>
          <w:sz w:val="32"/>
          <w:szCs w:val="32"/>
          <w:highlight w:val="none"/>
        </w:rPr>
        <w:t>。</w:t>
      </w:r>
      <w:bookmarkStart w:id="5" w:name="_Toc7031"/>
      <w:bookmarkStart w:id="6" w:name="_Toc23604"/>
      <w:bookmarkStart w:id="7" w:name="_Toc26230"/>
      <w:bookmarkStart w:id="8" w:name="_Toc8343"/>
      <w:bookmarkStart w:id="9" w:name="_Toc11574"/>
      <w:bookmarkStart w:id="10" w:name="_Toc634_WPSOffice_Level2"/>
    </w:p>
    <w:p w14:paraId="1D227B65">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仿宋_GB2312" w:eastAsia="仿宋_GB2312" w:cs="Times New Roman"/>
          <w:color w:val="000000"/>
          <w:sz w:val="32"/>
          <w:szCs w:val="32"/>
          <w:highlight w:val="none"/>
        </w:rPr>
      </w:pPr>
      <w:r>
        <w:rPr>
          <w:rFonts w:hint="eastAsia" w:ascii="仿宋_GB2312" w:hAnsi="仿宋_GB2312" w:eastAsia="仿宋_GB2312" w:cs="Times New Roman"/>
          <w:b/>
          <w:bCs/>
          <w:color w:val="000000"/>
          <w:sz w:val="32"/>
          <w:szCs w:val="32"/>
          <w:highlight w:val="none"/>
        </w:rPr>
        <w:t>三是医保领域改革更加深入。</w:t>
      </w:r>
      <w:bookmarkEnd w:id="5"/>
      <w:bookmarkEnd w:id="6"/>
      <w:bookmarkEnd w:id="7"/>
      <w:bookmarkEnd w:id="8"/>
      <w:bookmarkEnd w:id="9"/>
      <w:bookmarkEnd w:id="10"/>
      <w:r>
        <w:rPr>
          <w:rFonts w:hint="eastAsia" w:ascii="仿宋_GB2312" w:hAnsi="仿宋_GB2312" w:eastAsia="仿宋_GB2312" w:cs="Times New Roman"/>
          <w:color w:val="000000"/>
          <w:sz w:val="32"/>
          <w:szCs w:val="32"/>
          <w:highlight w:val="none"/>
        </w:rPr>
        <w:t>做好医保社保职能划转期间法制保障工作，实现划转工作平稳过渡、无缝衔接。持续推进便民惠民举措落地，22家定点医疗机构DRG支付方式模拟运行，8家定点医疗机构实现DRG实际付费，开展医疗机构医药产品集中采购专项检查治理、人工关节类医用耗材整改“回头看”等专项，推进医保药品追溯码采集应用</w:t>
      </w:r>
      <w:r>
        <w:rPr>
          <w:rFonts w:hint="eastAsia" w:ascii="仿宋_GB2312" w:hAnsi="仿宋_GB2312" w:eastAsia="仿宋_GB2312" w:cs="Times New Roman"/>
          <w:color w:val="000000"/>
          <w:sz w:val="32"/>
          <w:szCs w:val="32"/>
          <w:highlight w:val="none"/>
        </w:rPr>
        <w:t>。</w:t>
      </w:r>
      <w:r>
        <w:rPr>
          <w:rFonts w:hint="eastAsia" w:ascii="仿宋_GB2312" w:hAnsi="仿宋_GB2312" w:eastAsia="仿宋_GB2312" w:cs="Times New Roman"/>
          <w:color w:val="000000"/>
          <w:sz w:val="32"/>
          <w:szCs w:val="32"/>
          <w:highlight w:val="none"/>
        </w:rPr>
        <w:t>24家定点医疗机构上线医保移动支付功能，开展医保线下刷脸支付试点，开展国谈药“双通道”管理，54家定点零售药店提供医保个人账户线上购药服务</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rPr>
        <w:t>推进异地就医直接结算，优化备案途径，简化流程，减轻群众垫付负担，截至11月，提供异地就医直接结算服务约597.65万人次，基金支付约83.4亿元。</w:t>
      </w:r>
    </w:p>
    <w:p w14:paraId="592FED2C">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hint="eastAsia" w:ascii="仿宋_GB2312" w:hAnsi="仿宋_GB2312" w:eastAsia="仿宋_GB2312" w:cs="Times New Roman"/>
          <w:color w:val="000000"/>
          <w:sz w:val="32"/>
          <w:szCs w:val="32"/>
          <w:highlight w:val="none"/>
        </w:rPr>
      </w:pPr>
      <w:r>
        <w:rPr>
          <w:rFonts w:hint="eastAsia" w:ascii="仿宋_GB2312" w:hAnsi="仿宋_GB2312" w:eastAsia="仿宋_GB2312" w:cs="Times New Roman"/>
          <w:b/>
          <w:bCs/>
          <w:color w:val="000000"/>
          <w:sz w:val="32"/>
          <w:szCs w:val="32"/>
          <w:highlight w:val="none"/>
        </w:rPr>
        <w:t>四是医保经办服务更加优质。</w:t>
      </w:r>
      <w:r>
        <w:rPr>
          <w:rFonts w:hint="eastAsia" w:ascii="仿宋_GB2312" w:hAnsi="仿宋_GB2312" w:eastAsia="仿宋_GB2312" w:cs="Times New Roman"/>
          <w:color w:val="000000"/>
          <w:sz w:val="32"/>
          <w:szCs w:val="32"/>
          <w:highlight w:val="none"/>
        </w:rPr>
        <w:t>坚持全月业务受理，实行“早晚延时办、午间不间断、周末不打烊”工作模式，</w:t>
      </w:r>
      <w:r>
        <w:rPr>
          <w:rFonts w:hint="eastAsia" w:ascii="仿宋_GB2312" w:hAnsi="仿宋_GB2312" w:eastAsia="仿宋_GB2312" w:cs="Times New Roman"/>
          <w:color w:val="000000"/>
          <w:sz w:val="32"/>
          <w:szCs w:val="32"/>
          <w:highlight w:val="none"/>
        </w:rPr>
        <w:t>。</w:t>
      </w:r>
      <w:r>
        <w:rPr>
          <w:rFonts w:hint="eastAsia" w:ascii="仿宋_GB2312" w:hAnsi="仿宋_GB2312" w:eastAsia="仿宋_GB2312" w:cs="Times New Roman"/>
          <w:color w:val="000000"/>
          <w:sz w:val="32"/>
          <w:szCs w:val="32"/>
          <w:highlight w:val="none"/>
        </w:rPr>
        <w:t>加强医保信息化建设，实现预约取号、服务评价、查询下载等全流程、可视化的医保服务。丰富医保服务“网上办”“掌上办”“自助办”的应用场景</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rPr>
        <w:t>强化内控监督和权限管理，持续提升经办规范化水平。</w:t>
      </w:r>
      <w:bookmarkStart w:id="11" w:name="_Toc22245"/>
      <w:bookmarkStart w:id="12" w:name="_Toc5581"/>
      <w:bookmarkStart w:id="13" w:name="_Toc27886_WPSOffice_Level3"/>
      <w:bookmarkStart w:id="14" w:name="_Toc26637"/>
      <w:bookmarkStart w:id="15" w:name="_Toc9153"/>
    </w:p>
    <w:p w14:paraId="147DB4DC">
      <w:pPr>
        <w:keepNext w:val="0"/>
        <w:keepLines w:val="0"/>
        <w:pageBreakBefore w:val="0"/>
        <w:kinsoku/>
        <w:wordWrap/>
        <w:overflowPunct/>
        <w:topLinePunct w:val="0"/>
        <w:autoSpaceDE/>
        <w:autoSpaceDN/>
        <w:bidi w:val="0"/>
        <w:adjustRightInd/>
        <w:spacing w:line="560" w:lineRule="exact"/>
        <w:ind w:firstLine="643" w:firstLineChars="200"/>
        <w:contextualSpacing/>
        <w:textAlignment w:val="auto"/>
        <w:rPr>
          <w:rFonts w:ascii="仿宋_GB2312" w:hAnsi="仿宋_GB2312" w:eastAsia="仿宋_GB2312" w:cs="Times New Roman"/>
          <w:color w:val="000000"/>
          <w:sz w:val="32"/>
          <w:szCs w:val="32"/>
          <w:highlight w:val="none"/>
        </w:rPr>
      </w:pPr>
      <w:r>
        <w:rPr>
          <w:rFonts w:hint="eastAsia" w:ascii="仿宋_GB2312" w:hAnsi="仿宋_GB2312" w:eastAsia="仿宋_GB2312" w:cs="Times New Roman"/>
          <w:b/>
          <w:bCs/>
          <w:color w:val="000000"/>
          <w:sz w:val="32"/>
          <w:szCs w:val="32"/>
          <w:highlight w:val="none"/>
        </w:rPr>
        <w:t>五是守好群众“看病钱”“救命钱”更有力。</w:t>
      </w:r>
      <w:r>
        <w:rPr>
          <w:rFonts w:ascii="仿宋_GB2312" w:hAnsi="仿宋_GB2312" w:eastAsia="仿宋_GB2312" w:cs="Times New Roman"/>
          <w:color w:val="000000"/>
          <w:sz w:val="32"/>
          <w:szCs w:val="32"/>
          <w:highlight w:val="none"/>
        </w:rPr>
        <w:t>深化大数据分析技术在医保基金监管中的应用，提高非现场检查能力</w:t>
      </w:r>
      <w:r>
        <w:rPr>
          <w:rFonts w:hint="eastAsia" w:ascii="仿宋_GB2312" w:hAnsi="仿宋_GB2312" w:eastAsia="仿宋_GB2312" w:cs="Times New Roman"/>
          <w:color w:val="000000"/>
          <w:sz w:val="32"/>
          <w:szCs w:val="32"/>
          <w:highlight w:val="none"/>
        </w:rPr>
        <w:t>。</w:t>
      </w:r>
      <w:r>
        <w:rPr>
          <w:rFonts w:ascii="仿宋_GB2312" w:hAnsi="仿宋_GB2312" w:eastAsia="仿宋_GB2312" w:cs="Times New Roman"/>
          <w:color w:val="000000"/>
          <w:sz w:val="32"/>
          <w:szCs w:val="32"/>
          <w:highlight w:val="none"/>
        </w:rPr>
        <w:t>积极推进“医保基金监督前置模块”在定点医疗机构试点，建成“医保数据分析实验室”，形成《医保管理负面清单制度》</w:t>
      </w:r>
      <w:r>
        <w:rPr>
          <w:rFonts w:hint="eastAsia" w:ascii="仿宋_GB2312" w:hAnsi="仿宋_GB2312" w:eastAsia="仿宋_GB2312" w:cs="Times New Roman"/>
          <w:color w:val="000000"/>
          <w:sz w:val="32"/>
          <w:szCs w:val="32"/>
          <w:highlight w:val="none"/>
        </w:rPr>
        <w:t>。</w:t>
      </w:r>
      <w:r>
        <w:rPr>
          <w:rFonts w:ascii="仿宋_GB2312" w:hAnsi="仿宋_GB2312" w:eastAsia="仿宋_GB2312" w:cs="Times New Roman"/>
          <w:color w:val="000000"/>
          <w:sz w:val="32"/>
          <w:szCs w:val="32"/>
          <w:highlight w:val="none"/>
        </w:rPr>
        <w:t>与区公安局联合打击倒卖医保药品</w:t>
      </w:r>
      <w:r>
        <w:rPr>
          <w:rFonts w:ascii="仿宋_GB2312" w:hAnsi="Times New Roman" w:eastAsia="仿宋_GB2312" w:cs="Times New Roman"/>
          <w:sz w:val="32"/>
          <w:szCs w:val="32"/>
          <w:highlight w:val="none"/>
        </w:rPr>
        <w:t>违法</w:t>
      </w:r>
      <w:r>
        <w:rPr>
          <w:rFonts w:ascii="仿宋_GB2312" w:hAnsi="仿宋_GB2312" w:eastAsia="仿宋_GB2312" w:cs="Times New Roman"/>
          <w:color w:val="000000"/>
          <w:sz w:val="32"/>
          <w:szCs w:val="32"/>
          <w:highlight w:val="none"/>
        </w:rPr>
        <w:t>行为</w:t>
      </w:r>
      <w:r>
        <w:rPr>
          <w:rFonts w:hint="eastAsia" w:ascii="仿宋_GB2312" w:hAnsi="仿宋_GB2312" w:eastAsia="仿宋_GB2312" w:cs="Times New Roman"/>
          <w:color w:val="000000"/>
          <w:sz w:val="32"/>
          <w:szCs w:val="32"/>
          <w:highlight w:val="none"/>
        </w:rPr>
        <w:t>，</w:t>
      </w:r>
      <w:r>
        <w:rPr>
          <w:rFonts w:hint="eastAsia" w:ascii="仿宋_GB2312" w:hAnsi="仿宋_GB2312" w:eastAsia="仿宋_GB2312" w:cs="Times New Roman"/>
          <w:color w:val="000000"/>
          <w:sz w:val="32"/>
          <w:szCs w:val="32"/>
          <w:highlight w:val="none"/>
        </w:rPr>
        <w:t>截至11月，通过自查自纠、飞行检查、专项检查等方式追回医保基金4000余万元。</w:t>
      </w:r>
      <w:bookmarkEnd w:id="11"/>
      <w:bookmarkEnd w:id="12"/>
      <w:bookmarkEnd w:id="13"/>
      <w:bookmarkEnd w:id="14"/>
      <w:bookmarkEnd w:id="15"/>
    </w:p>
    <w:p w14:paraId="0E0C5BBB">
      <w:pPr>
        <w:pStyle w:val="6"/>
        <w:keepNext w:val="0"/>
        <w:keepLines w:val="0"/>
        <w:pageBreakBefore w:val="0"/>
        <w:kinsoku/>
        <w:wordWrap/>
        <w:overflowPunct/>
        <w:topLinePunct w:val="0"/>
        <w:autoSpaceDE/>
        <w:autoSpaceDN/>
        <w:bidi w:val="0"/>
        <w:adjustRightInd/>
        <w:spacing w:line="560" w:lineRule="exact"/>
        <w:ind w:firstLine="640"/>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二、2024年度推进法治政府建设存在的不足和原因</w:t>
      </w:r>
    </w:p>
    <w:p w14:paraId="385FB6D2">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仿宋_GB2312"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rPr>
        <w:t>对照区委、区政府法治政府建设工作的要求，我局法治工作仍存在一些薄弱环节。</w:t>
      </w:r>
      <w:r>
        <w:rPr>
          <w:rFonts w:hint="eastAsia" w:ascii="仿宋_GB2312" w:hAnsi="仿宋_GB2312" w:eastAsia="仿宋_GB2312" w:cs="Times New Roman"/>
          <w:b/>
          <w:bCs/>
          <w:color w:val="000000"/>
          <w:sz w:val="32"/>
          <w:szCs w:val="32"/>
          <w:highlight w:val="none"/>
        </w:rPr>
        <w:t>一是</w:t>
      </w:r>
      <w:r>
        <w:rPr>
          <w:rFonts w:hint="eastAsia" w:ascii="仿宋_GB2312" w:hAnsi="仿宋_GB2312" w:eastAsia="仿宋_GB2312" w:cs="Times New Roman"/>
          <w:color w:val="000000"/>
          <w:sz w:val="32"/>
          <w:szCs w:val="32"/>
          <w:highlight w:val="none"/>
        </w:rPr>
        <w:t>法治宣传氛围不够深厚。宣传工作被动接受多，主动思考、谋划少，关注“规定动作”多，“自创动作”少。虽然工作人员都能熟悉习近平法治思想的总体要求，但是结合医保工作的思考不够。</w:t>
      </w:r>
      <w:r>
        <w:rPr>
          <w:rFonts w:hint="eastAsia" w:ascii="仿宋_GB2312" w:hAnsi="仿宋_GB2312" w:eastAsia="仿宋_GB2312" w:cs="Times New Roman"/>
          <w:b/>
          <w:bCs/>
          <w:color w:val="000000"/>
          <w:sz w:val="32"/>
          <w:szCs w:val="32"/>
          <w:highlight w:val="none"/>
        </w:rPr>
        <w:t>二是</w:t>
      </w:r>
      <w:r>
        <w:rPr>
          <w:rFonts w:hint="eastAsia" w:ascii="仿宋_GB2312" w:hAnsi="仿宋_GB2312" w:eastAsia="仿宋_GB2312" w:cs="Times New Roman"/>
          <w:color w:val="000000"/>
          <w:sz w:val="32"/>
          <w:szCs w:val="32"/>
          <w:highlight w:val="none"/>
        </w:rPr>
        <w:t>法治思维意识有待进一步提高。对习近平法治思想的丰富内涵领会还不够深透，运用法治思维意识和法治方式协调解决问题的能力还不够强。</w:t>
      </w:r>
    </w:p>
    <w:p w14:paraId="79EDD8FA">
      <w:pPr>
        <w:pStyle w:val="6"/>
        <w:keepNext w:val="0"/>
        <w:keepLines w:val="0"/>
        <w:pageBreakBefore w:val="0"/>
        <w:kinsoku/>
        <w:wordWrap/>
        <w:overflowPunct/>
        <w:topLinePunct w:val="0"/>
        <w:autoSpaceDE/>
        <w:autoSpaceDN/>
        <w:bidi w:val="0"/>
        <w:adjustRightInd/>
        <w:spacing w:line="560" w:lineRule="exact"/>
        <w:ind w:firstLine="640"/>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三、2024年度党政主要负责人履行推进法治建设第一责任人职责，加强法治政府建设的有关情况</w:t>
      </w:r>
    </w:p>
    <w:p w14:paraId="5A9145EB">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西城区医疗保障局党政主要负责人严格履行依法治局的重要组织者、推动者和实践者的职责</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b/>
          <w:bCs/>
          <w:sz w:val="32"/>
          <w:szCs w:val="32"/>
          <w:highlight w:val="none"/>
        </w:rPr>
        <w:t>一是</w:t>
      </w:r>
      <w:r>
        <w:rPr>
          <w:rFonts w:hint="eastAsia" w:ascii="仿宋_GB2312" w:hAnsi="仿宋" w:eastAsia="仿宋_GB2312" w:cs="仿宋_GB2312"/>
          <w:sz w:val="32"/>
          <w:szCs w:val="32"/>
          <w:highlight w:val="none"/>
        </w:rPr>
        <w:t>加强对本单位法治政府建设的组织领导，将推进法治政府建设相关工作纳入党组议事安排，全面落实上级关于法治政府建设的各项决策部署。</w:t>
      </w:r>
      <w:r>
        <w:rPr>
          <w:rFonts w:hint="eastAsia" w:ascii="仿宋_GB2312" w:hAnsi="仿宋" w:eastAsia="仿宋_GB2312" w:cs="仿宋_GB2312"/>
          <w:b/>
          <w:bCs/>
          <w:sz w:val="32"/>
          <w:szCs w:val="32"/>
          <w:highlight w:val="none"/>
        </w:rPr>
        <w:t>二是</w:t>
      </w:r>
      <w:r>
        <w:rPr>
          <w:rFonts w:hint="eastAsia" w:ascii="仿宋_GB2312" w:hAnsi="仿宋" w:eastAsia="仿宋_GB2312" w:cs="仿宋_GB2312"/>
          <w:sz w:val="32"/>
          <w:szCs w:val="32"/>
          <w:highlight w:val="none"/>
        </w:rPr>
        <w:t>严格执行重大行政决策事项法定程序，落实政府法律顾问制度，发挥法律顾问职责作用。</w:t>
      </w:r>
      <w:r>
        <w:rPr>
          <w:rFonts w:hint="eastAsia" w:ascii="仿宋_GB2312" w:hAnsi="仿宋" w:eastAsia="仿宋_GB2312" w:cs="仿宋_GB2312"/>
          <w:b/>
          <w:bCs/>
          <w:sz w:val="32"/>
          <w:szCs w:val="32"/>
          <w:highlight w:val="none"/>
        </w:rPr>
        <w:t>三是</w:t>
      </w:r>
      <w:r>
        <w:rPr>
          <w:rFonts w:hint="eastAsia" w:ascii="仿宋_GB2312" w:hAnsi="仿宋" w:eastAsia="仿宋_GB2312" w:cs="仿宋_GB2312"/>
          <w:sz w:val="32"/>
          <w:szCs w:val="32"/>
          <w:highlight w:val="none"/>
        </w:rPr>
        <w:t>依法全面履行医保局各项职能，完善全局制度建设，研究行政执法职权下放，推动严格规范公正文明执法。</w:t>
      </w:r>
      <w:r>
        <w:rPr>
          <w:rFonts w:hint="eastAsia" w:ascii="仿宋_GB2312" w:hAnsi="仿宋" w:eastAsia="仿宋_GB2312" w:cs="仿宋_GB2312"/>
          <w:b/>
          <w:bCs/>
          <w:sz w:val="32"/>
          <w:szCs w:val="32"/>
          <w:highlight w:val="none"/>
        </w:rPr>
        <w:t>四是</w:t>
      </w:r>
      <w:r>
        <w:rPr>
          <w:rFonts w:hint="eastAsia" w:ascii="仿宋_GB2312" w:hAnsi="仿宋" w:eastAsia="仿宋_GB2312" w:cs="仿宋_GB2312"/>
          <w:sz w:val="32"/>
          <w:szCs w:val="32"/>
          <w:highlight w:val="none"/>
        </w:rPr>
        <w:t>落实学法用法制度和“谁执法谁普法”责任制，结合创文和参保宣传等活动，深入社区基层向市民群众宣传解读医保政策法规。</w:t>
      </w:r>
    </w:p>
    <w:p w14:paraId="18C9DBE8">
      <w:pPr>
        <w:pStyle w:val="6"/>
        <w:keepNext w:val="0"/>
        <w:keepLines w:val="0"/>
        <w:pageBreakBefore w:val="0"/>
        <w:kinsoku/>
        <w:wordWrap/>
        <w:overflowPunct/>
        <w:topLinePunct w:val="0"/>
        <w:autoSpaceDE/>
        <w:autoSpaceDN/>
        <w:bidi w:val="0"/>
        <w:adjustRightInd/>
        <w:spacing w:line="560" w:lineRule="exact"/>
        <w:ind w:firstLine="640"/>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四、2025年度推进法治政府建设的主要安排</w:t>
      </w:r>
    </w:p>
    <w:p w14:paraId="69974812">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2025年，区医保局将继续推动法治建设工作深入开展，在规范执法、加强宣传、提升执法质量等方面下功夫。</w:t>
      </w:r>
    </w:p>
    <w:p w14:paraId="2DD697D9">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Times New Roman" w:eastAsia="仿宋_GB2312" w:cs="Times New Roman"/>
          <w:sz w:val="32"/>
          <w:szCs w:val="32"/>
          <w:highlight w:val="none"/>
        </w:rPr>
      </w:pPr>
      <w:r>
        <w:rPr>
          <w:rFonts w:hint="eastAsia" w:ascii="楷体_GB2312" w:hAnsi="Times New Roman" w:eastAsia="楷体_GB2312" w:cs="Times New Roman"/>
          <w:sz w:val="32"/>
          <w:szCs w:val="32"/>
          <w:highlight w:val="none"/>
        </w:rPr>
        <w:t>（一）持续深入学习贯彻党的二十大精神和习近平法治思想。</w:t>
      </w:r>
      <w:r>
        <w:rPr>
          <w:rFonts w:hint="eastAsia" w:ascii="仿宋_GB2312" w:hAnsi="Times New Roman" w:eastAsia="仿宋_GB2312" w:cs="Times New Roman"/>
          <w:sz w:val="32"/>
          <w:szCs w:val="32"/>
          <w:highlight w:val="none"/>
        </w:rPr>
        <w:t>认真学习贯彻党的二十大精神，深刻认识法治固根本、稳预期、利长远的保障作用，在法治轨道上推进医保事业纵深发展。深学细悟笃行习近平法治思想，始终做习近平法治思想的坚定信仰者、积极传播者、模范实践者，坚持以习近平法治思想武装头脑、指导实践、推动工作。</w:t>
      </w:r>
    </w:p>
    <w:p w14:paraId="7E2E8255">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Times New Roman" w:eastAsia="仿宋_GB2312" w:cs="Times New Roman"/>
          <w:sz w:val="32"/>
          <w:szCs w:val="32"/>
          <w:highlight w:val="none"/>
        </w:rPr>
      </w:pPr>
      <w:r>
        <w:rPr>
          <w:rFonts w:hint="eastAsia" w:ascii="楷体_GB2312" w:hAnsi="Times New Roman" w:eastAsia="楷体_GB2312" w:cs="Times New Roman"/>
          <w:sz w:val="32"/>
          <w:szCs w:val="32"/>
          <w:highlight w:val="none"/>
        </w:rPr>
        <w:t>（二）强化法治政府建设统筹谋划</w:t>
      </w:r>
      <w:r>
        <w:rPr>
          <w:rFonts w:hint="eastAsia" w:ascii="楷体_GB2312" w:hAnsi="Times New Roman" w:eastAsia="楷体_GB2312" w:cs="Times New Roman"/>
          <w:sz w:val="32"/>
          <w:szCs w:val="32"/>
          <w:highlight w:val="none"/>
          <w:lang w:eastAsia="zh-CN"/>
        </w:rPr>
        <w:t>。</w:t>
      </w:r>
      <w:r>
        <w:rPr>
          <w:rFonts w:hint="eastAsia" w:ascii="仿宋_GB2312" w:hAnsi="Times New Roman" w:eastAsia="仿宋_GB2312" w:cs="Times New Roman"/>
          <w:sz w:val="32"/>
          <w:szCs w:val="32"/>
          <w:highlight w:val="none"/>
        </w:rPr>
        <w:t>继续抓好制度建设工作，总结制度建设工作经验，持续推进普法依法治理，加强依法行政能力和人才队伍建设，做好矛盾纠纷行政预防化解工作，持续落实落细行政复议改革工作要求，持续完善体制机制，加强行政应诉工作，强化府院联动，不断提升办理效能和群众满意度。</w:t>
      </w:r>
    </w:p>
    <w:p w14:paraId="4C0161BD">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Times New Roman" w:eastAsia="仿宋_GB2312" w:cs="Times New Roman"/>
          <w:sz w:val="32"/>
          <w:szCs w:val="32"/>
          <w:highlight w:val="none"/>
        </w:rPr>
      </w:pPr>
      <w:r>
        <w:rPr>
          <w:rFonts w:hint="eastAsia" w:ascii="楷体_GB2312" w:hAnsi="Times New Roman" w:eastAsia="楷体_GB2312" w:cs="Times New Roman"/>
          <w:sz w:val="32"/>
          <w:szCs w:val="32"/>
          <w:highlight w:val="none"/>
        </w:rPr>
        <w:t>（三）持续维护医保基金打击欺诈骗保</w:t>
      </w:r>
      <w:r>
        <w:rPr>
          <w:rFonts w:hint="eastAsia" w:ascii="楷体_GB2312" w:hAnsi="Times New Roman" w:eastAsia="楷体_GB2312" w:cs="Times New Roman"/>
          <w:sz w:val="32"/>
          <w:szCs w:val="32"/>
          <w:highlight w:val="none"/>
          <w:lang w:eastAsia="zh-CN"/>
        </w:rPr>
        <w:t>。</w:t>
      </w:r>
      <w:r>
        <w:rPr>
          <w:rFonts w:hint="eastAsia" w:ascii="仿宋_GB2312" w:hAnsi="Times New Roman" w:eastAsia="仿宋_GB2312" w:cs="Times New Roman"/>
          <w:sz w:val="32"/>
          <w:szCs w:val="32"/>
          <w:highlight w:val="none"/>
        </w:rPr>
        <w:t>提升医疗保障领域行政处理能力，落实《北京市医疗保障局权力清单》，</w:t>
      </w:r>
    </w:p>
    <w:p w14:paraId="38EDC952">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强化社会监督共同维护医保基金安全。继续延续医保基金监管集中宣传月经验做法，加强区街协同，开展走进辖区街道系列活动，公布投诉举报电话，强化部门联动，做好举报处理工作</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rPr>
        <w:t>用好专家库资源，扩大社会监督员队伍，积极营造全社会参与的良好氛围。</w:t>
      </w:r>
    </w:p>
    <w:p w14:paraId="1DD3D7C1">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Times New Roman" w:eastAsia="仿宋_GB2312" w:cs="Times New Roman"/>
          <w:sz w:val="32"/>
          <w:szCs w:val="32"/>
          <w:highlight w:val="none"/>
        </w:rPr>
      </w:pPr>
      <w:r>
        <w:rPr>
          <w:rFonts w:hint="eastAsia" w:ascii="楷体_GB2312" w:hAnsi="Times New Roman" w:eastAsia="楷体_GB2312" w:cs="Times New Roman"/>
          <w:sz w:val="32"/>
          <w:szCs w:val="32"/>
          <w:highlight w:val="none"/>
        </w:rPr>
        <w:t>（四）加大普法宣传活动力度，健全法治宣传教育机制。</w:t>
      </w:r>
      <w:r>
        <w:rPr>
          <w:rFonts w:hint="eastAsia" w:ascii="仿宋_GB2312" w:hAnsi="Times New Roman" w:eastAsia="仿宋_GB2312" w:cs="Times New Roman"/>
          <w:b/>
          <w:bCs/>
          <w:sz w:val="32"/>
          <w:szCs w:val="32"/>
          <w:highlight w:val="none"/>
        </w:rPr>
        <w:t>一是</w:t>
      </w:r>
      <w:r>
        <w:rPr>
          <w:rFonts w:hint="eastAsia" w:ascii="仿宋_GB2312" w:hAnsi="Times New Roman" w:eastAsia="仿宋_GB2312" w:cs="Times New Roman"/>
          <w:sz w:val="32"/>
          <w:szCs w:val="32"/>
          <w:highlight w:val="none"/>
        </w:rPr>
        <w:t>健全各项规章制度，全面贯彻普法规划的总体部署和要求，严格履行“谁执法谁普法”责任制，形成以领导带头垂范、职工认真落实、群众普遍参与的法治宣传教育格局</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b/>
          <w:bCs/>
          <w:sz w:val="32"/>
          <w:szCs w:val="32"/>
          <w:highlight w:val="none"/>
        </w:rPr>
        <w:t>二是</w:t>
      </w:r>
      <w:r>
        <w:rPr>
          <w:rFonts w:hint="eastAsia" w:ascii="仿宋_GB2312" w:hAnsi="Times New Roman" w:eastAsia="仿宋_GB2312" w:cs="Times New Roman"/>
          <w:sz w:val="32"/>
          <w:szCs w:val="32"/>
          <w:highlight w:val="none"/>
        </w:rPr>
        <w:t>注重在实际工作中依法行政。领导干部带头学法、守法、用法，增强法律意识，树立法制观念，努力提高依法决策、依法行政、依法管理的水平</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b/>
          <w:bCs/>
          <w:sz w:val="32"/>
          <w:szCs w:val="32"/>
          <w:highlight w:val="none"/>
        </w:rPr>
        <w:t>三是</w:t>
      </w:r>
      <w:r>
        <w:rPr>
          <w:rFonts w:hint="eastAsia" w:ascii="仿宋_GB2312" w:hAnsi="Times New Roman" w:eastAsia="仿宋_GB2312" w:cs="Times New Roman"/>
          <w:sz w:val="32"/>
          <w:szCs w:val="32"/>
          <w:highlight w:val="none"/>
        </w:rPr>
        <w:t>健全完善医疗保障局依法决策、依法行政工作机制，严格落实权力清单制度。四是大力宣传医保领域法律法规，创新开展医疗保障法规普法活动，形成人人守法的良好氛围</w:t>
      </w:r>
      <w:r>
        <w:rPr>
          <w:rFonts w:hint="eastAsia" w:ascii="仿宋_GB2312" w:hAnsi="Times New Roman" w:eastAsia="仿宋_GB2312" w:cs="Times New Roman"/>
          <w:sz w:val="32"/>
          <w:szCs w:val="32"/>
          <w:highlight w:val="none"/>
        </w:rPr>
        <w:t>。</w:t>
      </w:r>
    </w:p>
    <w:p w14:paraId="32CB88F7">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Times New Roman" w:eastAsia="仿宋_GB2312" w:cs="Times New Roman"/>
          <w:sz w:val="32"/>
          <w:szCs w:val="32"/>
          <w:highlight w:val="none"/>
        </w:rPr>
      </w:pPr>
      <w:r>
        <w:rPr>
          <w:rFonts w:hint="eastAsia" w:ascii="楷体_GB2312" w:hAnsi="Times New Roman" w:eastAsia="楷体_GB2312" w:cs="Times New Roman"/>
          <w:sz w:val="32"/>
          <w:szCs w:val="32"/>
          <w:highlight w:val="none"/>
        </w:rPr>
        <w:t>（五）加大培训力度，提高监管队伍依法行政能力建设。</w:t>
      </w:r>
      <w:r>
        <w:rPr>
          <w:rFonts w:hint="eastAsia" w:ascii="仿宋_GB2312" w:hAnsi="Times New Roman" w:eastAsia="仿宋_GB2312" w:cs="Times New Roman"/>
          <w:sz w:val="32"/>
          <w:szCs w:val="32"/>
          <w:highlight w:val="none"/>
        </w:rPr>
        <w:t>建立健全法律法规培训和讲座制度，充分利用党支部学习、业务学习、执法人员法律知识培训等契机，开展法律法规的学习和培训，提高全局干部职工的法治意识。</w:t>
      </w:r>
    </w:p>
    <w:p w14:paraId="4C7D5233">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ascii="仿宋_GB2312" w:hAnsi="Times New Roman" w:eastAsia="仿宋_GB2312" w:cs="Times New Roman"/>
          <w:sz w:val="32"/>
          <w:szCs w:val="32"/>
          <w:highlight w:val="none"/>
        </w:rPr>
      </w:pPr>
      <w:r>
        <w:rPr>
          <w:rFonts w:hint="eastAsia" w:ascii="楷体_GB2312" w:hAnsi="Times New Roman" w:eastAsia="楷体_GB2312" w:cs="Times New Roman"/>
          <w:sz w:val="32"/>
          <w:szCs w:val="32"/>
          <w:highlight w:val="none"/>
        </w:rPr>
        <w:t>（六）继续加大医疗保障政策宣传力度。</w:t>
      </w:r>
      <w:r>
        <w:rPr>
          <w:rFonts w:hint="eastAsia" w:ascii="仿宋_GB2312" w:hAnsi="Times New Roman" w:eastAsia="仿宋_GB2312" w:cs="Times New Roman"/>
          <w:sz w:val="32"/>
          <w:szCs w:val="32"/>
          <w:highlight w:val="none"/>
        </w:rPr>
        <w:t>要进一步完善普法制度机制，强化法治宣传社会效应，加大政策解读的工作力度。持续抓好宪法法律普及，全面落实“八五”普法规划各项任务，认真组织开展2025年“打击欺诈骗保，维护基金安全”集中宣传月活动，</w:t>
      </w:r>
      <w:r>
        <w:rPr>
          <w:rFonts w:hint="eastAsia" w:ascii="仿宋_GB2312" w:hAnsi="Times New Roman" w:eastAsia="仿宋_GB2312" w:cs="Times New Roman"/>
          <w:sz w:val="32"/>
          <w:szCs w:val="32"/>
          <w:highlight w:val="none"/>
        </w:rPr>
        <w:t>引导更多人关心关注医疗保障工作，让医保政策深入人心，推动医疗保障普法工作再上新台阶。</w:t>
      </w:r>
    </w:p>
    <w:p w14:paraId="3CFB28CB">
      <w:pPr>
        <w:pStyle w:val="6"/>
        <w:keepNext w:val="0"/>
        <w:keepLines w:val="0"/>
        <w:pageBreakBefore w:val="0"/>
        <w:kinsoku/>
        <w:wordWrap/>
        <w:overflowPunct/>
        <w:topLinePunct w:val="0"/>
        <w:autoSpaceDE/>
        <w:autoSpaceDN/>
        <w:bidi w:val="0"/>
        <w:adjustRightInd/>
        <w:spacing w:line="560" w:lineRule="exact"/>
        <w:ind w:firstLine="640"/>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五、其他需要报告的情况</w:t>
      </w:r>
    </w:p>
    <w:p w14:paraId="716686BF">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sz w:val="32"/>
          <w:szCs w:val="32"/>
          <w:highlight w:val="none"/>
        </w:rPr>
      </w:pPr>
      <w:r>
        <w:rPr>
          <w:rFonts w:hint="eastAsia" w:ascii="仿宋_GB2312" w:hAnsi="仿宋" w:eastAsia="仿宋_GB2312" w:cs="仿宋_GB2312"/>
          <w:sz w:val="32"/>
          <w:szCs w:val="32"/>
          <w:highlight w:val="none"/>
        </w:rPr>
        <w:t>无。</w:t>
      </w:r>
    </w:p>
    <w:p w14:paraId="3E4C5DCE">
      <w:pPr>
        <w:pStyle w:val="3"/>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400C0"/>
    <w:rsid w:val="2CD400C0"/>
    <w:rsid w:val="33F2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rPr>
  </w:style>
  <w:style w:type="paragraph" w:styleId="3">
    <w:name w:val="footer"/>
    <w:basedOn w:val="1"/>
    <w:unhideWhenUsed/>
    <w:qFormat/>
    <w:uiPriority w:val="99"/>
    <w:pPr>
      <w:snapToGrid w:val="0"/>
      <w:jc w:val="left"/>
    </w:pPr>
    <w:rPr>
      <w:sz w:val="18"/>
      <w:szCs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6940</Words>
  <Characters>7036</Characters>
  <Lines>0</Lines>
  <Paragraphs>0</Paragraphs>
  <TotalTime>8</TotalTime>
  <ScaleCrop>false</ScaleCrop>
  <LinksUpToDate>false</LinksUpToDate>
  <CharactersWithSpaces>7037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2024-12-30T03:39:00Z</dcterms:created>
  <dc:creator>admin</dc:creator>
  <cp:lastModifiedBy>杨中友</cp:lastModifiedBy>
  <dcterms:modified xsi:type="dcterms:W3CDTF">2024-12-31T02:02:27Z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eyJoZGlkIjoiOTYxNDc5YzEyMmIwZDNjZTlkOWRiZDZhOTk3YjEwZGEiLCJ1c2VySWQiOiI0MzQyMzAxNjQifQ==</vt:lpwstr>
  </property>
  <property fmtid="{D5CDD505-2E9C-101B-9397-08002B2CF9AE}" pid="4" name="ICV">
    <vt:lpwstr>2B6D19ED37BB4AE4AF9F0423C6F19549_12</vt:lpwstr>
  </property>
</Properties>
</file>