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6FAC5">
      <w:pPr>
        <w:spacing w:line="560" w:lineRule="exact"/>
        <w:rPr>
          <w:rFonts w:ascii="黑体" w:hAnsi="黑体" w:eastAsia="黑体"/>
          <w:spacing w:val="-20"/>
        </w:rPr>
      </w:pPr>
    </w:p>
    <w:p w14:paraId="30C41E34">
      <w:pPr>
        <w:spacing w:line="560" w:lineRule="exact"/>
        <w:rPr>
          <w:rFonts w:ascii="黑体" w:hAnsi="黑体" w:eastAsia="黑体"/>
          <w:color w:val="FF0000"/>
          <w:spacing w:val="-20"/>
        </w:rPr>
      </w:pPr>
    </w:p>
    <w:p w14:paraId="55B6CC87">
      <w:pPr>
        <w:spacing w:line="560" w:lineRule="exact"/>
        <w:rPr>
          <w:rFonts w:ascii="黑体" w:hAnsi="黑体" w:eastAsia="黑体"/>
          <w:color w:val="FF0000"/>
          <w:spacing w:val="-20"/>
        </w:rPr>
      </w:pPr>
    </w:p>
    <w:p w14:paraId="2DBF2FF7">
      <w:pPr>
        <w:snapToGrid w:val="0"/>
        <w:spacing w:line="1500" w:lineRule="exact"/>
        <w:jc w:val="center"/>
        <w:rPr>
          <w:rFonts w:hint="eastAsia" w:ascii="方正小标宋简体" w:hAnsi="方正小标宋简体" w:eastAsia="方正小标宋简体" w:cs="方正小标宋简体"/>
          <w:color w:val="FF0000"/>
          <w:spacing w:val="-57"/>
          <w:w w:val="66"/>
          <w:sz w:val="82"/>
          <w:szCs w:val="96"/>
        </w:rPr>
      </w:pPr>
      <w:r>
        <w:rPr>
          <w:rFonts w:hint="eastAsia" w:ascii="方正小标宋简体" w:hAnsi="方正小标宋简体" w:eastAsia="方正小标宋简体" w:cs="方正小标宋简体"/>
          <w:color w:val="FF0000"/>
          <w:spacing w:val="-57"/>
          <w:w w:val="66"/>
          <w:sz w:val="96"/>
          <w:szCs w:val="96"/>
        </w:rPr>
        <w:t>中共北京市西城区委大栅栏街道工委</w:t>
      </w:r>
    </w:p>
    <w:p w14:paraId="110F3F3A">
      <w:pPr>
        <w:spacing w:line="560" w:lineRule="exact"/>
        <w:jc w:val="center"/>
        <w:rPr>
          <w:rFonts w:hAnsi="Times"/>
          <w:color w:val="FF0000"/>
          <w:spacing w:val="-8"/>
          <w:w w:val="49"/>
        </w:rPr>
      </w:pPr>
    </w:p>
    <w:p w14:paraId="19001185">
      <w:pPr>
        <w:spacing w:line="560" w:lineRule="exact"/>
        <w:jc w:val="center"/>
        <w:rPr>
          <w:rFonts w:hAnsi="仿宋_GB2312" w:cs="仿宋_GB2312"/>
          <w:color w:val="FF0000"/>
          <w:spacing w:val="-8"/>
          <w:w w:val="49"/>
        </w:rPr>
      </w:pPr>
    </w:p>
    <w:p w14:paraId="7890F018">
      <w:pPr>
        <w:tabs>
          <w:tab w:val="left" w:pos="8789"/>
        </w:tabs>
        <w:spacing w:line="360" w:lineRule="exact"/>
        <w:rPr>
          <w:rFonts w:hint="eastAsia" w:ascii="楷体_GB2312" w:hAnsi="楷体_GB2312" w:eastAsia="楷体_GB2312" w:cs="楷体_GB2312"/>
          <w:sz w:val="32"/>
          <w:szCs w:val="21"/>
          <w:lang w:eastAsia="zh-CN"/>
        </w:rPr>
      </w:pPr>
      <w:r>
        <w:rPr>
          <w:rFonts w:hint="eastAsia" w:ascii="仿宋_GB2312" w:hAnsi="Times" w:eastAsia="仿宋_GB2312" w:cs="仿宋_GB2312"/>
          <w:sz w:val="32"/>
          <w:szCs w:val="21"/>
        </w:rPr>
        <w:t>西大工委文〔20</w:t>
      </w:r>
      <w:r>
        <w:rPr>
          <w:rFonts w:hint="eastAsia" w:ascii="仿宋_GB2312" w:hAnsi="Times" w:eastAsia="仿宋_GB2312" w:cs="仿宋_GB2312"/>
          <w:sz w:val="32"/>
          <w:szCs w:val="21"/>
          <w:lang w:val="en-US" w:eastAsia="zh-CN"/>
        </w:rPr>
        <w:t>24</w:t>
      </w:r>
      <w:r>
        <w:rPr>
          <w:rFonts w:hint="eastAsia" w:ascii="仿宋_GB2312" w:hAnsi="Times" w:eastAsia="仿宋_GB2312" w:cs="仿宋_GB2312"/>
          <w:sz w:val="32"/>
          <w:szCs w:val="21"/>
        </w:rPr>
        <w:t>〕</w:t>
      </w:r>
      <w:r>
        <w:rPr>
          <w:rFonts w:hint="eastAsia" w:ascii="仿宋_GB2312" w:hAnsi="Times" w:eastAsia="仿宋_GB2312" w:cs="仿宋_GB2312"/>
          <w:sz w:val="32"/>
          <w:szCs w:val="21"/>
          <w:lang w:val="en-US" w:eastAsia="zh-CN"/>
        </w:rPr>
        <w:t>19</w:t>
      </w:r>
      <w:r>
        <w:rPr>
          <w:rFonts w:hint="eastAsia" w:ascii="仿宋_GB2312" w:hAnsi="Times" w:eastAsia="仿宋_GB2312" w:cs="仿宋_GB2312"/>
          <w:sz w:val="32"/>
          <w:szCs w:val="21"/>
        </w:rPr>
        <w:t xml:space="preserve">号     </w:t>
      </w:r>
      <w:r>
        <w:rPr>
          <w:rFonts w:hint="eastAsia" w:ascii="仿宋_GB2312" w:hAnsi="Times" w:eastAsia="仿宋_GB2312" w:cs="仿宋_GB2312"/>
          <w:sz w:val="32"/>
          <w:szCs w:val="21"/>
          <w:lang w:val="en-US" w:eastAsia="zh-CN"/>
        </w:rPr>
        <w:t xml:space="preserve">  </w:t>
      </w:r>
      <w:r>
        <w:rPr>
          <w:rFonts w:hint="eastAsia" w:ascii="仿宋_GB2312" w:hAnsi="Times" w:eastAsia="仿宋_GB2312" w:cs="仿宋_GB2312"/>
          <w:sz w:val="32"/>
          <w:szCs w:val="21"/>
        </w:rPr>
        <w:t xml:space="preserve">    </w:t>
      </w:r>
      <w:r>
        <w:rPr>
          <w:rFonts w:hint="eastAsia" w:ascii="仿宋_GB2312" w:hAnsi="Times" w:eastAsia="仿宋_GB2312" w:cs="仿宋_GB2312"/>
          <w:sz w:val="32"/>
          <w:szCs w:val="21"/>
          <w:lang w:val="en-US" w:eastAsia="zh-CN"/>
        </w:rPr>
        <w:t xml:space="preserve"> </w:t>
      </w:r>
      <w:r>
        <w:rPr>
          <w:rFonts w:hint="eastAsia" w:ascii="仿宋_GB2312" w:hAnsi="Times" w:eastAsia="仿宋_GB2312" w:cs="仿宋_GB2312"/>
          <w:sz w:val="32"/>
          <w:szCs w:val="21"/>
        </w:rPr>
        <w:t xml:space="preserve"> 签发人：</w:t>
      </w:r>
      <w:r>
        <w:rPr>
          <w:rFonts w:hint="eastAsia" w:ascii="楷体_GB2312" w:hAnsi="楷体_GB2312" w:eastAsia="楷体_GB2312" w:cs="楷体_GB2312"/>
          <w:sz w:val="32"/>
          <w:szCs w:val="21"/>
          <w:lang w:eastAsia="zh-CN"/>
        </w:rPr>
        <w:t>谭高强</w:t>
      </w:r>
      <w:r>
        <w:rPr>
          <w:rFonts w:hint="eastAsia" w:ascii="楷体_GB2312" w:hAnsi="楷体_GB2312" w:eastAsia="楷体_GB2312" w:cs="楷体_GB2312"/>
          <w:sz w:val="32"/>
          <w:szCs w:val="21"/>
          <w:lang w:val="en-US" w:eastAsia="zh-CN"/>
        </w:rPr>
        <w:t xml:space="preserve"> </w:t>
      </w:r>
      <w:r>
        <w:rPr>
          <w:rFonts w:hint="eastAsia" w:ascii="楷体_GB2312" w:hAnsi="楷体_GB2312" w:eastAsia="楷体_GB2312" w:cs="楷体_GB2312"/>
          <w:sz w:val="32"/>
          <w:szCs w:val="21"/>
          <w:lang w:eastAsia="zh-CN"/>
        </w:rPr>
        <w:t>姜塽</w:t>
      </w:r>
    </w:p>
    <w:p w14:paraId="315C35AE">
      <w:pPr>
        <w:spacing w:line="360" w:lineRule="exact"/>
        <w:jc w:val="center"/>
        <w:rPr>
          <w:rFonts w:hint="eastAsia" w:ascii="仿宋_GB2312" w:hAnsi="Times" w:eastAsia="仿宋_GB2312" w:cs="仿宋_GB2312"/>
          <w:sz w:val="32"/>
          <w:szCs w:val="21"/>
        </w:rPr>
      </w:pPr>
      <w:r>
        <w:rPr>
          <w:rFonts w:hint="eastAsia" w:ascii="仿宋_GB2312" w:hAnsi="Times" w:eastAsia="仿宋_GB2312" w:cs="仿宋_GB2312"/>
          <w:sz w:val="32"/>
          <w:szCs w:val="21"/>
        </w:rPr>
        <mc:AlternateContent>
          <mc:Choice Requires="wps">
            <w:drawing>
              <wp:anchor distT="0" distB="0" distL="114300" distR="114300" simplePos="0" relativeHeight="251659264" behindDoc="0" locked="0" layoutInCell="1" allowOverlap="1">
                <wp:simplePos x="0" y="0"/>
                <wp:positionH relativeFrom="column">
                  <wp:posOffset>2992120</wp:posOffset>
                </wp:positionH>
                <wp:positionV relativeFrom="paragraph">
                  <wp:posOffset>135890</wp:posOffset>
                </wp:positionV>
                <wp:extent cx="259207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592070" cy="0"/>
                        </a:xfrm>
                        <a:prstGeom prst="line">
                          <a:avLst/>
                        </a:prstGeom>
                        <a:ln w="6350" cap="flat" cmpd="sng">
                          <a:solidFill>
                            <a:srgbClr val="FF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35.6pt;margin-top:10.7pt;height:0pt;width:204.1pt;z-index:251659264;mso-width-relative:page;mso-height-relative:page;" filled="f" stroked="t" coordsize="21600,21600" o:gfxdata="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cBcztUAAAAJAQAADwAAAAAAAAABACAAAAAiAAAAZHJzL2Rvd25yZXYueG1s&#10;UEsBAhQAFAAAAAgAh07iQHw4CHj7AQAA7gMAAA4AAAAAAAAAAQAgAAAAJAEAAGRycy9lMm9Eb2Mu&#10;eG1sUEsFBgAAAAAGAAYAWQEAAJEFAAAAAA==&#10;">
                <v:fill on="f" focussize="0,0"/>
                <v:stroke weight="0.5pt" color="#FF0000" joinstyle="miter"/>
                <v:imagedata o:title=""/>
                <o:lock v:ext="edit" aspectratio="f"/>
              </v:line>
            </w:pict>
          </mc:Fallback>
        </mc:AlternateContent>
      </w:r>
      <w:r>
        <w:rPr>
          <w:rFonts w:hint="eastAsia" w:ascii="仿宋_GB2312" w:hAnsi="Times" w:eastAsia="仿宋_GB2312" w:cs="仿宋_GB2312"/>
          <w:sz w:val="32"/>
          <w:szCs w:val="21"/>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132080</wp:posOffset>
                </wp:positionV>
                <wp:extent cx="259207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592070" cy="0"/>
                        </a:xfrm>
                        <a:prstGeom prst="line">
                          <a:avLst/>
                        </a:prstGeom>
                        <a:ln w="6350" cap="flat" cmpd="sng">
                          <a:solidFill>
                            <a:srgbClr val="FF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4pt;margin-top:10.4pt;height:0pt;width:204.1pt;z-index:251660288;mso-width-relative:page;mso-height-relative:page;" filled="f" stroked="t" coordsize="21600,21600" o:gfxdata="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ZfOO0QAAAAcBAAAPAAAAAAAAAAEAIAAAACIAAABkcnMvZG93bnJldi54bWxQSwEC&#10;FAAUAAAACACHTuJAYKXXWvsBAADuAwAADgAAAAAAAAABACAAAAAgAQAAZHJzL2Uyb0RvYy54bWxQ&#10;SwUGAAAAAAYABgBZAQAAjQUAAAAA&#10;">
                <v:fill on="f" focussize="0,0"/>
                <v:stroke weight="0.5pt" color="#FF0000" joinstyle="miter"/>
                <v:imagedata o:title=""/>
                <o:lock v:ext="edit" aspectratio="f"/>
              </v:line>
            </w:pict>
          </mc:Fallback>
        </mc:AlternateContent>
      </w:r>
      <w:r>
        <w:rPr>
          <w:rFonts w:hint="eastAsia" w:ascii="方正仿宋_GBK" w:hAnsi="Times" w:eastAsia="方正仿宋_GBK" w:cs="方正仿宋_GBK"/>
          <w:color w:val="FF0000"/>
          <w:position w:val="-6"/>
          <w:sz w:val="44"/>
          <w:szCs w:val="44"/>
        </w:rPr>
        <w:t>★</w:t>
      </w:r>
    </w:p>
    <w:p w14:paraId="1A3C63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26FC54D6">
      <w:pPr>
        <w:spacing w:line="560" w:lineRule="exact"/>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中共北京市西城区委大栅栏街道工作委员会</w:t>
      </w:r>
    </w:p>
    <w:p w14:paraId="56EC58D2">
      <w:pPr>
        <w:spacing w:line="560" w:lineRule="exact"/>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北京市西城区人民政府大栅栏街道办事处</w:t>
      </w:r>
    </w:p>
    <w:p w14:paraId="434F7765">
      <w:pPr>
        <w:spacing w:line="560" w:lineRule="exact"/>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2024年法治政府建设工作情况报告</w:t>
      </w:r>
    </w:p>
    <w:p w14:paraId="51EA95AF">
      <w:pPr>
        <w:pStyle w:val="2"/>
      </w:pPr>
    </w:p>
    <w:p w14:paraId="2492AC03">
      <w:pPr>
        <w:spacing w:line="560" w:lineRule="exact"/>
        <w:rPr>
          <w:rFonts w:ascii="仿宋_GB2312" w:hAnsi="仿宋_GB2312" w:eastAsia="仿宋_GB2312" w:cs="仿宋_GB2312"/>
          <w:sz w:val="32"/>
          <w:szCs w:val="40"/>
        </w:rPr>
      </w:pPr>
      <w:r>
        <w:rPr>
          <w:rFonts w:hint="eastAsia" w:ascii="仿宋_GB2312" w:hAnsi="仿宋_GB2312" w:eastAsia="仿宋_GB2312" w:cs="仿宋_GB2312"/>
          <w:sz w:val="32"/>
          <w:szCs w:val="40"/>
        </w:rPr>
        <w:t>区委、区政府：</w:t>
      </w:r>
    </w:p>
    <w:p w14:paraId="18B018B8">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2024年，大栅栏街道办事处在西城区委、区政府的领导下，坚持以习近平新时代中国特色社会主义思想为指导，全面贯彻党的二十大精神及二十届三中全会精神，深入贯彻落实习近平法治思想，认真落实中共中央、国务院和市委市政府、区委区政府关于法治政府建设的各项工作部署，不断提升依法行政工作水平，扎实推进法治建设，为街道提升基层治理能力水平提供有力的法治保障。现将2024年度法治政府建设情况报告如下：</w:t>
      </w:r>
    </w:p>
    <w:p w14:paraId="387E9B30">
      <w:pPr>
        <w:spacing w:line="560" w:lineRule="exact"/>
        <w:ind w:firstLine="720"/>
        <w:rPr>
          <w:rFonts w:ascii="黑体" w:hAnsi="黑体" w:eastAsia="黑体" w:cs="Times New Roman"/>
          <w:sz w:val="32"/>
          <w:szCs w:val="32"/>
        </w:rPr>
      </w:pPr>
      <w:r>
        <w:rPr>
          <w:rFonts w:hint="eastAsia" w:ascii="黑体" w:hAnsi="黑体" w:eastAsia="黑体" w:cs="Times New Roman"/>
          <w:sz w:val="32"/>
          <w:szCs w:val="32"/>
        </w:rPr>
        <w:t>一、2024年度推进法治政府建设的主要举措和成效</w:t>
      </w:r>
    </w:p>
    <w:p w14:paraId="03C7DEAE">
      <w:pPr>
        <w:pStyle w:val="18"/>
        <w:widowControl/>
        <w:tabs>
          <w:tab w:val="left" w:pos="1285"/>
        </w:tabs>
        <w:spacing w:line="560" w:lineRule="exact"/>
        <w:ind w:firstLine="640" w:firstLineChars="200"/>
        <w:jc w:val="both"/>
        <w:rPr>
          <w:rFonts w:hint="eastAsia" w:ascii="楷体_GB2312" w:hAnsi="楷体_GB2312" w:eastAsia="楷体_GB2312" w:cs="楷体_GB2312"/>
          <w:color w:val="000000"/>
          <w:sz w:val="32"/>
          <w:szCs w:val="32"/>
          <w:lang w:eastAsia="zh-CN"/>
        </w:rPr>
      </w:pPr>
      <w:r>
        <w:rPr>
          <w:rFonts w:ascii="楷体_GB2312" w:hAnsi="楷体_GB2312" w:eastAsia="楷体_GB2312" w:cs="楷体_GB2312"/>
          <w:color w:val="000000"/>
          <w:sz w:val="32"/>
          <w:szCs w:val="32"/>
        </w:rPr>
        <w:t>（一）</w:t>
      </w:r>
      <w:r>
        <w:rPr>
          <w:rFonts w:hint="eastAsia" w:ascii="楷体_GB2312" w:hAnsi="楷体_GB2312" w:eastAsia="楷体_GB2312" w:cs="楷体_GB2312"/>
          <w:color w:val="000000"/>
          <w:sz w:val="32"/>
          <w:szCs w:val="32"/>
          <w:lang w:eastAsia="zh-CN"/>
        </w:rPr>
        <w:t>聚焦</w:t>
      </w:r>
      <w:r>
        <w:rPr>
          <w:rFonts w:ascii="楷体_GB2312" w:hAnsi="楷体_GB2312" w:eastAsia="楷体_GB2312" w:cs="楷体_GB2312"/>
          <w:color w:val="000000"/>
          <w:sz w:val="32"/>
          <w:szCs w:val="32"/>
        </w:rPr>
        <w:t>组织领导，统筹法治政府建设</w:t>
      </w:r>
      <w:r>
        <w:rPr>
          <w:rFonts w:hint="eastAsia" w:ascii="楷体_GB2312" w:hAnsi="楷体_GB2312" w:eastAsia="楷体_GB2312" w:cs="楷体_GB2312"/>
          <w:color w:val="000000"/>
          <w:sz w:val="32"/>
          <w:szCs w:val="32"/>
          <w:lang w:eastAsia="zh-CN"/>
        </w:rPr>
        <w:t>迈上新台阶</w:t>
      </w:r>
    </w:p>
    <w:p w14:paraId="2DB2C9E1">
      <w:pPr>
        <w:spacing w:line="560" w:lineRule="exact"/>
        <w:ind w:firstLine="643" w:firstLineChars="200"/>
        <w:rPr>
          <w:rFonts w:hint="eastAsia" w:ascii="仿宋_GB2312" w:eastAsia="仿宋_GB2312"/>
          <w:sz w:val="32"/>
          <w:szCs w:val="32"/>
          <w:lang w:eastAsia="zh-CN"/>
        </w:rPr>
      </w:pPr>
      <w:r>
        <w:rPr>
          <w:rFonts w:hint="eastAsia" w:ascii="仿宋_GB2312" w:hAnsi="仿宋_GB2312" w:eastAsia="仿宋_GB2312" w:cs="仿宋_GB2312"/>
          <w:b/>
          <w:bCs/>
          <w:sz w:val="32"/>
          <w:szCs w:val="40"/>
          <w:lang w:eastAsia="zh-CN"/>
        </w:rPr>
        <w:t>一是加强</w:t>
      </w:r>
      <w:r>
        <w:rPr>
          <w:rFonts w:hint="eastAsia" w:ascii="仿宋_GB2312" w:hAnsi="仿宋_GB2312" w:eastAsia="仿宋_GB2312" w:cs="仿宋_GB2312"/>
          <w:b/>
          <w:bCs/>
          <w:sz w:val="32"/>
          <w:szCs w:val="40"/>
        </w:rPr>
        <w:t>思想引领。建立常态化学习机制</w:t>
      </w:r>
      <w:r>
        <w:rPr>
          <w:rFonts w:hint="eastAsia" w:ascii="仿宋_GB2312" w:hAnsi="仿宋_GB2312" w:eastAsia="仿宋_GB2312" w:cs="仿宋_GB2312"/>
          <w:sz w:val="32"/>
          <w:szCs w:val="40"/>
        </w:rPr>
        <w:t>，深学细悟党的二十大精神、二十届二中全会精神、二十届三中全会精神和习近平法治思想，准确领会党中央对法治建设的部署要求，为法治政府建设提供理论指引。在学习中，领导干部带头宣讲，把习近平法治思想的学习宣传列入</w:t>
      </w:r>
      <w:r>
        <w:rPr>
          <w:rFonts w:hint="eastAsia" w:ascii="仿宋_GB2312" w:eastAsia="仿宋_GB2312"/>
          <w:sz w:val="32"/>
          <w:szCs w:val="32"/>
        </w:rPr>
        <w:t>街道</w:t>
      </w:r>
      <w:r>
        <w:rPr>
          <w:rFonts w:hint="eastAsia" w:ascii="仿宋_GB2312" w:eastAsia="仿宋_GB2312"/>
          <w:sz w:val="32"/>
          <w:szCs w:val="32"/>
          <w:lang w:eastAsia="zh-CN"/>
        </w:rPr>
        <w:t>理论学习中心组</w:t>
      </w:r>
      <w:r>
        <w:rPr>
          <w:rFonts w:hint="eastAsia" w:ascii="仿宋_GB2312" w:eastAsia="仿宋_GB2312"/>
          <w:sz w:val="32"/>
          <w:szCs w:val="32"/>
        </w:rPr>
        <w:t>、工委会、主任办公会会</w:t>
      </w:r>
      <w:r>
        <w:rPr>
          <w:rFonts w:hint="eastAsia" w:ascii="仿宋_GB2312" w:hAnsi="仿宋_GB2312" w:eastAsia="仿宋_GB2312" w:cs="仿宋_GB2312"/>
          <w:sz w:val="32"/>
          <w:szCs w:val="40"/>
          <w:lang w:val="en-US" w:eastAsia="zh-CN"/>
        </w:rPr>
        <w:t>前</w:t>
      </w:r>
      <w:r>
        <w:rPr>
          <w:rFonts w:hint="eastAsia" w:ascii="仿宋_GB2312" w:hAnsi="仿宋_GB2312" w:eastAsia="仿宋_GB2312" w:cs="仿宋_GB2312"/>
          <w:sz w:val="32"/>
          <w:szCs w:val="40"/>
          <w:highlight w:val="none"/>
          <w:lang w:val="en-US" w:eastAsia="zh-CN"/>
        </w:rPr>
        <w:t>学法活动中</w:t>
      </w:r>
      <w:r>
        <w:rPr>
          <w:rFonts w:hint="eastAsia" w:ascii="仿宋_GB2312" w:eastAsia="仿宋_GB2312"/>
          <w:sz w:val="32"/>
          <w:szCs w:val="32"/>
          <w:highlight w:val="none"/>
        </w:rPr>
        <w:t>。</w:t>
      </w:r>
      <w:r>
        <w:rPr>
          <w:rFonts w:hint="eastAsia" w:ascii="仿宋_GB2312" w:eastAsia="仿宋_GB2312"/>
          <w:sz w:val="32"/>
          <w:szCs w:val="32"/>
        </w:rPr>
        <w:t>组织干部学习《宪法》《民法典》《北京市街道办事处条例》等法律法规，党组织书记讲纪律党课92次。邀请法学专家专题讲解《中华人民共和国行政复议法》；针对辖区居民特点联合区法学会开展“百名法学家报告会”，邀请区专家讲解当前社区、街道面临的监护问题及相应的解决途径。</w:t>
      </w:r>
    </w:p>
    <w:p w14:paraId="1C71F213">
      <w:pPr>
        <w:spacing w:line="560" w:lineRule="exact"/>
        <w:ind w:firstLine="643"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bCs/>
          <w:sz w:val="32"/>
          <w:szCs w:val="40"/>
          <w:lang w:eastAsia="zh-CN"/>
        </w:rPr>
        <w:t>二是</w:t>
      </w:r>
      <w:r>
        <w:rPr>
          <w:rFonts w:hint="eastAsia" w:ascii="仿宋_GB2312" w:hAnsi="仿宋_GB2312" w:eastAsia="仿宋_GB2312" w:cs="仿宋_GB2312"/>
          <w:b/>
          <w:bCs/>
          <w:sz w:val="32"/>
          <w:szCs w:val="40"/>
        </w:rPr>
        <w:t>强化责任落实。</w:t>
      </w:r>
      <w:r>
        <w:rPr>
          <w:rFonts w:hint="eastAsia" w:ascii="仿宋_GB2312" w:hAnsi="仿宋_GB2312" w:eastAsia="仿宋_GB2312" w:cs="仿宋_GB2312"/>
          <w:b w:val="0"/>
          <w:bCs w:val="0"/>
          <w:sz w:val="32"/>
          <w:szCs w:val="40"/>
        </w:rPr>
        <w:t>全面推行清单管理制度，梳理完善部门和个人职责清单，逐级优化街道履职事项，推动政府高效履职尽责。创新一案一册等工作机制，助力社区和街巷治理工作，推进政府职能转变和简政放权、放管结合、优化服务。明确各部门、社区法治工作任务，出台《大栅栏街道2024年度普法依法治理工作重点任务分解》，实现同一事项的规范统一，整合基层一线力量，推动地区法治建设顺利开展。</w:t>
      </w:r>
    </w:p>
    <w:p w14:paraId="561A2D0A">
      <w:pPr>
        <w:spacing w:line="560" w:lineRule="exact"/>
        <w:ind w:firstLine="643" w:firstLineChars="200"/>
        <w:rPr>
          <w:rFonts w:hint="eastAsia"/>
          <w:lang w:eastAsia="zh-CN"/>
        </w:rPr>
      </w:pPr>
      <w:r>
        <w:rPr>
          <w:rFonts w:hint="eastAsia" w:ascii="仿宋_GB2312" w:hAnsi="仿宋_GB2312" w:eastAsia="仿宋_GB2312" w:cs="仿宋_GB2312"/>
          <w:b/>
          <w:bCs/>
          <w:sz w:val="32"/>
          <w:szCs w:val="40"/>
          <w:lang w:eastAsia="zh-CN"/>
        </w:rPr>
        <w:t>三是优化政府职能</w:t>
      </w:r>
      <w:r>
        <w:rPr>
          <w:rFonts w:hint="eastAsia" w:ascii="仿宋_GB2312" w:hAnsi="仿宋_GB2312" w:eastAsia="仿宋_GB2312" w:cs="仿宋_GB2312"/>
          <w:b/>
          <w:bCs/>
          <w:sz w:val="32"/>
          <w:szCs w:val="40"/>
        </w:rPr>
        <w:t>。</w:t>
      </w:r>
      <w:r>
        <w:rPr>
          <w:rFonts w:hint="eastAsia" w:ascii="仿宋_GB2312" w:hAnsi="仿宋_GB2312" w:eastAsia="仿宋_GB2312" w:cs="仿宋_GB2312"/>
          <w:sz w:val="32"/>
          <w:szCs w:val="40"/>
          <w:lang w:eastAsia="zh-CN"/>
        </w:rPr>
        <w:t>加强党对依法行政制度体系工作的全面领导，街道工委会定期听取依法行政工作情况汇报，切实履行推进本地区法治建设领导职责。对照《法治政府建设实施纲要（2021—2025年）》、行政执法“三项制度”（行政执法公示制度、执法全过程记录制度、重大执法决定法制审核制度）等总结工作经验、查找短板不足，深挖产生原因，举一反三建立长效机制，做到以行促改。</w:t>
      </w:r>
    </w:p>
    <w:p w14:paraId="1B383D8B">
      <w:pPr>
        <w:pStyle w:val="18"/>
        <w:widowControl/>
        <w:tabs>
          <w:tab w:val="left" w:pos="1285"/>
        </w:tabs>
        <w:spacing w:line="560" w:lineRule="exact"/>
        <w:ind w:firstLine="640" w:firstLineChars="200"/>
        <w:jc w:val="both"/>
        <w:rPr>
          <w:rFonts w:hint="eastAsia" w:ascii="仿宋_GB2312" w:hAnsi="仿宋_GB2312" w:eastAsia="仿宋_GB2312" w:cs="仿宋_GB2312"/>
          <w:sz w:val="32"/>
          <w:szCs w:val="40"/>
          <w:lang w:eastAsia="zh-CN"/>
        </w:rPr>
      </w:pPr>
      <w:r>
        <w:rPr>
          <w:rFonts w:ascii="楷体_GB2312" w:hAnsi="楷体_GB2312" w:eastAsia="楷体_GB2312" w:cs="楷体_GB2312"/>
          <w:color w:val="000000"/>
          <w:sz w:val="32"/>
          <w:szCs w:val="32"/>
        </w:rPr>
        <w:t>（二）健全体制机制，推进政府治理规范化</w:t>
      </w:r>
      <w:r>
        <w:rPr>
          <w:rFonts w:hint="eastAsia" w:ascii="楷体_GB2312" w:hAnsi="楷体_GB2312" w:eastAsia="楷体_GB2312" w:cs="楷体_GB2312"/>
          <w:color w:val="000000"/>
          <w:sz w:val="32"/>
          <w:szCs w:val="32"/>
          <w:lang w:eastAsia="zh-CN"/>
        </w:rPr>
        <w:t>迈上新台阶</w:t>
      </w:r>
    </w:p>
    <w:p w14:paraId="1394F0AC">
      <w:pPr>
        <w:pStyle w:val="18"/>
        <w:widowControl/>
        <w:tabs>
          <w:tab w:val="left" w:pos="1285"/>
        </w:tabs>
        <w:spacing w:line="560" w:lineRule="exact"/>
        <w:ind w:firstLine="643" w:firstLineChars="200"/>
        <w:jc w:val="both"/>
        <w:rPr>
          <w:rFonts w:hint="default"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一是</w:t>
      </w:r>
      <w:r>
        <w:rPr>
          <w:rFonts w:ascii="仿宋_GB2312" w:hAnsi="仿宋_GB2312" w:eastAsia="仿宋_GB2312" w:cs="仿宋_GB2312"/>
          <w:b/>
          <w:bCs/>
          <w:sz w:val="32"/>
          <w:szCs w:val="40"/>
        </w:rPr>
        <w:t>加强行政决策科学化、民主化、法治化。</w:t>
      </w:r>
      <w:r>
        <w:rPr>
          <w:rFonts w:ascii="仿宋_GB2312" w:hAnsi="仿宋_GB2312" w:eastAsia="仿宋_GB2312" w:cs="仿宋_GB2312"/>
          <w:sz w:val="32"/>
          <w:szCs w:val="40"/>
        </w:rPr>
        <w:t>落实大栅栏街道工委《关于“三重一大”事项领导班子集体决策及贯彻执行的有关规定》，街道重大行政决策事项全部实行目录化管理，严格履行公众参与、风险评估、专家论证、合法性审查、集体讨论决定法定程序，确保决策科学、程序正当、过程公开、责任明确，不断提高街道办事处行政决策的质量和公信力。</w:t>
      </w:r>
      <w:r>
        <w:rPr>
          <w:rFonts w:hint="eastAsia" w:ascii="仿宋_GB2312" w:hAnsi="仿宋_GB2312" w:eastAsia="仿宋_GB2312" w:cs="仿宋_GB2312"/>
          <w:sz w:val="32"/>
          <w:szCs w:val="40"/>
          <w:lang w:eastAsia="zh-CN"/>
        </w:rPr>
        <w:t>严格落实大栅栏街道办事处《关于司法所所长列席街道主任办公会议办法（试行）》。</w:t>
      </w:r>
      <w:r>
        <w:rPr>
          <w:rFonts w:ascii="仿宋_GB2312" w:hAnsi="仿宋_GB2312" w:eastAsia="仿宋_GB2312" w:cs="仿宋_GB2312"/>
          <w:sz w:val="32"/>
          <w:szCs w:val="40"/>
        </w:rPr>
        <w:t>认真落实政府法律顾问制度，</w:t>
      </w:r>
      <w:r>
        <w:rPr>
          <w:rFonts w:hint="default" w:ascii="仿宋_GB2312" w:hAnsi="仿宋_GB2312" w:eastAsia="仿宋_GB2312" w:cs="仿宋_GB2312"/>
          <w:sz w:val="32"/>
          <w:szCs w:val="40"/>
        </w:rPr>
        <w:t>聘请专业的律师团队参与街道重大行政决策事项论证、风险评估等依法行政工作，</w:t>
      </w:r>
      <w:r>
        <w:rPr>
          <w:rFonts w:ascii="仿宋_GB2312" w:hAnsi="仿宋_GB2312" w:eastAsia="仿宋_GB2312" w:cs="仿宋_GB2312"/>
          <w:sz w:val="32"/>
          <w:szCs w:val="40"/>
        </w:rPr>
        <w:t>充分发挥政府法律顾问在参与制定重大行政决策过程中提出法律意见的积极作用。设立公职律师，推动公职律师在辅助决策等方面发挥作用。</w:t>
      </w:r>
    </w:p>
    <w:p w14:paraId="3BADD6A3">
      <w:pPr>
        <w:spacing w:line="560" w:lineRule="exact"/>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二是</w:t>
      </w:r>
      <w:r>
        <w:rPr>
          <w:rFonts w:hint="eastAsia" w:ascii="仿宋_GB2312" w:hAnsi="仿宋_GB2312" w:eastAsia="仿宋_GB2312" w:cs="仿宋_GB2312"/>
          <w:b/>
          <w:bCs/>
          <w:sz w:val="32"/>
          <w:szCs w:val="40"/>
        </w:rPr>
        <w:t>加强街道行政规范性文件备案审查和清理工作。</w:t>
      </w:r>
      <w:r>
        <w:rPr>
          <w:rFonts w:ascii="仿宋_GB2312" w:hAnsi="仿宋_GB2312" w:eastAsia="仿宋_GB2312" w:cs="仿宋_GB2312"/>
          <w:sz w:val="32"/>
          <w:szCs w:val="40"/>
        </w:rPr>
        <w:t>完善大栅栏街道办事处《关于规范重大决策事项合法性审查工作办法》《规范性文件合法性审核实施办法</w:t>
      </w:r>
      <w:r>
        <w:rPr>
          <w:rFonts w:hint="eastAsia" w:ascii="仿宋_GB2312" w:hAnsi="仿宋_GB2312" w:eastAsia="仿宋_GB2312" w:cs="仿宋_GB2312"/>
          <w:sz w:val="32"/>
          <w:szCs w:val="40"/>
          <w:lang w:eastAsia="zh-CN"/>
        </w:rPr>
        <w:t>（</w:t>
      </w:r>
      <w:r>
        <w:rPr>
          <w:rFonts w:ascii="仿宋_GB2312" w:hAnsi="仿宋_GB2312" w:eastAsia="仿宋_GB2312" w:cs="仿宋_GB2312"/>
          <w:sz w:val="32"/>
          <w:szCs w:val="40"/>
        </w:rPr>
        <w:t>试行</w:t>
      </w:r>
      <w:r>
        <w:rPr>
          <w:rFonts w:hint="eastAsia" w:ascii="仿宋_GB2312" w:hAnsi="仿宋_GB2312" w:eastAsia="仿宋_GB2312" w:cs="仿宋_GB2312"/>
          <w:sz w:val="32"/>
          <w:szCs w:val="40"/>
          <w:lang w:eastAsia="zh-CN"/>
        </w:rPr>
        <w:t>）</w:t>
      </w:r>
      <w:r>
        <w:rPr>
          <w:rFonts w:ascii="仿宋_GB2312" w:hAnsi="仿宋_GB2312" w:eastAsia="仿宋_GB2312" w:cs="仿宋_GB2312"/>
          <w:sz w:val="32"/>
          <w:szCs w:val="40"/>
        </w:rPr>
        <w:t>》等合法性审查制度</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对街道既有规范性文件和规章制度进行修改汇编，</w:t>
      </w:r>
      <w:r>
        <w:rPr>
          <w:rFonts w:hint="eastAsia" w:ascii="仿宋_GB2312" w:hAnsi="仿宋_GB2312" w:eastAsia="仿宋_GB2312" w:cs="仿宋_GB2312"/>
          <w:sz w:val="32"/>
          <w:szCs w:val="40"/>
        </w:rPr>
        <w:t>保障政府治理在法治轨道上运行。</w:t>
      </w:r>
    </w:p>
    <w:p w14:paraId="121C4802">
      <w:pPr>
        <w:spacing w:line="560" w:lineRule="exact"/>
        <w:ind w:firstLine="643"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三是</w:t>
      </w:r>
      <w:r>
        <w:rPr>
          <w:rFonts w:ascii="仿宋_GB2312" w:hAnsi="仿宋_GB2312" w:eastAsia="仿宋_GB2312" w:cs="仿宋_GB2312"/>
          <w:b/>
          <w:bCs/>
          <w:sz w:val="32"/>
          <w:szCs w:val="40"/>
        </w:rPr>
        <w:t>加强行政执法规范化建设</w:t>
      </w:r>
      <w:r>
        <w:rPr>
          <w:rFonts w:hint="eastAsia" w:ascii="仿宋_GB2312" w:hAnsi="仿宋_GB2312" w:eastAsia="仿宋_GB2312" w:cs="仿宋_GB2312"/>
          <w:b/>
          <w:bCs/>
          <w:sz w:val="32"/>
          <w:szCs w:val="40"/>
        </w:rPr>
        <w:t>。</w:t>
      </w:r>
      <w:r>
        <w:rPr>
          <w:rFonts w:hint="eastAsia" w:ascii="仿宋_GB2312" w:hAnsi="仿宋_GB2312" w:eastAsia="仿宋_GB2312" w:cs="仿宋_GB2312"/>
          <w:sz w:val="32"/>
          <w:szCs w:val="40"/>
        </w:rPr>
        <w:t>大栅栏</w:t>
      </w:r>
      <w:r>
        <w:rPr>
          <w:rFonts w:ascii="仿宋_GB2312" w:hAnsi="仿宋_GB2312" w:eastAsia="仿宋_GB2312" w:cs="仿宋_GB2312"/>
          <w:sz w:val="32"/>
          <w:szCs w:val="40"/>
        </w:rPr>
        <w:t>街道严格落实重大行政执法决定</w:t>
      </w:r>
      <w:r>
        <w:rPr>
          <w:rFonts w:hint="eastAsia" w:ascii="仿宋_GB2312" w:hAnsi="仿宋_GB2312" w:eastAsia="仿宋_GB2312" w:cs="仿宋_GB2312"/>
          <w:sz w:val="32"/>
          <w:szCs w:val="40"/>
        </w:rPr>
        <w:t>法治</w:t>
      </w:r>
      <w:r>
        <w:rPr>
          <w:rFonts w:ascii="仿宋_GB2312" w:hAnsi="仿宋_GB2312" w:eastAsia="仿宋_GB2312" w:cs="仿宋_GB2312"/>
          <w:sz w:val="32"/>
          <w:szCs w:val="40"/>
        </w:rPr>
        <w:t>审核制度、行政执法审查制度、执法信息公示制度、案件互审集体评查制度等制度要求，完善</w:t>
      </w:r>
      <w:r>
        <w:rPr>
          <w:rFonts w:hint="eastAsia" w:ascii="仿宋_GB2312" w:hAnsi="仿宋_GB2312" w:eastAsia="仿宋_GB2312" w:cs="仿宋_GB2312"/>
          <w:sz w:val="32"/>
          <w:szCs w:val="40"/>
        </w:rPr>
        <w:t>大栅栏街道办事处《司法行政系统行政执法协调监督办法》《大栅栏街道办事处行政执法责任制和评议考核制度》《大栅栏街道关于实施行政处罚程序的有关规定》《大栅栏街道办事处行政执法公示制度》《大栅栏街道办事处综合行政执法队案卷审查规定》</w:t>
      </w:r>
      <w:r>
        <w:rPr>
          <w:rFonts w:ascii="仿宋_GB2312" w:hAnsi="仿宋_GB2312" w:eastAsia="仿宋_GB2312" w:cs="仿宋_GB2312"/>
          <w:sz w:val="32"/>
          <w:szCs w:val="40"/>
        </w:rPr>
        <w:t>等规范性文件，</w:t>
      </w:r>
    </w:p>
    <w:p w14:paraId="2DBC3385">
      <w:pPr>
        <w:pStyle w:val="18"/>
        <w:widowControl/>
        <w:tabs>
          <w:tab w:val="left" w:pos="1285"/>
        </w:tabs>
        <w:spacing w:line="560" w:lineRule="exact"/>
        <w:ind w:firstLine="640" w:firstLineChars="200"/>
        <w:jc w:val="both"/>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（三）依法</w:t>
      </w:r>
      <w:r>
        <w:rPr>
          <w:rFonts w:ascii="楷体_GB2312" w:hAnsi="楷体_GB2312" w:eastAsia="楷体_GB2312" w:cs="楷体_GB2312"/>
          <w:color w:val="000000"/>
          <w:sz w:val="32"/>
          <w:szCs w:val="32"/>
        </w:rPr>
        <w:t>履行职能</w:t>
      </w:r>
      <w:r>
        <w:rPr>
          <w:rFonts w:hint="default" w:ascii="楷体_GB2312" w:hAnsi="楷体_GB2312" w:eastAsia="楷体_GB2312" w:cs="楷体_GB2312"/>
          <w:color w:val="000000"/>
          <w:sz w:val="32"/>
          <w:szCs w:val="32"/>
        </w:rPr>
        <w:t>，推进</w:t>
      </w:r>
      <w:r>
        <w:rPr>
          <w:rFonts w:hint="eastAsia" w:ascii="楷体_GB2312" w:hAnsi="楷体_GB2312" w:eastAsia="楷体_GB2312" w:cs="楷体_GB2312"/>
          <w:color w:val="000000"/>
          <w:sz w:val="32"/>
          <w:szCs w:val="32"/>
          <w:lang w:eastAsia="zh-CN"/>
        </w:rPr>
        <w:t>严格</w:t>
      </w:r>
      <w:r>
        <w:rPr>
          <w:rFonts w:hint="default" w:ascii="楷体_GB2312" w:hAnsi="楷体_GB2312" w:eastAsia="楷体_GB2312" w:cs="楷体_GB2312"/>
          <w:color w:val="000000"/>
          <w:sz w:val="32"/>
          <w:szCs w:val="32"/>
        </w:rPr>
        <w:t>规范文明执法</w:t>
      </w:r>
      <w:r>
        <w:rPr>
          <w:rFonts w:hint="eastAsia" w:ascii="楷体_GB2312" w:hAnsi="楷体_GB2312" w:eastAsia="楷体_GB2312" w:cs="楷体_GB2312"/>
          <w:color w:val="000000"/>
          <w:sz w:val="32"/>
          <w:szCs w:val="32"/>
          <w:lang w:eastAsia="zh-CN"/>
        </w:rPr>
        <w:t>迈上新台阶</w:t>
      </w:r>
    </w:p>
    <w:p w14:paraId="2C250655">
      <w:pPr>
        <w:spacing w:line="560" w:lineRule="exact"/>
        <w:ind w:firstLine="643"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一是</w:t>
      </w:r>
      <w:r>
        <w:rPr>
          <w:rFonts w:hint="eastAsia" w:ascii="仿宋_GB2312" w:hAnsi="仿宋_GB2312" w:eastAsia="仿宋_GB2312" w:cs="仿宋_GB2312"/>
          <w:b/>
          <w:bCs/>
          <w:sz w:val="32"/>
          <w:szCs w:val="40"/>
        </w:rPr>
        <w:t>主动</w:t>
      </w:r>
      <w:r>
        <w:rPr>
          <w:rFonts w:ascii="仿宋_GB2312" w:hAnsi="仿宋_GB2312" w:eastAsia="仿宋_GB2312" w:cs="仿宋_GB2312"/>
          <w:b/>
          <w:bCs/>
          <w:sz w:val="32"/>
          <w:szCs w:val="40"/>
        </w:rPr>
        <w:t>开展城市治理</w:t>
      </w:r>
      <w:r>
        <w:rPr>
          <w:rFonts w:hint="eastAsia" w:ascii="仿宋_GB2312" w:hAnsi="仿宋_GB2312" w:eastAsia="仿宋_GB2312" w:cs="仿宋_GB2312"/>
          <w:b/>
          <w:bCs/>
          <w:sz w:val="32"/>
          <w:szCs w:val="40"/>
        </w:rPr>
        <w:t>。</w:t>
      </w:r>
      <w:r>
        <w:rPr>
          <w:rFonts w:hint="eastAsia" w:ascii="仿宋_GB2312" w:hAnsi="仿宋_GB2312" w:eastAsia="仿宋_GB2312" w:cs="仿宋_GB2312"/>
          <w:sz w:val="32"/>
          <w:szCs w:val="40"/>
        </w:rPr>
        <w:t>坚持以问题为导向开展行政执法工作，依托街道规划、基层网格等，推动管理方式向长效化、可持续转变，逐步提升城市治理水平。结合接诉即办工作重点，强化群众需求集中领域治理力度，聚焦居民关注点，围绕胡同停车难等难题，创新打造</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条不停车胡同</w:t>
      </w:r>
      <w:r>
        <w:rPr>
          <w:rFonts w:hint="eastAsia" w:ascii="仿宋_GB2312" w:hAnsi="仿宋_GB2312" w:eastAsia="仿宋_GB2312" w:cs="仿宋_GB2312"/>
          <w:sz w:val="32"/>
          <w:szCs w:val="40"/>
          <w:lang w:eastAsia="zh-CN"/>
        </w:rPr>
        <w:t>，推动创建煤东片区步行优先街区</w:t>
      </w:r>
      <w:r>
        <w:rPr>
          <w:rFonts w:hint="eastAsia" w:ascii="仿宋_GB2312" w:hAnsi="仿宋_GB2312" w:eastAsia="仿宋_GB2312" w:cs="仿宋_GB2312"/>
          <w:sz w:val="32"/>
          <w:szCs w:val="40"/>
        </w:rPr>
        <w:t>。在开展执法工作中坚持执法与普法同步，在违法建筑拆除、大气污染防治、垃圾分类等方面取得一定进步。</w:t>
      </w:r>
    </w:p>
    <w:p w14:paraId="34C8A2F5">
      <w:pPr>
        <w:spacing w:line="560" w:lineRule="exact"/>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二是</w:t>
      </w:r>
      <w:r>
        <w:rPr>
          <w:rFonts w:hint="eastAsia" w:ascii="仿宋_GB2312" w:hAnsi="仿宋_GB2312" w:eastAsia="仿宋_GB2312" w:cs="仿宋_GB2312"/>
          <w:b/>
          <w:bCs/>
          <w:sz w:val="32"/>
          <w:szCs w:val="40"/>
        </w:rPr>
        <w:t>加强</w:t>
      </w:r>
      <w:r>
        <w:rPr>
          <w:rFonts w:ascii="仿宋_GB2312" w:hAnsi="仿宋_GB2312" w:eastAsia="仿宋_GB2312" w:cs="仿宋_GB2312"/>
          <w:b/>
          <w:bCs/>
          <w:sz w:val="32"/>
          <w:szCs w:val="40"/>
        </w:rPr>
        <w:t>执法队伍建设</w:t>
      </w:r>
      <w:r>
        <w:rPr>
          <w:rFonts w:hint="eastAsia" w:ascii="仿宋_GB2312" w:hAnsi="仿宋_GB2312" w:eastAsia="仿宋_GB2312" w:cs="仿宋_GB2312"/>
          <w:b/>
          <w:bCs/>
          <w:sz w:val="32"/>
          <w:szCs w:val="40"/>
          <w:lang w:eastAsia="zh-CN"/>
        </w:rPr>
        <w:t>和执法监督</w:t>
      </w:r>
      <w:r>
        <w:rPr>
          <w:rFonts w:hint="eastAsia" w:ascii="仿宋_GB2312" w:hAnsi="仿宋_GB2312" w:eastAsia="仿宋_GB2312" w:cs="仿宋_GB2312"/>
          <w:b/>
          <w:bCs/>
          <w:sz w:val="32"/>
          <w:szCs w:val="40"/>
        </w:rPr>
        <w:t>。</w:t>
      </w:r>
      <w:r>
        <w:rPr>
          <w:rFonts w:hint="eastAsia" w:ascii="仿宋_GB2312" w:hAnsi="仿宋_GB2312" w:eastAsia="仿宋_GB2312" w:cs="仿宋_GB2312"/>
          <w:b/>
          <w:bCs/>
          <w:sz w:val="32"/>
          <w:szCs w:val="40"/>
          <w:lang w:eastAsia="zh-CN"/>
        </w:rPr>
        <w:t>加强执法队伍建设，</w:t>
      </w:r>
      <w:r>
        <w:rPr>
          <w:rFonts w:ascii="仿宋_GB2312" w:hAnsi="仿宋_GB2312" w:eastAsia="仿宋_GB2312" w:cs="仿宋_GB2312"/>
          <w:sz w:val="32"/>
          <w:szCs w:val="40"/>
        </w:rPr>
        <w:t>严格执行行政执法人员持证上岗制度，目前大栅栏街道执法</w:t>
      </w:r>
      <w:r>
        <w:rPr>
          <w:rFonts w:hint="eastAsia" w:ascii="仿宋_GB2312" w:hAnsi="仿宋_GB2312" w:eastAsia="仿宋_GB2312" w:cs="仿宋_GB2312"/>
          <w:sz w:val="32"/>
          <w:szCs w:val="40"/>
        </w:rPr>
        <w:t>人员</w:t>
      </w:r>
      <w:r>
        <w:rPr>
          <w:rFonts w:ascii="仿宋_GB2312" w:hAnsi="仿宋_GB2312" w:eastAsia="仿宋_GB2312" w:cs="仿宋_GB2312"/>
          <w:sz w:val="32"/>
          <w:szCs w:val="40"/>
        </w:rPr>
        <w:t>参与执法率100%。保证综合行政执法各项工作同时，积极组织开展案卷制作</w:t>
      </w:r>
      <w:r>
        <w:rPr>
          <w:rFonts w:hint="eastAsia" w:ascii="仿宋_GB2312" w:hAnsi="仿宋_GB2312" w:eastAsia="仿宋_GB2312" w:cs="仿宋_GB2312"/>
          <w:sz w:val="32"/>
          <w:szCs w:val="40"/>
        </w:rPr>
        <w:t>等</w:t>
      </w:r>
      <w:r>
        <w:rPr>
          <w:rFonts w:ascii="仿宋_GB2312" w:hAnsi="仿宋_GB2312" w:eastAsia="仿宋_GB2312" w:cs="仿宋_GB2312"/>
          <w:sz w:val="32"/>
          <w:szCs w:val="40"/>
        </w:rPr>
        <w:t>业务</w:t>
      </w:r>
      <w:r>
        <w:rPr>
          <w:rFonts w:hint="eastAsia" w:ascii="仿宋_GB2312" w:hAnsi="仿宋_GB2312" w:eastAsia="仿宋_GB2312" w:cs="仿宋_GB2312"/>
          <w:sz w:val="32"/>
          <w:szCs w:val="40"/>
        </w:rPr>
        <w:t>知识</w:t>
      </w:r>
      <w:r>
        <w:rPr>
          <w:rFonts w:ascii="仿宋_GB2312" w:hAnsi="仿宋_GB2312" w:eastAsia="仿宋_GB2312" w:cs="仿宋_GB2312"/>
          <w:sz w:val="32"/>
          <w:szCs w:val="40"/>
        </w:rPr>
        <w:t>和法律知识培训，提升执法人员业务水平。</w:t>
      </w:r>
      <w:r>
        <w:rPr>
          <w:rFonts w:hint="eastAsia" w:ascii="仿宋_GB2312" w:hAnsi="仿宋_GB2312" w:eastAsia="仿宋_GB2312" w:cs="仿宋_GB2312"/>
          <w:b/>
          <w:bCs/>
          <w:sz w:val="32"/>
          <w:szCs w:val="40"/>
          <w:lang w:eastAsia="zh-CN"/>
        </w:rPr>
        <w:t>提升执法案卷规范化水平，</w:t>
      </w:r>
      <w:r>
        <w:rPr>
          <w:rFonts w:hint="eastAsia" w:ascii="仿宋_GB2312" w:eastAsia="仿宋_GB2312"/>
          <w:sz w:val="32"/>
          <w:szCs w:val="32"/>
        </w:rPr>
        <w:t>根据《大栅栏街道办事处综合行政执法队执法案卷审查规定》，抽查审核当月执法卷宗数量的10%，</w:t>
      </w:r>
      <w:r>
        <w:rPr>
          <w:rFonts w:ascii="仿宋_GB2312" w:hAnsi="仿宋_GB2312" w:eastAsia="仿宋_GB2312" w:cs="仿宋_GB2312"/>
          <w:sz w:val="32"/>
          <w:szCs w:val="40"/>
        </w:rPr>
        <w:t>定期</w:t>
      </w:r>
      <w:r>
        <w:rPr>
          <w:rFonts w:hint="eastAsia" w:ascii="仿宋_GB2312" w:hAnsi="仿宋_GB2312" w:eastAsia="仿宋_GB2312" w:cs="仿宋_GB2312"/>
          <w:sz w:val="32"/>
          <w:szCs w:val="40"/>
          <w:lang w:eastAsia="zh-CN"/>
        </w:rPr>
        <w:t>开展</w:t>
      </w:r>
      <w:r>
        <w:rPr>
          <w:rFonts w:ascii="仿宋_GB2312" w:hAnsi="仿宋_GB2312" w:eastAsia="仿宋_GB2312" w:cs="仿宋_GB2312"/>
          <w:sz w:val="32"/>
          <w:szCs w:val="40"/>
        </w:rPr>
        <w:t>案卷评查工作，对案卷中出现的问题进行汇总、分类、归纳，对照街道统一办案流程、文书规范要求等，提高执法文书及案卷制作质量，促进行政执法规范化建设。</w:t>
      </w:r>
      <w:r>
        <w:rPr>
          <w:rFonts w:hint="eastAsia" w:ascii="仿宋_GB2312" w:hAnsi="仿宋_GB2312" w:eastAsia="仿宋_GB2312" w:cs="仿宋_GB2312"/>
          <w:b/>
          <w:bCs/>
          <w:sz w:val="32"/>
          <w:szCs w:val="40"/>
          <w:lang w:eastAsia="zh-CN"/>
        </w:rPr>
        <w:t>严格落实监督机制，</w:t>
      </w:r>
      <w:r>
        <w:rPr>
          <w:rFonts w:ascii="仿宋_GB2312" w:hAnsi="仿宋_GB2312" w:eastAsia="仿宋_GB2312" w:cs="仿宋_GB2312"/>
          <w:sz w:val="32"/>
          <w:szCs w:val="40"/>
        </w:rPr>
        <w:t>建立健全执法全过程记录工作制度，对举报、检查、立案、调查、处罚、结案等执法环节做出严格规定，规范街道执法行为</w:t>
      </w:r>
      <w:r>
        <w:rPr>
          <w:rFonts w:hint="eastAsia" w:ascii="仿宋_GB2312" w:hAnsi="仿宋_GB2312" w:eastAsia="仿宋_GB2312" w:cs="仿宋_GB2312"/>
          <w:sz w:val="32"/>
          <w:szCs w:val="40"/>
        </w:rPr>
        <w:t>和</w:t>
      </w:r>
      <w:r>
        <w:rPr>
          <w:rFonts w:ascii="仿宋_GB2312" w:hAnsi="仿宋_GB2312" w:eastAsia="仿宋_GB2312" w:cs="仿宋_GB2312"/>
          <w:sz w:val="32"/>
          <w:szCs w:val="40"/>
        </w:rPr>
        <w:t>处罚标准</w:t>
      </w:r>
      <w:r>
        <w:rPr>
          <w:rFonts w:hint="eastAsia" w:ascii="仿宋_GB2312" w:hAnsi="仿宋_GB2312" w:eastAsia="仿宋_GB2312" w:cs="仿宋_GB2312"/>
          <w:sz w:val="32"/>
          <w:szCs w:val="40"/>
          <w:lang w:eastAsia="zh-CN"/>
        </w:rPr>
        <w:t>，</w:t>
      </w:r>
      <w:r>
        <w:rPr>
          <w:rFonts w:ascii="仿宋_GB2312" w:hAnsi="仿宋_GB2312" w:eastAsia="仿宋_GB2312" w:cs="仿宋_GB2312"/>
          <w:sz w:val="32"/>
          <w:szCs w:val="40"/>
        </w:rPr>
        <w:t>按期完成系统审核工作，</w:t>
      </w:r>
      <w:r>
        <w:rPr>
          <w:rFonts w:hint="eastAsia" w:ascii="仿宋_GB2312" w:hAnsi="仿宋_GB2312" w:eastAsia="仿宋_GB2312" w:cs="仿宋_GB2312"/>
          <w:sz w:val="32"/>
          <w:szCs w:val="40"/>
        </w:rPr>
        <w:t>确保执法案件及时</w:t>
      </w:r>
      <w:r>
        <w:rPr>
          <w:rFonts w:ascii="仿宋_GB2312" w:hAnsi="仿宋_GB2312" w:eastAsia="仿宋_GB2312" w:cs="仿宋_GB2312"/>
          <w:sz w:val="32"/>
          <w:szCs w:val="40"/>
        </w:rPr>
        <w:t>审核录入</w:t>
      </w:r>
      <w:r>
        <w:rPr>
          <w:rFonts w:hint="eastAsia" w:ascii="仿宋_GB2312" w:hAnsi="仿宋_GB2312" w:eastAsia="仿宋_GB2312" w:cs="仿宋_GB2312"/>
          <w:sz w:val="32"/>
          <w:szCs w:val="40"/>
        </w:rPr>
        <w:t>。</w:t>
      </w:r>
    </w:p>
    <w:p w14:paraId="3499CE0F">
      <w:pPr>
        <w:spacing w:line="560" w:lineRule="exact"/>
        <w:ind w:firstLine="643"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三是</w:t>
      </w:r>
      <w:r>
        <w:rPr>
          <w:rFonts w:ascii="仿宋_GB2312" w:hAnsi="仿宋_GB2312" w:eastAsia="仿宋_GB2312" w:cs="仿宋_GB2312"/>
          <w:b/>
          <w:bCs/>
          <w:sz w:val="32"/>
          <w:szCs w:val="40"/>
        </w:rPr>
        <w:t>加强重点领域监管</w:t>
      </w:r>
      <w:r>
        <w:rPr>
          <w:rFonts w:hint="eastAsia" w:ascii="仿宋_GB2312" w:hAnsi="仿宋_GB2312" w:eastAsia="仿宋_GB2312" w:cs="仿宋_GB2312"/>
          <w:b/>
          <w:bCs/>
          <w:sz w:val="32"/>
          <w:szCs w:val="40"/>
        </w:rPr>
        <w:t>。</w:t>
      </w:r>
      <w:r>
        <w:rPr>
          <w:rFonts w:ascii="仿宋_GB2312" w:hAnsi="仿宋_GB2312" w:eastAsia="仿宋_GB2312" w:cs="仿宋_GB2312"/>
          <w:sz w:val="32"/>
          <w:szCs w:val="40"/>
        </w:rPr>
        <w:t>全面、深入、持续梳理排查各行业各领域乱点乱象，加强重点行业监管，针对在施工地、有限</w:t>
      </w:r>
      <w:r>
        <w:rPr>
          <w:rFonts w:hint="eastAsia" w:ascii="仿宋_GB2312" w:hAnsi="仿宋_GB2312" w:eastAsia="仿宋_GB2312" w:cs="仿宋_GB2312"/>
          <w:sz w:val="32"/>
          <w:szCs w:val="40"/>
          <w:lang w:eastAsia="zh-CN"/>
        </w:rPr>
        <w:t>空间</w:t>
      </w:r>
      <w:r>
        <w:rPr>
          <w:rFonts w:ascii="仿宋_GB2312" w:hAnsi="仿宋_GB2312" w:eastAsia="仿宋_GB2312" w:cs="仿宋_GB2312"/>
          <w:sz w:val="32"/>
          <w:szCs w:val="40"/>
        </w:rPr>
        <w:t>、燃气安全隐患等重点问题在各领域开展安全检查，</w:t>
      </w:r>
      <w:r>
        <w:rPr>
          <w:rFonts w:hint="eastAsia" w:ascii="仿宋_GB2312" w:hAnsi="仿宋_GB2312" w:eastAsia="仿宋_GB2312" w:cs="仿宋_GB2312"/>
          <w:sz w:val="32"/>
          <w:szCs w:val="40"/>
        </w:rPr>
        <w:t>及时发现隐患，跟进隐患整改，监督整改效果</w:t>
      </w:r>
      <w:r>
        <w:rPr>
          <w:rFonts w:ascii="仿宋_GB2312" w:hAnsi="仿宋_GB2312" w:eastAsia="仿宋_GB2312" w:cs="仿宋_GB2312"/>
          <w:sz w:val="32"/>
          <w:szCs w:val="40"/>
        </w:rPr>
        <w:t>，</w:t>
      </w:r>
      <w:r>
        <w:rPr>
          <w:rFonts w:ascii="仿宋_GB2312" w:eastAsia="仿宋_GB2312"/>
          <w:sz w:val="32"/>
          <w:szCs w:val="32"/>
        </w:rPr>
        <w:t>形成多方协作、上下联动、齐抓共管的工作格局</w:t>
      </w:r>
      <w:r>
        <w:rPr>
          <w:rFonts w:hint="eastAsia" w:ascii="仿宋_GB2312" w:eastAsia="仿宋_GB2312"/>
          <w:sz w:val="32"/>
          <w:szCs w:val="32"/>
          <w:lang w:eastAsia="zh-CN"/>
        </w:rPr>
        <w:t>，实现</w:t>
      </w:r>
      <w:r>
        <w:rPr>
          <w:rFonts w:ascii="仿宋_GB2312" w:hAnsi="仿宋_GB2312" w:eastAsia="仿宋_GB2312" w:cs="仿宋_GB2312"/>
          <w:sz w:val="32"/>
          <w:szCs w:val="40"/>
        </w:rPr>
        <w:t>全年未发生安全生产责任事故。</w:t>
      </w:r>
    </w:p>
    <w:p w14:paraId="253C0D3C">
      <w:pPr>
        <w:pStyle w:val="18"/>
        <w:widowControl/>
        <w:tabs>
          <w:tab w:val="left" w:pos="1285"/>
        </w:tabs>
        <w:spacing w:line="560" w:lineRule="exact"/>
        <w:ind w:firstLine="640" w:firstLineChars="200"/>
        <w:jc w:val="both"/>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（四）强化风险防控，</w:t>
      </w:r>
      <w:r>
        <w:rPr>
          <w:rFonts w:hint="eastAsia" w:ascii="楷体_GB2312" w:hAnsi="楷体_GB2312" w:eastAsia="楷体_GB2312" w:cs="楷体_GB2312"/>
          <w:color w:val="000000"/>
          <w:sz w:val="32"/>
          <w:szCs w:val="32"/>
          <w:lang w:eastAsia="zh-CN"/>
        </w:rPr>
        <w:t>多元化</w:t>
      </w:r>
      <w:r>
        <w:rPr>
          <w:rFonts w:hint="default" w:ascii="楷体_GB2312" w:hAnsi="楷体_GB2312" w:eastAsia="楷体_GB2312" w:cs="楷体_GB2312"/>
          <w:color w:val="000000"/>
          <w:sz w:val="32"/>
          <w:szCs w:val="32"/>
        </w:rPr>
        <w:t>矛盾纠纷调处化解</w:t>
      </w:r>
      <w:r>
        <w:rPr>
          <w:rFonts w:hint="eastAsia" w:ascii="楷体_GB2312" w:hAnsi="楷体_GB2312" w:eastAsia="楷体_GB2312" w:cs="楷体_GB2312"/>
          <w:color w:val="000000"/>
          <w:sz w:val="32"/>
          <w:szCs w:val="32"/>
          <w:lang w:eastAsia="zh-CN"/>
        </w:rPr>
        <w:t>迈上新台阶</w:t>
      </w:r>
    </w:p>
    <w:p w14:paraId="4FB7D45E">
      <w:pPr>
        <w:spacing w:line="560" w:lineRule="exact"/>
        <w:ind w:firstLine="643"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一是</w:t>
      </w:r>
      <w:r>
        <w:rPr>
          <w:rFonts w:hint="eastAsia" w:ascii="仿宋_GB2312" w:hAnsi="仿宋_GB2312" w:eastAsia="仿宋_GB2312" w:cs="仿宋_GB2312"/>
          <w:b/>
          <w:bCs/>
          <w:sz w:val="32"/>
          <w:szCs w:val="40"/>
        </w:rPr>
        <w:t>拓宽</w:t>
      </w:r>
      <w:r>
        <w:rPr>
          <w:rFonts w:ascii="仿宋_GB2312" w:hAnsi="仿宋_GB2312" w:eastAsia="仿宋_GB2312" w:cs="仿宋_GB2312"/>
          <w:b/>
          <w:bCs/>
          <w:sz w:val="32"/>
          <w:szCs w:val="40"/>
        </w:rPr>
        <w:t>法治宣传</w:t>
      </w:r>
      <w:r>
        <w:rPr>
          <w:rFonts w:hint="eastAsia" w:ascii="仿宋_GB2312" w:hAnsi="仿宋_GB2312" w:eastAsia="仿宋_GB2312" w:cs="仿宋_GB2312"/>
          <w:b/>
          <w:bCs/>
          <w:sz w:val="32"/>
          <w:szCs w:val="40"/>
        </w:rPr>
        <w:t>广度</w:t>
      </w:r>
      <w:r>
        <w:rPr>
          <w:rFonts w:ascii="仿宋_GB2312" w:hAnsi="仿宋_GB2312" w:eastAsia="仿宋_GB2312" w:cs="仿宋_GB2312"/>
          <w:b/>
          <w:bCs/>
          <w:sz w:val="32"/>
          <w:szCs w:val="40"/>
        </w:rPr>
        <w:t>。</w:t>
      </w:r>
      <w:r>
        <w:rPr>
          <w:rFonts w:ascii="仿宋_GB2312" w:hAnsi="仿宋_GB2312" w:eastAsia="仿宋_GB2312" w:cs="仿宋_GB2312"/>
          <w:sz w:val="32"/>
          <w:szCs w:val="40"/>
        </w:rPr>
        <w:t>今年以来大栅栏街道以安全生产、</w:t>
      </w:r>
      <w:r>
        <w:rPr>
          <w:rFonts w:hint="eastAsia" w:ascii="仿宋_GB2312" w:hAnsi="仿宋_GB2312" w:eastAsia="仿宋_GB2312" w:cs="仿宋_GB2312"/>
          <w:sz w:val="32"/>
          <w:szCs w:val="40"/>
        </w:rPr>
        <w:t>优化法治营商环境</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禁毒、宪法宣传</w:t>
      </w:r>
      <w:r>
        <w:rPr>
          <w:rFonts w:ascii="仿宋_GB2312" w:hAnsi="仿宋_GB2312" w:eastAsia="仿宋_GB2312" w:cs="仿宋_GB2312"/>
          <w:sz w:val="32"/>
          <w:szCs w:val="40"/>
        </w:rPr>
        <w:t>等为主题，在国家安全日、</w:t>
      </w:r>
      <w:r>
        <w:rPr>
          <w:rFonts w:hint="eastAsia" w:ascii="仿宋_GB2312" w:hAnsi="仿宋_GB2312" w:eastAsia="仿宋_GB2312" w:cs="仿宋_GB2312"/>
          <w:sz w:val="32"/>
          <w:szCs w:val="40"/>
        </w:rPr>
        <w:t>国际禁毒日</w:t>
      </w:r>
      <w:r>
        <w:rPr>
          <w:rFonts w:ascii="仿宋_GB2312" w:hAnsi="仿宋_GB2312" w:eastAsia="仿宋_GB2312" w:cs="仿宋_GB2312"/>
          <w:sz w:val="32"/>
          <w:szCs w:val="40"/>
        </w:rPr>
        <w:t>、重阳节、</w:t>
      </w:r>
      <w:r>
        <w:rPr>
          <w:rFonts w:hint="eastAsia" w:ascii="仿宋_GB2312" w:hAnsi="仿宋_GB2312" w:eastAsia="仿宋_GB2312" w:cs="仿宋_GB2312"/>
          <w:sz w:val="32"/>
          <w:szCs w:val="40"/>
        </w:rPr>
        <w:t>国家宪法日</w:t>
      </w:r>
      <w:r>
        <w:rPr>
          <w:rFonts w:ascii="仿宋_GB2312" w:hAnsi="仿宋_GB2312" w:eastAsia="仿宋_GB2312" w:cs="仿宋_GB2312"/>
          <w:sz w:val="32"/>
          <w:szCs w:val="40"/>
        </w:rPr>
        <w:t>等重要节点，依托集中宣传、专题讲座、张贴海报、线上普法问答等多样形式，开展进社区、进学校、进企业等普法活动，</w:t>
      </w:r>
      <w:r>
        <w:rPr>
          <w:rFonts w:hint="eastAsia" w:ascii="仿宋_GB2312" w:eastAsia="仿宋_GB2312"/>
          <w:sz w:val="32"/>
          <w:szCs w:val="32"/>
        </w:rPr>
        <w:t>将普法触角向辖区各个角落延伸，筑牢群众法治意识</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开展联合普法活动。与西城法院联合开展先锋同行暨京法巡回讲堂系列活动，全年共深入辖区企业、学校、社区针对目标群体特点开展针对性的普法宣传活动。与西城区检察院通过“上门问需”的方式联合开展“老字号企业专利管理及保护策略”法治宣传保护系列活动。联合中国煤矿文工团在社区开展“法治文艺走基层”演出主题活动。通过以上方式有效激发群众学法热情，丰富群众法律知识，提升群众法治素养。</w:t>
      </w:r>
      <w:r>
        <w:rPr>
          <w:rFonts w:hint="eastAsia" w:ascii="仿宋_GB2312" w:eastAsia="仿宋_GB2312"/>
          <w:sz w:val="32"/>
          <w:szCs w:val="32"/>
        </w:rPr>
        <w:t>开展优化法治营商环境专项普法活动，为辖区内企业、商户进行普法宣传和精准帮扶维权。</w:t>
      </w:r>
      <w:r>
        <w:rPr>
          <w:rFonts w:hint="eastAsia" w:ascii="仿宋_GB2312" w:hAnsi="仿宋_GB2312" w:eastAsia="仿宋_GB2312" w:cs="仿宋_GB2312"/>
          <w:sz w:val="32"/>
          <w:szCs w:val="40"/>
        </w:rPr>
        <w:t>引入公共法律服务终端，为居民提供基础法治宣传和法律服务指引，推动全社会尊法学法守法用法，营造全社会关心、支持和参与法治政府建设的良好氛围。</w:t>
      </w:r>
    </w:p>
    <w:p w14:paraId="4D7AAA88">
      <w:pPr>
        <w:spacing w:line="560" w:lineRule="exact"/>
        <w:ind w:firstLine="643" w:firstLineChars="200"/>
        <w:rPr>
          <w:rFonts w:ascii="仿宋_GB2312" w:hAnsi="仿宋_GB2312" w:eastAsia="仿宋_GB2312" w:cs="仿宋_GB2312"/>
          <w:sz w:val="32"/>
          <w:szCs w:val="40"/>
        </w:rPr>
      </w:pPr>
      <w:r>
        <w:rPr>
          <w:rFonts w:hint="eastAsia" w:ascii="仿宋_GB2312" w:eastAsia="仿宋_GB2312"/>
          <w:b/>
          <w:bCs/>
          <w:sz w:val="32"/>
          <w:szCs w:val="32"/>
          <w:lang w:eastAsia="zh-CN"/>
        </w:rPr>
        <w:t>二是</w:t>
      </w:r>
      <w:r>
        <w:rPr>
          <w:rFonts w:hint="eastAsia" w:ascii="仿宋_GB2312" w:eastAsia="仿宋_GB2312"/>
          <w:b/>
          <w:bCs/>
          <w:sz w:val="32"/>
          <w:szCs w:val="32"/>
        </w:rPr>
        <w:t>依法推进</w:t>
      </w:r>
      <w:r>
        <w:rPr>
          <w:rFonts w:hint="eastAsia" w:ascii="仿宋_GB2312" w:eastAsia="仿宋_GB2312"/>
          <w:b/>
          <w:bCs/>
          <w:sz w:val="32"/>
          <w:szCs w:val="32"/>
          <w:lang w:eastAsia="zh-CN"/>
        </w:rPr>
        <w:t>矛盾纠纷排查处理</w:t>
      </w:r>
      <w:r>
        <w:rPr>
          <w:rFonts w:hint="eastAsia" w:ascii="仿宋_GB2312" w:eastAsia="仿宋_GB2312"/>
          <w:b/>
          <w:bCs/>
          <w:sz w:val="32"/>
          <w:szCs w:val="32"/>
        </w:rPr>
        <w:t>工作。</w:t>
      </w:r>
      <w:r>
        <w:rPr>
          <w:rFonts w:ascii="仿宋_GB2312" w:eastAsia="仿宋_GB2312"/>
          <w:sz w:val="32"/>
          <w:szCs w:val="32"/>
        </w:rPr>
        <w:t>强化风险隐患排查</w:t>
      </w:r>
      <w:r>
        <w:rPr>
          <w:rFonts w:hint="eastAsia" w:ascii="仿宋_GB2312" w:eastAsia="仿宋_GB2312"/>
          <w:sz w:val="32"/>
          <w:szCs w:val="32"/>
        </w:rPr>
        <w:t>，定期召开社区</w:t>
      </w:r>
      <w:r>
        <w:rPr>
          <w:rFonts w:ascii="仿宋_GB2312" w:eastAsia="仿宋_GB2312"/>
          <w:sz w:val="32"/>
          <w:szCs w:val="32"/>
        </w:rPr>
        <w:t>日常巡</w:t>
      </w:r>
      <w:r>
        <w:rPr>
          <w:rFonts w:hint="eastAsia" w:ascii="仿宋_GB2312" w:eastAsia="仿宋_GB2312"/>
          <w:sz w:val="32"/>
          <w:szCs w:val="32"/>
        </w:rPr>
        <w:t>访</w:t>
      </w:r>
      <w:r>
        <w:rPr>
          <w:rFonts w:ascii="仿宋_GB2312" w:eastAsia="仿宋_GB2312"/>
          <w:sz w:val="32"/>
          <w:szCs w:val="32"/>
        </w:rPr>
        <w:t>、网格员入户走访与信访矛盾排查工作紧密融合，及时掌握有效线索</w:t>
      </w:r>
      <w:r>
        <w:rPr>
          <w:rFonts w:hint="eastAsia" w:ascii="仿宋_GB2312" w:eastAsia="仿宋_GB2312"/>
          <w:sz w:val="32"/>
          <w:szCs w:val="32"/>
          <w:lang w:eastAsia="zh-CN"/>
        </w:rPr>
        <w:t>，</w:t>
      </w:r>
      <w:r>
        <w:rPr>
          <w:rFonts w:ascii="仿宋_GB2312" w:eastAsia="仿宋_GB2312"/>
          <w:sz w:val="32"/>
          <w:szCs w:val="32"/>
        </w:rPr>
        <w:t>健全风险联合研判，问题联合交办、矛盾联合化解、事件联合处置运作机制</w:t>
      </w:r>
      <w:r>
        <w:rPr>
          <w:rFonts w:hint="eastAsia" w:ascii="仿宋_GB2312" w:eastAsia="仿宋_GB2312"/>
          <w:sz w:val="32"/>
          <w:szCs w:val="32"/>
        </w:rPr>
        <w:t>。</w:t>
      </w:r>
      <w:r>
        <w:rPr>
          <w:rFonts w:hint="eastAsia" w:ascii="仿宋_GB2312" w:eastAsia="仿宋_GB2312"/>
          <w:b w:val="0"/>
          <w:bCs w:val="0"/>
          <w:sz w:val="32"/>
          <w:szCs w:val="32"/>
          <w:lang w:eastAsia="zh-CN"/>
        </w:rPr>
        <w:t>落实大栅栏街道办事处《行政复议、行政诉讼案件办理办法（试行）》，提升行政复议和行政诉讼应对质量和效率，尊重并执行生效行政复议决定和法院生效裁判。</w:t>
      </w:r>
      <w:r>
        <w:rPr>
          <w:rFonts w:hint="eastAsia" w:ascii="仿宋_GB2312" w:hAnsi="仿宋_GB2312" w:eastAsia="仿宋_GB2312" w:cs="仿宋_GB2312"/>
          <w:sz w:val="32"/>
          <w:szCs w:val="40"/>
        </w:rPr>
        <w:t>常态化</w:t>
      </w:r>
      <w:r>
        <w:rPr>
          <w:rFonts w:hint="eastAsia" w:ascii="仿宋_GB2312" w:hAnsi="仿宋_GB2312" w:eastAsia="仿宋_GB2312" w:cs="仿宋_GB2312"/>
          <w:sz w:val="32"/>
          <w:szCs w:val="40"/>
          <w:lang w:eastAsia="zh-CN"/>
        </w:rPr>
        <w:t>推进</w:t>
      </w:r>
      <w:r>
        <w:rPr>
          <w:rFonts w:hint="eastAsia" w:ascii="仿宋_GB2312" w:hAnsi="仿宋_GB2312" w:eastAsia="仿宋_GB2312" w:cs="仿宋_GB2312"/>
          <w:sz w:val="32"/>
          <w:szCs w:val="40"/>
        </w:rPr>
        <w:t>人民调解</w:t>
      </w:r>
      <w:r>
        <w:rPr>
          <w:rFonts w:ascii="仿宋_GB2312" w:hAnsi="仿宋_GB2312" w:eastAsia="仿宋_GB2312" w:cs="仿宋_GB2312"/>
          <w:sz w:val="32"/>
          <w:szCs w:val="40"/>
        </w:rPr>
        <w:t>。街道以西城区调解工作整体布局为指导，推动人民调解、行政调解和司法调解有效融合，合理配置调解资源，着力打造调解员队伍。年内街道组织调解员培训</w:t>
      </w:r>
      <w:r>
        <w:rPr>
          <w:rFonts w:hint="eastAsia" w:ascii="仿宋_GB2312" w:hAnsi="仿宋_GB2312" w:eastAsia="仿宋_GB2312" w:cs="仿宋_GB2312"/>
          <w:sz w:val="32"/>
          <w:szCs w:val="40"/>
        </w:rPr>
        <w:t>10</w:t>
      </w:r>
      <w:r>
        <w:rPr>
          <w:rFonts w:ascii="仿宋_GB2312" w:hAnsi="仿宋_GB2312" w:eastAsia="仿宋_GB2312" w:cs="仿宋_GB2312"/>
          <w:sz w:val="32"/>
          <w:szCs w:val="40"/>
        </w:rPr>
        <w:t>次，不断提高业务工作能力</w:t>
      </w:r>
      <w:r>
        <w:rPr>
          <w:rFonts w:hint="eastAsia" w:ascii="仿宋_GB2312" w:hAnsi="仿宋_GB2312" w:eastAsia="仿宋_GB2312" w:cs="仿宋_GB2312"/>
          <w:sz w:val="32"/>
          <w:szCs w:val="40"/>
        </w:rPr>
        <w:t>和法律知识水平</w:t>
      </w:r>
      <w:r>
        <w:rPr>
          <w:rFonts w:ascii="仿宋_GB2312" w:hAnsi="仿宋_GB2312" w:eastAsia="仿宋_GB2312" w:cs="仿宋_GB2312"/>
          <w:sz w:val="32"/>
          <w:szCs w:val="40"/>
        </w:rPr>
        <w:t>。年内街道各调</w:t>
      </w:r>
      <w:r>
        <w:rPr>
          <w:rFonts w:hint="eastAsia" w:ascii="仿宋_GB2312" w:hAnsi="仿宋_GB2312" w:eastAsia="仿宋_GB2312" w:cs="仿宋_GB2312"/>
          <w:sz w:val="32"/>
          <w:szCs w:val="40"/>
          <w:lang w:eastAsia="zh-CN"/>
        </w:rPr>
        <w:t>解</w:t>
      </w:r>
      <w:r>
        <w:rPr>
          <w:rFonts w:ascii="仿宋_GB2312" w:hAnsi="仿宋_GB2312" w:eastAsia="仿宋_GB2312" w:cs="仿宋_GB2312"/>
          <w:sz w:val="32"/>
          <w:szCs w:val="40"/>
        </w:rPr>
        <w:t>组织累计受理案件</w:t>
      </w:r>
      <w:r>
        <w:rPr>
          <w:rFonts w:hint="eastAsia" w:ascii="仿宋_GB2312" w:hAnsi="仿宋_GB2312" w:eastAsia="仿宋_GB2312" w:cs="仿宋_GB2312"/>
          <w:sz w:val="32"/>
          <w:szCs w:val="40"/>
        </w:rPr>
        <w:t>235</w:t>
      </w:r>
      <w:r>
        <w:rPr>
          <w:rFonts w:ascii="仿宋_GB2312" w:hAnsi="仿宋_GB2312" w:eastAsia="仿宋_GB2312" w:cs="仿宋_GB2312"/>
          <w:sz w:val="32"/>
          <w:szCs w:val="40"/>
        </w:rPr>
        <w:t>件，</w:t>
      </w:r>
      <w:r>
        <w:rPr>
          <w:rFonts w:hint="eastAsia" w:ascii="仿宋_GB2312" w:hAnsi="仿宋_GB2312" w:eastAsia="仿宋_GB2312" w:cs="仿宋_GB2312"/>
          <w:sz w:val="32"/>
          <w:szCs w:val="40"/>
        </w:rPr>
        <w:t>调解成功率100%，</w:t>
      </w:r>
      <w:r>
        <w:rPr>
          <w:rFonts w:ascii="仿宋_GB2312" w:hAnsi="仿宋_GB2312" w:eastAsia="仿宋_GB2312" w:cs="仿宋_GB2312"/>
          <w:sz w:val="32"/>
          <w:szCs w:val="40"/>
        </w:rPr>
        <w:t>做到纠纷数据登记、统计及时准确。结合社区民主法治建设，充分发挥社区调委会、社区议事制度，促进矛盾纠纷就地解决，切实践行</w:t>
      </w:r>
      <w:r>
        <w:rPr>
          <w:rFonts w:hint="eastAsia" w:ascii="仿宋_GB2312" w:hAnsi="仿宋_GB2312" w:eastAsia="仿宋_GB2312" w:cs="仿宋_GB2312"/>
          <w:sz w:val="32"/>
          <w:szCs w:val="40"/>
          <w:lang w:eastAsia="zh-CN"/>
        </w:rPr>
        <w:t>新时代“枫桥经验”</w:t>
      </w:r>
      <w:r>
        <w:rPr>
          <w:rFonts w:ascii="仿宋_GB2312" w:hAnsi="仿宋_GB2312" w:eastAsia="仿宋_GB2312" w:cs="仿宋_GB2312"/>
          <w:sz w:val="32"/>
          <w:szCs w:val="40"/>
        </w:rPr>
        <w:t>，确保矛盾不上交。</w:t>
      </w:r>
    </w:p>
    <w:p w14:paraId="5BF83DD0">
      <w:pPr>
        <w:spacing w:line="560" w:lineRule="exact"/>
        <w:ind w:firstLine="643"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三是</w:t>
      </w:r>
      <w:r>
        <w:rPr>
          <w:rFonts w:hint="eastAsia" w:ascii="仿宋_GB2312" w:hAnsi="仿宋_GB2312" w:eastAsia="仿宋_GB2312" w:cs="仿宋_GB2312"/>
          <w:b/>
          <w:bCs/>
          <w:sz w:val="32"/>
          <w:szCs w:val="40"/>
        </w:rPr>
        <w:t>依法开展社区矫正和安置帮教</w:t>
      </w:r>
      <w:r>
        <w:rPr>
          <w:rFonts w:ascii="仿宋_GB2312" w:hAnsi="仿宋_GB2312" w:eastAsia="仿宋_GB2312" w:cs="仿宋_GB2312"/>
          <w:b/>
          <w:bCs/>
          <w:sz w:val="32"/>
          <w:szCs w:val="40"/>
        </w:rPr>
        <w:t>。</w:t>
      </w:r>
      <w:r>
        <w:rPr>
          <w:rFonts w:ascii="仿宋_GB2312" w:hAnsi="仿宋_GB2312" w:eastAsia="仿宋_GB2312" w:cs="仿宋_GB2312"/>
          <w:sz w:val="32"/>
          <w:szCs w:val="40"/>
        </w:rPr>
        <w:t>成立专班，因人施策，对在册社区矫正对象进行针对性教育管理，在重大活动、重要节日和敏感期间无一人脱管，未发生突出突发情况。严格完善系统管理和纸质档案，充分发挥社区矫正人员教育管理系统优势，利用每月集中教育、个别教育等进行充分教育管理</w:t>
      </w:r>
      <w:r>
        <w:rPr>
          <w:rFonts w:hint="eastAsia" w:ascii="仿宋_GB2312" w:hAnsi="仿宋_GB2312" w:eastAsia="仿宋_GB2312" w:cs="仿宋_GB2312"/>
          <w:sz w:val="32"/>
          <w:szCs w:val="40"/>
        </w:rPr>
        <w:t>，</w:t>
      </w:r>
      <w:r>
        <w:rPr>
          <w:rFonts w:hint="eastAsia" w:ascii="仿宋_GB2312" w:eastAsia="仿宋_GB2312"/>
          <w:sz w:val="32"/>
          <w:szCs w:val="32"/>
        </w:rPr>
        <w:t>进行个别教育3</w:t>
      </w:r>
      <w:r>
        <w:rPr>
          <w:rFonts w:hint="eastAsia" w:ascii="仿宋_GB2312" w:eastAsia="仿宋_GB2312"/>
          <w:sz w:val="32"/>
          <w:szCs w:val="32"/>
          <w:lang w:val="en-US" w:eastAsia="zh-CN"/>
        </w:rPr>
        <w:t>6</w:t>
      </w:r>
      <w:r>
        <w:rPr>
          <w:rFonts w:hint="eastAsia" w:ascii="仿宋_GB2312" w:eastAsia="仿宋_GB2312"/>
          <w:sz w:val="32"/>
          <w:szCs w:val="32"/>
        </w:rPr>
        <w:t>人次，集中教育</w:t>
      </w:r>
      <w:r>
        <w:rPr>
          <w:rFonts w:hint="eastAsia" w:ascii="仿宋_GB2312" w:eastAsia="仿宋_GB2312"/>
          <w:sz w:val="32"/>
          <w:szCs w:val="32"/>
          <w:lang w:val="en-US" w:eastAsia="zh-CN"/>
        </w:rPr>
        <w:t>22</w:t>
      </w:r>
      <w:r>
        <w:rPr>
          <w:rFonts w:hint="eastAsia" w:ascii="仿宋_GB2312" w:eastAsia="仿宋_GB2312"/>
          <w:sz w:val="32"/>
          <w:szCs w:val="32"/>
        </w:rPr>
        <w:t>人次，公益劳动14人次</w:t>
      </w:r>
      <w:r>
        <w:rPr>
          <w:rFonts w:ascii="仿宋_GB2312" w:hAnsi="仿宋_GB2312" w:eastAsia="仿宋_GB2312" w:cs="仿宋_GB2312"/>
          <w:sz w:val="32"/>
          <w:szCs w:val="40"/>
        </w:rPr>
        <w:t>。</w:t>
      </w:r>
      <w:r>
        <w:rPr>
          <w:rFonts w:hint="eastAsia" w:ascii="仿宋_GB2312" w:eastAsia="仿宋_GB2312"/>
          <w:sz w:val="32"/>
          <w:szCs w:val="32"/>
        </w:rPr>
        <w:t>坚持教育、感化、挽救，针对接收的安置帮教人员，在重要时段和日常管理中定期不定期地开展走访，了解掌握其思想动态，宣传政策法律，确保其安全稳定。</w:t>
      </w:r>
    </w:p>
    <w:p w14:paraId="63887CED">
      <w:pPr>
        <w:spacing w:line="560" w:lineRule="exact"/>
        <w:ind w:firstLine="720"/>
        <w:rPr>
          <w:rFonts w:ascii="黑体" w:hAnsi="黑体" w:eastAsia="黑体" w:cs="Times New Roman"/>
          <w:sz w:val="32"/>
          <w:szCs w:val="32"/>
        </w:rPr>
      </w:pPr>
      <w:r>
        <w:rPr>
          <w:rFonts w:ascii="黑体" w:hAnsi="黑体" w:eastAsia="黑体" w:cs="Times New Roman"/>
          <w:sz w:val="32"/>
          <w:szCs w:val="32"/>
        </w:rPr>
        <w:t>二、本年度推进法治政府建设存在的不足和原因</w:t>
      </w:r>
    </w:p>
    <w:p w14:paraId="6DAA75B5">
      <w:pPr>
        <w:spacing w:line="560"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t>本年度街道法治政府建设取得了一定成效，但对照中央和市、区法治政府建设要求还存在一定不足</w:t>
      </w:r>
      <w:r>
        <w:rPr>
          <w:rFonts w:hint="eastAsia" w:ascii="仿宋_GB2312" w:hAnsi="仿宋_GB2312" w:eastAsia="仿宋_GB2312" w:cs="仿宋_GB2312"/>
          <w:sz w:val="32"/>
          <w:szCs w:val="40"/>
        </w:rPr>
        <w:t>：</w:t>
      </w:r>
    </w:p>
    <w:p w14:paraId="4D9D0048">
      <w:pPr>
        <w:spacing w:line="560" w:lineRule="exact"/>
        <w:ind w:firstLine="643"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一是</w:t>
      </w:r>
      <w:r>
        <w:rPr>
          <w:rFonts w:ascii="仿宋_GB2312" w:hAnsi="仿宋_GB2312" w:eastAsia="仿宋_GB2312" w:cs="仿宋_GB2312"/>
          <w:b/>
          <w:bCs/>
          <w:sz w:val="32"/>
          <w:szCs w:val="40"/>
        </w:rPr>
        <w:t>行政执法监督规范需要进一步完善。</w:t>
      </w:r>
      <w:r>
        <w:rPr>
          <w:rFonts w:ascii="仿宋_GB2312" w:hAnsi="仿宋_GB2312" w:eastAsia="仿宋_GB2312" w:cs="仿宋_GB2312"/>
          <w:sz w:val="32"/>
          <w:szCs w:val="40"/>
        </w:rPr>
        <w:t>目前，行政执法流程规范和人员培训不断加强。但执法权</w:t>
      </w:r>
      <w:r>
        <w:rPr>
          <w:rFonts w:hint="eastAsia" w:ascii="仿宋_GB2312" w:hAnsi="仿宋_GB2312" w:eastAsia="仿宋_GB2312" w:cs="仿宋_GB2312"/>
          <w:sz w:val="32"/>
          <w:szCs w:val="40"/>
          <w:lang w:eastAsia="zh-CN"/>
        </w:rPr>
        <w:t>下放</w:t>
      </w:r>
      <w:r>
        <w:rPr>
          <w:rFonts w:ascii="仿宋_GB2312" w:hAnsi="仿宋_GB2312" w:eastAsia="仿宋_GB2312" w:cs="仿宋_GB2312"/>
          <w:sz w:val="32"/>
          <w:szCs w:val="40"/>
        </w:rPr>
        <w:t>带来较多专业性审核和监督的挑战，执法人员中有法律专业背景人员比例有待进一步提高</w:t>
      </w:r>
      <w:r>
        <w:rPr>
          <w:rFonts w:hint="eastAsia" w:ascii="仿宋_GB2312" w:hAnsi="仿宋_GB2312" w:eastAsia="仿宋_GB2312" w:cs="仿宋_GB2312"/>
          <w:sz w:val="32"/>
          <w:szCs w:val="40"/>
        </w:rPr>
        <w:t>。</w:t>
      </w:r>
    </w:p>
    <w:p w14:paraId="15A0424E">
      <w:pPr>
        <w:spacing w:line="580" w:lineRule="exact"/>
        <w:ind w:firstLine="643"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二是</w:t>
      </w:r>
      <w:r>
        <w:rPr>
          <w:rFonts w:ascii="仿宋_GB2312" w:hAnsi="仿宋_GB2312" w:eastAsia="仿宋_GB2312" w:cs="仿宋_GB2312"/>
          <w:b/>
          <w:bCs/>
          <w:sz w:val="32"/>
          <w:szCs w:val="40"/>
        </w:rPr>
        <w:t>法治品牌效应有待</w:t>
      </w:r>
      <w:r>
        <w:rPr>
          <w:rFonts w:hint="eastAsia" w:ascii="仿宋_GB2312" w:hAnsi="仿宋_GB2312" w:eastAsia="仿宋_GB2312" w:cs="仿宋_GB2312"/>
          <w:b/>
          <w:bCs/>
          <w:sz w:val="32"/>
          <w:szCs w:val="40"/>
          <w:lang w:eastAsia="zh-CN"/>
        </w:rPr>
        <w:t>进一步</w:t>
      </w:r>
      <w:r>
        <w:rPr>
          <w:rFonts w:ascii="仿宋_GB2312" w:hAnsi="仿宋_GB2312" w:eastAsia="仿宋_GB2312" w:cs="仿宋_GB2312"/>
          <w:b/>
          <w:bCs/>
          <w:sz w:val="32"/>
          <w:szCs w:val="40"/>
        </w:rPr>
        <w:t>加强。</w:t>
      </w:r>
      <w:r>
        <w:rPr>
          <w:rFonts w:ascii="仿宋_GB2312" w:hAnsi="仿宋_GB2312" w:eastAsia="仿宋_GB2312" w:cs="仿宋_GB2312"/>
          <w:sz w:val="32"/>
          <w:szCs w:val="40"/>
        </w:rPr>
        <w:t>近年来街道在普法宣传、人民调解等领域有所创新，打造了石头社区“第四调解室”</w:t>
      </w:r>
      <w:r>
        <w:rPr>
          <w:rFonts w:hint="eastAsia" w:ascii="仿宋_GB2312" w:hAnsi="仿宋_GB2312" w:eastAsia="仿宋_GB2312" w:cs="仿宋_GB2312"/>
          <w:sz w:val="32"/>
          <w:szCs w:val="40"/>
        </w:rPr>
        <w:t>、大安社区“京韵园”</w:t>
      </w:r>
      <w:r>
        <w:rPr>
          <w:rFonts w:ascii="仿宋_GB2312" w:hAnsi="仿宋_GB2312" w:eastAsia="仿宋_GB2312" w:cs="仿宋_GB2312"/>
          <w:sz w:val="32"/>
          <w:szCs w:val="40"/>
        </w:rPr>
        <w:t>等</w:t>
      </w:r>
      <w:r>
        <w:rPr>
          <w:rFonts w:hint="eastAsia" w:ascii="仿宋_GB2312" w:hAnsi="仿宋_GB2312" w:eastAsia="仿宋_GB2312" w:cs="仿宋_GB2312"/>
          <w:sz w:val="32"/>
          <w:szCs w:val="40"/>
        </w:rPr>
        <w:t>普法阵地</w:t>
      </w:r>
      <w:r>
        <w:rPr>
          <w:rFonts w:ascii="仿宋_GB2312" w:hAnsi="仿宋_GB2312" w:eastAsia="仿宋_GB2312" w:cs="仿宋_GB2312"/>
          <w:sz w:val="32"/>
          <w:szCs w:val="40"/>
        </w:rPr>
        <w:t>，但由于</w:t>
      </w:r>
      <w:r>
        <w:rPr>
          <w:rFonts w:hint="eastAsia" w:ascii="仿宋_GB2312" w:hAnsi="仿宋_GB2312" w:eastAsia="仿宋_GB2312" w:cs="仿宋_GB2312"/>
          <w:sz w:val="32"/>
          <w:szCs w:val="40"/>
        </w:rPr>
        <w:t>对特色品牌</w:t>
      </w:r>
      <w:r>
        <w:rPr>
          <w:rFonts w:ascii="仿宋_GB2312" w:hAnsi="仿宋_GB2312" w:eastAsia="仿宋_GB2312" w:cs="仿宋_GB2312"/>
          <w:sz w:val="32"/>
          <w:szCs w:val="40"/>
        </w:rPr>
        <w:t>宣传力度不够等原因</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品牌效应有待加强，需要进一步整合资源形成合力，加大普法宣传与大栅栏特色结合力度。</w:t>
      </w:r>
    </w:p>
    <w:p w14:paraId="25C5CC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lang w:eastAsia="zh-CN"/>
        </w:rPr>
      </w:pPr>
      <w:r>
        <w:rPr>
          <w:rFonts w:hint="eastAsia" w:ascii="仿宋_GB2312" w:hAnsi="仿宋_GB2312" w:eastAsia="仿宋_GB2312" w:cs="仿宋_GB2312"/>
          <w:b/>
          <w:bCs/>
          <w:sz w:val="32"/>
          <w:szCs w:val="40"/>
          <w:lang w:eastAsia="zh-CN"/>
        </w:rPr>
        <w:t>三是队伍建设仍需进一步强化。</w:t>
      </w:r>
      <w:r>
        <w:rPr>
          <w:rFonts w:hint="eastAsia" w:ascii="仿宋_GB2312" w:hAnsi="仿宋_GB2312" w:eastAsia="仿宋_GB2312" w:cs="仿宋_GB2312"/>
          <w:b w:val="0"/>
          <w:bCs w:val="0"/>
          <w:sz w:val="32"/>
          <w:szCs w:val="40"/>
          <w:lang w:eastAsia="zh-CN"/>
        </w:rPr>
        <w:t>法律方向人才较前有较大提升，但面对辖区胡同平房多等情况，仍需加强吸纳、培养法治人才力度，以满足应对处置各种疑难、复杂工作的需要。</w:t>
      </w:r>
    </w:p>
    <w:p w14:paraId="55CE96A6">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ascii="黑体" w:hAnsi="黑体" w:eastAsia="黑体" w:cs="Times New Roman"/>
          <w:sz w:val="32"/>
          <w:szCs w:val="32"/>
        </w:rPr>
      </w:pPr>
      <w:r>
        <w:rPr>
          <w:rFonts w:ascii="黑体" w:hAnsi="黑体" w:eastAsia="黑体" w:cs="Times New Roman"/>
          <w:sz w:val="32"/>
          <w:szCs w:val="32"/>
        </w:rPr>
        <w:t>三、党政主要负责人履行推进法治建设第一责任人职责，加强法治政府建设的有关情况</w:t>
      </w:r>
    </w:p>
    <w:p w14:paraId="3A47C1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ascii="仿宋_GB2312" w:hAnsi="仿宋_GB2312" w:eastAsia="仿宋_GB2312" w:cs="仿宋_GB2312"/>
          <w:sz w:val="32"/>
          <w:szCs w:val="40"/>
        </w:rPr>
        <w:t>大栅栏街道坚持贯彻落实《党政主要负责人履行推进法治建设第一责任人职责规定》，街道工委书记、办事处主任对法治政府建设工作高度重视，不断推动街道法治建设体制机制建设，有效推动各项工作落地。</w:t>
      </w:r>
    </w:p>
    <w:p w14:paraId="130EE6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ascii="仿宋_GB2312" w:hAnsi="仿宋_GB2312" w:eastAsia="仿宋_GB2312" w:cs="仿宋_GB2312"/>
          <w:sz w:val="32"/>
          <w:szCs w:val="40"/>
        </w:rPr>
        <w:t>带头学习强化法治思维。大栅栏街道把深入学习贯彻习近平法治思想作为重大政治任务，紧抓“关键少数”，将法律专题学习列入主题教育</w:t>
      </w:r>
      <w:r>
        <w:rPr>
          <w:rFonts w:hint="eastAsia" w:ascii="仿宋_GB2312" w:hAnsi="仿宋_GB2312" w:eastAsia="仿宋_GB2312" w:cs="仿宋_GB2312"/>
          <w:sz w:val="32"/>
          <w:szCs w:val="40"/>
          <w:lang w:eastAsia="zh-CN"/>
        </w:rPr>
        <w:t>和理论学习中心组</w:t>
      </w:r>
      <w:bookmarkStart w:id="0" w:name="_GoBack"/>
      <w:bookmarkEnd w:id="0"/>
      <w:r>
        <w:rPr>
          <w:rFonts w:ascii="仿宋_GB2312" w:hAnsi="仿宋_GB2312" w:eastAsia="仿宋_GB2312" w:cs="仿宋_GB2312"/>
          <w:sz w:val="32"/>
          <w:szCs w:val="40"/>
        </w:rPr>
        <w:t>学习中，组织领导干部及机关人员学法，开展工委会会前学法</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主任办公会会前学法，带头学习、宣讲二十届三中全会关于法治建设的有关工作部署。压实责任发挥核心作用。</w:t>
      </w:r>
      <w:r>
        <w:rPr>
          <w:rFonts w:hint="eastAsia" w:ascii="仿宋_GB2312" w:hAnsi="仿宋_GB2312" w:eastAsia="仿宋_GB2312" w:cs="仿宋_GB2312"/>
          <w:sz w:val="32"/>
          <w:szCs w:val="40"/>
        </w:rPr>
        <w:t>研究制定《中共北京市西城区大栅栏街道办事处2024年度党政主要负责人履行推进法治建设第一责任人职责规定工作清单》</w:t>
      </w:r>
      <w:r>
        <w:rPr>
          <w:rFonts w:ascii="仿宋_GB2312" w:hAnsi="仿宋_GB2312" w:eastAsia="仿宋_GB2312" w:cs="仿宋_GB2312"/>
          <w:sz w:val="32"/>
          <w:szCs w:val="40"/>
        </w:rPr>
        <w:t>，</w:t>
      </w:r>
      <w:r>
        <w:rPr>
          <w:rFonts w:hint="eastAsia" w:ascii="仿宋_GB2312" w:eastAsia="仿宋_GB2312"/>
          <w:sz w:val="32"/>
          <w:szCs w:val="32"/>
        </w:rPr>
        <w:t>谋划出台《2024年北京市西城区大栅栏街道办事处普法依法治理工作要点》，</w:t>
      </w:r>
      <w:r>
        <w:rPr>
          <w:rFonts w:hint="eastAsia" w:ascii="仿宋_GB2312" w:eastAsia="仿宋_GB2312"/>
          <w:sz w:val="32"/>
          <w:szCs w:val="32"/>
          <w:lang w:eastAsia="zh-CN"/>
        </w:rPr>
        <w:t>按照工作要点</w:t>
      </w:r>
      <w:r>
        <w:rPr>
          <w:rFonts w:ascii="仿宋_GB2312" w:hAnsi="仿宋_GB2312" w:eastAsia="仿宋_GB2312" w:cs="仿宋_GB2312"/>
          <w:sz w:val="32"/>
          <w:szCs w:val="40"/>
        </w:rPr>
        <w:t>定期听取法治政府建设有关工作汇报，对法治建设重要工作亲自过问、重要任务亲自督办，树立依法行政鲜明导向，带头用法治方式解决问题</w:t>
      </w:r>
      <w:r>
        <w:rPr>
          <w:rFonts w:hint="eastAsia" w:ascii="仿宋_GB2312" w:hAnsi="仿宋_GB2312" w:eastAsia="仿宋_GB2312" w:cs="仿宋_GB2312"/>
          <w:sz w:val="32"/>
          <w:szCs w:val="40"/>
        </w:rPr>
        <w:t>，全方位</w:t>
      </w:r>
      <w:r>
        <w:rPr>
          <w:rFonts w:hint="eastAsia" w:ascii="仿宋_GB2312" w:hAnsi="仿宋_GB2312" w:eastAsia="仿宋_GB2312" w:cs="仿宋_GB2312"/>
          <w:sz w:val="32"/>
          <w:szCs w:val="40"/>
          <w:lang w:eastAsia="zh-CN"/>
        </w:rPr>
        <w:t>推进落实</w:t>
      </w:r>
      <w:r>
        <w:rPr>
          <w:rFonts w:hint="eastAsia" w:ascii="仿宋_GB2312" w:eastAsia="仿宋_GB2312"/>
          <w:sz w:val="32"/>
          <w:szCs w:val="32"/>
        </w:rPr>
        <w:t>普法依法治理工作</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大栅栏街道坚持贯彻落实《党政主要负责人履行推进法治建设第一责任人职责规定》，街道工委书记、办事处主任对法治政府建设工作高度重视，不断推动街道法治建设体制机制建设，有效推动各项工作落地。</w:t>
      </w:r>
    </w:p>
    <w:p w14:paraId="718122BE">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ascii="黑体" w:hAnsi="黑体" w:eastAsia="黑体" w:cs="Times New Roman"/>
          <w:sz w:val="32"/>
          <w:szCs w:val="32"/>
        </w:rPr>
      </w:pPr>
      <w:r>
        <w:rPr>
          <w:rFonts w:ascii="黑体" w:hAnsi="黑体" w:eastAsia="黑体" w:cs="Times New Roman"/>
          <w:sz w:val="32"/>
          <w:szCs w:val="32"/>
        </w:rPr>
        <w:t>四、2025年推进法治政府建设的主要安排</w:t>
      </w:r>
    </w:p>
    <w:p w14:paraId="164465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一是强化法治政府建设统筹谋划。贯彻落实《西城区推进法治政府建设率先突破两年行动计划（2024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2025年）》，将习近平法治思想和法治政府建设有关部署要求</w:t>
      </w:r>
      <w:r>
        <w:rPr>
          <w:rFonts w:hint="eastAsia" w:ascii="仿宋_GB2312" w:hAnsi="仿宋_GB2312" w:eastAsia="仿宋_GB2312" w:cs="仿宋_GB2312"/>
          <w:sz w:val="32"/>
          <w:szCs w:val="40"/>
          <w:lang w:eastAsia="zh-CN"/>
        </w:rPr>
        <w:t>融入</w:t>
      </w:r>
      <w:r>
        <w:rPr>
          <w:rFonts w:hint="eastAsia" w:ascii="仿宋_GB2312" w:hAnsi="仿宋_GB2312" w:eastAsia="仿宋_GB2312" w:cs="仿宋_GB2312"/>
          <w:sz w:val="32"/>
          <w:szCs w:val="40"/>
        </w:rPr>
        <w:t>大栅栏“五联四纵•红栏愿景”规划中去，推动大栅栏街道法治政府建设更加完善。</w:t>
      </w:r>
    </w:p>
    <w:p w14:paraId="0CBFEB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二是持续营造一流法治化营商环境。对照《北京市优化营商环境条例》，结合西城区“2-1-1-5-2”框架体系有关要求，积极优化政务服务环境，助力打造“北京服务”品牌，践行红墙先锋精神，推动区域资源整合利用，助推老字号焕发新活力。</w:t>
      </w:r>
    </w:p>
    <w:p w14:paraId="40FFA4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三是坚持严格规范公正文明执法。加强执法监督与分析，开展专项整治督查。加强执法队伍建设，加大法律培训和规范执法培训力度，形成执法过程规范、出具文书规范、监督审查到位、法律专业到位的法治队伍和法治工作建设。</w:t>
      </w:r>
    </w:p>
    <w:p w14:paraId="740989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四是创新普法宣传方式，提升社会治理法治化水平。不断拓展街道普法宣传阵地，以“党建+普法宣传”扩大普法宣传覆盖面，结合辖区历史文化特点，推进法治文化建设，积极探索街区治理新模式，重点推动街道“第四调解室</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京韵园”等依法治理、普法阵地品牌推广。</w:t>
      </w:r>
    </w:p>
    <w:p w14:paraId="0E6BE97E">
      <w:pPr>
        <w:spacing w:line="580" w:lineRule="exact"/>
        <w:ind w:firstLine="640" w:firstLineChars="200"/>
        <w:rPr>
          <w:rFonts w:ascii="宋体" w:hAnsi="宋体" w:eastAsia="楷体_GB2312" w:cs="Courier New"/>
          <w:sz w:val="32"/>
          <w:szCs w:val="32"/>
        </w:rPr>
      </w:pPr>
      <w:r>
        <w:rPr>
          <w:rFonts w:hint="eastAsia" w:ascii="仿宋_GB2312" w:hAnsi="宋体" w:eastAsia="仿宋_GB2312" w:cs="Courier New"/>
          <w:sz w:val="32"/>
          <w:szCs w:val="32"/>
        </w:rPr>
        <w:t>特此报告。</w:t>
      </w:r>
    </w:p>
    <w:p w14:paraId="09FBF0EB">
      <w:pPr>
        <w:pStyle w:val="3"/>
        <w:rPr>
          <w:rFonts w:ascii="宋体" w:hAnsi="宋体" w:eastAsia="楷体_GB2312" w:cs="Courier New"/>
          <w:sz w:val="32"/>
          <w:szCs w:val="32"/>
        </w:rPr>
      </w:pPr>
    </w:p>
    <w:p w14:paraId="6EB56A90">
      <w:pPr>
        <w:pStyle w:val="3"/>
        <w:rPr>
          <w:rFonts w:ascii="宋体" w:hAnsi="宋体" w:eastAsia="楷体_GB2312" w:cs="Courier New"/>
          <w:sz w:val="32"/>
          <w:szCs w:val="32"/>
        </w:rPr>
      </w:pPr>
    </w:p>
    <w:p w14:paraId="66811F51">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32"/>
        </w:rPr>
        <w:t>中共北京市西城区委         北京市西城区人民政府</w:t>
      </w:r>
    </w:p>
    <w:p w14:paraId="2CB98717">
      <w:pPr>
        <w:pStyle w:val="3"/>
        <w:ind w:firstLine="640" w:firstLineChars="200"/>
        <w:rPr>
          <w:rFonts w:hAnsi="仿宋_GB2312" w:cs="仿宋_GB2312"/>
          <w:sz w:val="32"/>
          <w:szCs w:val="40"/>
        </w:rPr>
      </w:pPr>
      <w:r>
        <w:rPr>
          <w:rFonts w:hint="eastAsia" w:ascii="仿宋_GB2312" w:hAnsi="仿宋_GB2312" w:eastAsia="仿宋_GB2312" w:cs="仿宋_GB2312"/>
          <w:sz w:val="32"/>
          <w:szCs w:val="32"/>
        </w:rPr>
        <w:t xml:space="preserve">大栅栏街道工作委员会          </w:t>
      </w:r>
      <w:r>
        <w:rPr>
          <w:rFonts w:hint="eastAsia" w:ascii="仿宋_GB2312" w:hAnsi="仿宋_GB2312" w:eastAsia="仿宋_GB2312" w:cs="仿宋_GB2312"/>
          <w:sz w:val="32"/>
          <w:szCs w:val="40"/>
        </w:rPr>
        <w:t>大栅栏街道办事处</w:t>
      </w:r>
      <w:r>
        <w:rPr>
          <w:rFonts w:hint="eastAsia" w:hAnsi="仿宋_GB2312" w:cs="仿宋_GB2312"/>
          <w:sz w:val="32"/>
          <w:szCs w:val="40"/>
        </w:rPr>
        <w:t xml:space="preserve"> </w:t>
      </w:r>
    </w:p>
    <w:p w14:paraId="6412AADE">
      <w:pPr>
        <w:pStyle w:val="3"/>
        <w:tabs>
          <w:tab w:val="right" w:pos="8180"/>
          <w:tab w:val="left" w:pos="8820"/>
          <w:tab w:val="clear" w:pos="8306"/>
        </w:tabs>
        <w:wordWrap w:val="0"/>
        <w:ind w:right="23" w:rightChars="11" w:firstLine="640" w:firstLineChars="200"/>
        <w:jc w:val="right"/>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rPr>
        <w:t xml:space="preserve">                     2024年12月</w:t>
      </w:r>
      <w:r>
        <w:rPr>
          <w:rFonts w:hint="eastAsia" w:ascii="仿宋_GB2312" w:hAnsi="宋体" w:eastAsia="仿宋_GB2312" w:cs="Courier New"/>
          <w:sz w:val="32"/>
          <w:szCs w:val="32"/>
          <w:lang w:val="en-US" w:eastAsia="zh-CN"/>
        </w:rPr>
        <w:t>30</w:t>
      </w:r>
      <w:r>
        <w:rPr>
          <w:rFonts w:hint="eastAsia" w:ascii="仿宋_GB2312" w:hAnsi="宋体" w:eastAsia="仿宋_GB2312" w:cs="Courier New"/>
          <w:sz w:val="32"/>
          <w:szCs w:val="32"/>
        </w:rPr>
        <w:t>日</w:t>
      </w:r>
      <w:r>
        <w:rPr>
          <w:rFonts w:hint="eastAsia" w:ascii="仿宋_GB2312" w:hAnsi="宋体" w:eastAsia="仿宋_GB2312" w:cs="Courier New"/>
          <w:sz w:val="32"/>
          <w:szCs w:val="32"/>
          <w:lang w:val="en-US" w:eastAsia="zh-CN"/>
        </w:rPr>
        <w:t xml:space="preserve">    </w:t>
      </w:r>
    </w:p>
    <w:p w14:paraId="598CFDA6">
      <w:pPr>
        <w:pStyle w:val="3"/>
        <w:ind w:firstLine="640" w:firstLineChars="200"/>
        <w:jc w:val="center"/>
        <w:rPr>
          <w:rFonts w:ascii="仿宋_GB2312" w:hAnsi="宋体" w:eastAsia="仿宋_GB2312" w:cs="Courier New"/>
          <w:sz w:val="32"/>
          <w:szCs w:val="32"/>
        </w:rPr>
      </w:pPr>
    </w:p>
    <w:p w14:paraId="153E4924">
      <w:pPr>
        <w:pStyle w:val="3"/>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（联系人：</w:t>
      </w:r>
      <w:r>
        <w:rPr>
          <w:rFonts w:hint="eastAsia" w:ascii="仿宋_GB2312" w:hAnsi="宋体" w:eastAsia="仿宋_GB2312" w:cs="Courier New"/>
          <w:sz w:val="32"/>
          <w:szCs w:val="32"/>
          <w:lang w:eastAsia="zh-CN"/>
        </w:rPr>
        <w:t>石萌</w:t>
      </w:r>
      <w:r>
        <w:rPr>
          <w:rFonts w:hint="eastAsia" w:ascii="仿宋_GB2312" w:hAnsi="宋体" w:eastAsia="仿宋_GB2312" w:cs="Courier New"/>
          <w:sz w:val="32"/>
          <w:szCs w:val="32"/>
        </w:rPr>
        <w:t xml:space="preserve">   联系电话：</w:t>
      </w:r>
      <w:r>
        <w:rPr>
          <w:rFonts w:hint="eastAsia" w:ascii="仿宋_GB2312" w:hAnsi="宋体" w:eastAsia="仿宋_GB2312" w:cs="Courier New"/>
          <w:sz w:val="32"/>
          <w:szCs w:val="32"/>
          <w:lang w:val="en-US" w:eastAsia="zh-CN"/>
        </w:rPr>
        <w:t>63032205</w:t>
      </w:r>
      <w:r>
        <w:rPr>
          <w:rFonts w:hint="eastAsia" w:ascii="仿宋_GB2312" w:hAnsi="宋体" w:eastAsia="仿宋_GB2312" w:cs="Courier New"/>
          <w:sz w:val="32"/>
          <w:szCs w:val="32"/>
        </w:rPr>
        <w:t>）</w:t>
      </w:r>
    </w:p>
    <w:p w14:paraId="69DB353F">
      <w:pPr>
        <w:pStyle w:val="3"/>
        <w:ind w:firstLine="640" w:firstLineChars="200"/>
        <w:rPr>
          <w:rFonts w:hint="eastAsia" w:ascii="仿宋_GB2312" w:hAnsi="宋体" w:eastAsia="仿宋_GB2312" w:cs="Courier New"/>
          <w:sz w:val="32"/>
          <w:szCs w:val="32"/>
        </w:rPr>
      </w:pPr>
    </w:p>
    <w:p w14:paraId="596ED65A">
      <w:pPr>
        <w:spacing w:line="560" w:lineRule="exact"/>
        <w:ind w:firstLine="420" w:firstLineChars="200"/>
        <w:rPr>
          <w:rFonts w:ascii="Times New Roman"/>
          <w:szCs w:val="32"/>
        </w:rPr>
      </w:pPr>
    </w:p>
    <w:p w14:paraId="5A128A95">
      <w:pPr>
        <w:spacing w:line="560" w:lineRule="exact"/>
        <w:ind w:firstLine="420" w:firstLineChars="200"/>
        <w:rPr>
          <w:rFonts w:ascii="Times New Roman"/>
          <w:szCs w:val="32"/>
        </w:rPr>
      </w:pPr>
    </w:p>
    <w:p w14:paraId="3C75E61D">
      <w:pPr>
        <w:spacing w:line="560" w:lineRule="exact"/>
        <w:ind w:firstLine="420" w:firstLineChars="200"/>
        <w:rPr>
          <w:rFonts w:ascii="Times New Roman"/>
          <w:szCs w:val="32"/>
        </w:rPr>
      </w:pPr>
    </w:p>
    <w:p w14:paraId="3C1D52BC">
      <w:pPr>
        <w:spacing w:line="560" w:lineRule="exact"/>
        <w:ind w:firstLine="420" w:firstLineChars="200"/>
        <w:rPr>
          <w:rFonts w:ascii="Times New Roman"/>
          <w:szCs w:val="32"/>
        </w:rPr>
      </w:pPr>
    </w:p>
    <w:p w14:paraId="48C5B914">
      <w:pPr>
        <w:spacing w:line="560" w:lineRule="exact"/>
        <w:ind w:firstLine="420" w:firstLineChars="200"/>
        <w:rPr>
          <w:rFonts w:ascii="Times New Roman"/>
          <w:szCs w:val="32"/>
        </w:rPr>
      </w:pPr>
    </w:p>
    <w:p w14:paraId="44EA6589">
      <w:pPr>
        <w:spacing w:line="560" w:lineRule="exact"/>
        <w:ind w:firstLine="420" w:firstLineChars="200"/>
        <w:rPr>
          <w:rFonts w:ascii="Times New Roman"/>
          <w:szCs w:val="32"/>
        </w:rPr>
      </w:pPr>
    </w:p>
    <w:p w14:paraId="07D250A8">
      <w:pPr>
        <w:spacing w:line="560" w:lineRule="exact"/>
        <w:ind w:firstLine="420" w:firstLineChars="200"/>
        <w:rPr>
          <w:rFonts w:ascii="Times New Roman"/>
          <w:szCs w:val="32"/>
        </w:rPr>
      </w:pPr>
    </w:p>
    <w:p w14:paraId="25007A96">
      <w:pPr>
        <w:spacing w:line="560" w:lineRule="exact"/>
        <w:ind w:firstLine="420" w:firstLineChars="200"/>
        <w:rPr>
          <w:rFonts w:ascii="Times New Roman"/>
          <w:szCs w:val="32"/>
        </w:rPr>
      </w:pPr>
    </w:p>
    <w:p w14:paraId="2E4DAEE3">
      <w:pPr>
        <w:spacing w:line="560" w:lineRule="exact"/>
        <w:ind w:firstLine="420" w:firstLineChars="200"/>
        <w:rPr>
          <w:rFonts w:ascii="Times New Roman"/>
          <w:szCs w:val="32"/>
        </w:rPr>
      </w:pPr>
    </w:p>
    <w:p w14:paraId="0356B289">
      <w:pPr>
        <w:spacing w:line="560" w:lineRule="exact"/>
        <w:ind w:firstLine="420" w:firstLineChars="200"/>
        <w:rPr>
          <w:rFonts w:ascii="Times New Roman"/>
          <w:szCs w:val="32"/>
        </w:rPr>
      </w:pPr>
    </w:p>
    <w:p w14:paraId="6E14D255">
      <w:pPr>
        <w:spacing w:line="560" w:lineRule="exact"/>
        <w:ind w:firstLine="420" w:firstLineChars="200"/>
        <w:rPr>
          <w:rFonts w:ascii="Times New Roman"/>
          <w:szCs w:val="32"/>
        </w:rPr>
      </w:pPr>
    </w:p>
    <w:p w14:paraId="63D562D8">
      <w:pPr>
        <w:spacing w:line="560" w:lineRule="exact"/>
        <w:ind w:firstLine="420" w:firstLineChars="200"/>
        <w:rPr>
          <w:rFonts w:ascii="Times New Roman"/>
          <w:szCs w:val="32"/>
        </w:rPr>
      </w:pPr>
    </w:p>
    <w:p w14:paraId="2699C7EA">
      <w:pPr>
        <w:spacing w:line="560" w:lineRule="exact"/>
        <w:ind w:firstLine="420" w:firstLineChars="200"/>
        <w:rPr>
          <w:rFonts w:ascii="Times New Roman"/>
          <w:szCs w:val="32"/>
        </w:rPr>
      </w:pPr>
    </w:p>
    <w:p w14:paraId="7E9DA78E">
      <w:pPr>
        <w:spacing w:line="560" w:lineRule="exact"/>
        <w:ind w:firstLine="420" w:firstLineChars="200"/>
        <w:rPr>
          <w:rFonts w:ascii="Times New Roman"/>
          <w:szCs w:val="32"/>
        </w:rPr>
      </w:pPr>
    </w:p>
    <w:p w14:paraId="1AA6FB0F">
      <w:pPr>
        <w:spacing w:line="560" w:lineRule="exact"/>
        <w:ind w:firstLine="420" w:firstLineChars="200"/>
        <w:rPr>
          <w:rFonts w:ascii="Times New Roman"/>
          <w:szCs w:val="32"/>
        </w:rPr>
      </w:pPr>
    </w:p>
    <w:p w14:paraId="6AC446C2">
      <w:pPr>
        <w:spacing w:line="560" w:lineRule="exact"/>
        <w:ind w:firstLine="420" w:firstLineChars="200"/>
        <w:rPr>
          <w:rFonts w:ascii="Times New Roman"/>
          <w:szCs w:val="32"/>
        </w:rPr>
      </w:pPr>
    </w:p>
    <w:p w14:paraId="51D0F40E">
      <w:pPr>
        <w:spacing w:line="560" w:lineRule="exact"/>
        <w:ind w:firstLine="420" w:firstLineChars="200"/>
        <w:rPr>
          <w:rFonts w:ascii="Times New Roman"/>
          <w:szCs w:val="32"/>
        </w:rPr>
      </w:pPr>
    </w:p>
    <w:p w14:paraId="5AB74513">
      <w:pPr>
        <w:pStyle w:val="2"/>
        <w:rPr>
          <w:rFonts w:ascii="Times New Roman"/>
          <w:szCs w:val="32"/>
        </w:rPr>
      </w:pPr>
    </w:p>
    <w:p w14:paraId="364D8B1B">
      <w:pPr>
        <w:pStyle w:val="3"/>
        <w:rPr>
          <w:rFonts w:ascii="Times New Roman"/>
          <w:szCs w:val="32"/>
        </w:rPr>
      </w:pPr>
    </w:p>
    <w:p w14:paraId="3E4351FB">
      <w:pPr>
        <w:pStyle w:val="3"/>
        <w:rPr>
          <w:rFonts w:ascii="Times New Roman"/>
          <w:szCs w:val="32"/>
        </w:rPr>
      </w:pPr>
    </w:p>
    <w:p w14:paraId="2570F16E">
      <w:pPr>
        <w:pStyle w:val="3"/>
        <w:rPr>
          <w:rFonts w:ascii="Times New Roman"/>
          <w:szCs w:val="32"/>
        </w:rPr>
      </w:pPr>
    </w:p>
    <w:p w14:paraId="3A0FF281">
      <w:pPr>
        <w:pStyle w:val="3"/>
        <w:rPr>
          <w:rFonts w:ascii="Times New Roman"/>
          <w:szCs w:val="32"/>
        </w:rPr>
      </w:pPr>
    </w:p>
    <w:p w14:paraId="377138A0">
      <w:pPr>
        <w:pStyle w:val="3"/>
        <w:ind w:firstLine="640" w:firstLineChars="200"/>
        <w:rPr>
          <w:rFonts w:ascii="仿宋_GB2312" w:hAnsi="宋体" w:eastAsia="仿宋_GB2312" w:cs="Courier New"/>
          <w:sz w:val="32"/>
          <w:szCs w:val="32"/>
        </w:rPr>
      </w:pPr>
      <w:r>
        <w:rPr>
          <w:rFonts w:ascii="仿宋_GB2312" w:hAnsi="宋体" w:eastAsia="仿宋_GB2312" w:cs="Courier New"/>
          <w:sz w:val="32"/>
          <w:szCs w:val="32"/>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243205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35pt;margin-top:19.15pt;height:0pt;width:442.2pt;z-index:251663360;mso-width-relative:page;mso-height-relative:page;" filled="f" stroked="t" coordsize="21600,21600" o:gfxdata="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D9RqdQA&#10;AAAHAQAADwAAAAAAAAABACAAAAAiAAAAZHJzL2Rvd25yZXYueG1sUEsBAhQAFAAAAAgAh07iQBsv&#10;ysvqAQAAuQMAAA4AAAAAAAAAAQAgAAAAIwEAAGRycy9lMm9Eb2MueG1sUEsFBgAAAAAGAAYAWQEA&#10;AH8FAAAAAA==&#10;">
                <v:fill on="f" focussize="0,0"/>
                <v:stroke weight="1pt" color="#000000" joinstyle="round"/>
                <v:imagedata o:title=""/>
                <o:lock v:ext="edit" aspectratio="f"/>
              </v:line>
            </w:pict>
          </mc:Fallback>
        </mc:AlternateContent>
      </w:r>
    </w:p>
    <w:p w14:paraId="1D3BB76E">
      <w:pPr>
        <w:pStyle w:val="3"/>
        <w:spacing w:line="360" w:lineRule="auto"/>
        <w:rPr>
          <w:rFonts w:hint="eastAsia" w:ascii="仿宋_GB2312" w:hAnsi="宋体" w:eastAsia="仿宋_GB2312" w:cs="Courier New"/>
          <w:sz w:val="28"/>
          <w:szCs w:val="28"/>
        </w:rPr>
      </w:pPr>
      <w:r>
        <w:rPr>
          <w:rFonts w:ascii="仿宋_GB2312" w:hAnsi="宋体" w:eastAsia="仿宋_GB2312" w:cs="Courier New"/>
          <w:sz w:val="32"/>
          <w:szCs w:val="32"/>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265430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5pt;margin-top:20.9pt;height:0pt;width:441pt;z-index:251662336;mso-width-relative:page;mso-height-relative:page;" filled="f" stroked="t" coordsize="21600,21600" o:gfxdata="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E6hJ0gAAAAcBAAAPAAAAAAAAAAEAIAAAACIAAABkcnMvZG93bnJldi54bWxQSwEC&#10;FAAUAAAACACHTuJAYLbov/oBAADyAwAADgAAAAAAAAABACAAAAAhAQAAZHJzL2Uyb0RvYy54bWxQ&#10;SwUGAAAAAAYABgBZAQAAjQUAAAAA&#10;">
                <v:fill on="f" focussize="0,0"/>
                <v:stroke color="#000000" joinstyle="round"/>
                <v:imagedata o:title=""/>
                <o:lock v:ext="edit" aspectratio="f"/>
              </v:line>
            </w:pict>
          </mc:Fallback>
        </mc:AlternateContent>
      </w:r>
      <w:r>
        <w:rPr>
          <w:rFonts w:hint="eastAsia" w:ascii="仿宋_GB2312" w:hAnsi="宋体" w:eastAsia="仿宋_GB2312" w:cs="Courier New"/>
          <w:sz w:val="32"/>
          <w:szCs w:val="32"/>
        </w:rPr>
        <w:t>　</w:t>
      </w:r>
      <w:r>
        <w:rPr>
          <w:rFonts w:hint="eastAsia" w:ascii="仿宋_GB2312" w:hAnsi="宋体" w:eastAsia="仿宋_GB2312" w:cs="Courier New"/>
          <w:sz w:val="28"/>
          <w:szCs w:val="28"/>
        </w:rPr>
        <w:t>抄报：区委依法治区办</w:t>
      </w:r>
    </w:p>
    <w:p w14:paraId="6139D688">
      <w:pPr>
        <w:pStyle w:val="3"/>
        <w:spacing w:line="360" w:lineRule="auto"/>
        <w:ind w:firstLine="280" w:firstLineChars="100"/>
        <w:rPr>
          <w:rFonts w:ascii="仿宋_GB2312" w:hAnsi="宋体" w:eastAsia="仿宋_GB2312" w:cs="Courier New"/>
          <w:sz w:val="28"/>
          <w:szCs w:val="28"/>
        </w:rPr>
      </w:pPr>
      <w:r>
        <w:rPr>
          <w:rFonts w:hint="eastAsia" w:ascii="仿宋_GB2312" w:hAnsi="宋体" w:eastAsia="仿宋_GB2312" w:cs="Courier New"/>
          <w:sz w:val="28"/>
          <w:szCs w:val="28"/>
        </w:rPr>
        <w:t>中共北京市西城区委大栅栏街道综合办公室</w:t>
      </w:r>
      <w:r>
        <w:rPr>
          <w:rFonts w:ascii="仿宋_GB2312" w:hAnsi="宋体" w:eastAsia="仿宋_GB2312" w:cs="Courier New"/>
          <w:sz w:val="28"/>
          <w:szCs w:val="28"/>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262890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5pt;margin-top:20.7pt;height:0pt;width:441pt;z-index:251661312;mso-width-relative:page;mso-height-relative:page;" filled="f" stroked="t" coordsize="21600,21600" o:gfxdata="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eJrotMAAAAHAQAADwAAAAAAAAABACAAAAAiAAAAZHJzL2Rvd25yZXYueG1sUEsBAhQA&#10;FAAAAAgAh07iQHFV5a33AQAA8wMAAA4AAAAAAAAAAQAgAAAAIgEAAGRycy9lMm9Eb2MueG1sUEsF&#10;BgAAAAAGAAYAWQEAAIsFAAAAAA==&#10;">
                <v:fill on="f" focussize="0,0"/>
                <v:stroke weight="1pt" color="#000000" joinstyle="round"/>
                <v:imagedata o:title=""/>
                <o:lock v:ext="edit" aspectratio="f"/>
              </v:line>
            </w:pict>
          </mc:Fallback>
        </mc:AlternateContent>
      </w:r>
      <w:r>
        <w:rPr>
          <w:rFonts w:hint="eastAsia" w:ascii="仿宋_GB2312" w:hAnsi="宋体" w:eastAsia="仿宋_GB2312" w:cs="Courier New"/>
          <w:sz w:val="28"/>
          <w:szCs w:val="28"/>
        </w:rPr>
        <w:t xml:space="preserve">   </w:t>
      </w:r>
      <w:r>
        <w:rPr>
          <w:rFonts w:hint="eastAsia" w:ascii="仿宋_GB2312" w:hAnsi="宋体" w:eastAsia="仿宋_GB2312" w:cs="Courier New"/>
          <w:sz w:val="28"/>
          <w:szCs w:val="28"/>
          <w:lang w:val="en-US" w:eastAsia="zh-CN"/>
        </w:rPr>
        <w:t>2024</w:t>
      </w:r>
      <w:r>
        <w:rPr>
          <w:rFonts w:hint="eastAsia" w:ascii="仿宋_GB2312" w:hAnsi="宋体" w:eastAsia="仿宋_GB2312" w:cs="Courier New"/>
          <w:sz w:val="28"/>
          <w:szCs w:val="28"/>
        </w:rPr>
        <w:t>年</w:t>
      </w:r>
      <w:r>
        <w:rPr>
          <w:rFonts w:hint="eastAsia" w:ascii="仿宋_GB2312" w:hAnsi="宋体" w:eastAsia="仿宋_GB2312" w:cs="Courier New"/>
          <w:sz w:val="28"/>
          <w:szCs w:val="28"/>
          <w:lang w:val="en-US" w:eastAsia="zh-CN"/>
        </w:rPr>
        <w:t>12</w:t>
      </w:r>
      <w:r>
        <w:rPr>
          <w:rFonts w:hint="eastAsia" w:ascii="仿宋_GB2312" w:hAnsi="宋体" w:eastAsia="仿宋_GB2312" w:cs="Courier New"/>
          <w:sz w:val="28"/>
          <w:szCs w:val="28"/>
        </w:rPr>
        <w:t>月</w:t>
      </w:r>
      <w:r>
        <w:rPr>
          <w:rFonts w:hint="eastAsia" w:ascii="仿宋_GB2312" w:hAnsi="宋体" w:eastAsia="仿宋_GB2312" w:cs="Courier New"/>
          <w:sz w:val="28"/>
          <w:szCs w:val="28"/>
          <w:lang w:val="en-US" w:eastAsia="zh-CN"/>
        </w:rPr>
        <w:t>30</w:t>
      </w:r>
      <w:r>
        <w:rPr>
          <w:rFonts w:hint="eastAsia" w:ascii="仿宋_GB2312" w:hAnsi="宋体" w:eastAsia="仿宋_GB2312" w:cs="Courier New"/>
          <w:sz w:val="28"/>
          <w:szCs w:val="28"/>
        </w:rPr>
        <w:t>日印发</w:t>
      </w:r>
    </w:p>
    <w:p w14:paraId="73320356">
      <w:pPr>
        <w:pStyle w:val="3"/>
        <w:spacing w:line="360" w:lineRule="auto"/>
        <w:ind w:firstLine="280" w:firstLineChars="100"/>
        <w:rPr>
          <w:rFonts w:ascii="仿宋_GB2312" w:hAnsi="宋体" w:eastAsia="仿宋_GB2312" w:cs="Courier New"/>
          <w:sz w:val="28"/>
          <w:szCs w:val="28"/>
        </w:rPr>
      </w:pPr>
    </w:p>
    <w:p w14:paraId="40E82627">
      <w:pPr>
        <w:spacing w:line="560" w:lineRule="exact"/>
        <w:jc w:val="left"/>
        <w:rPr>
          <w:rFonts w:hint="eastAsia" w:ascii="仿宋_GB2312" w:hAnsi="宋体" w:eastAsia="仿宋_GB2312" w:cs="Courier New"/>
          <w:sz w:val="32"/>
          <w:szCs w:val="32"/>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A5286B-A212-40DA-B157-5C251E60ACDB}"/>
  </w:font>
  <w:font w:name="Courier New">
    <w:panose1 w:val="02070309020205020404"/>
    <w:charset w:val="01"/>
    <w:family w:val="modern"/>
    <w:pitch w:val="default"/>
    <w:sig w:usb0="E0002AFF" w:usb1="C0007843" w:usb2="00000009" w:usb3="00000000" w:csb0="400001FF" w:csb1="FFFF0000"/>
    <w:embedRegular r:id="rId2" w:fontKey="{48A1DB49-6430-4F3B-85C1-9D6DF0AFD1F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3FFEB47-E92B-48CD-89D1-2A3B4F263DE2}"/>
  </w:font>
  <w:font w:name="方正小标宋简体">
    <w:panose1 w:val="02000000000000000000"/>
    <w:charset w:val="86"/>
    <w:family w:val="auto"/>
    <w:pitch w:val="default"/>
    <w:sig w:usb0="00000001" w:usb1="080E0000" w:usb2="00000000" w:usb3="00000000" w:csb0="00040000" w:csb1="00000000"/>
    <w:embedRegular r:id="rId4" w:fontKey="{95D6325D-09CF-4ED0-A65F-820459079B87}"/>
  </w:font>
  <w:font w:name="Times">
    <w:altName w:val="Times New Roman"/>
    <w:panose1 w:val="02020603050000020304"/>
    <w:charset w:val="00"/>
    <w:family w:val="roman"/>
    <w:pitch w:val="default"/>
    <w:sig w:usb0="00000000" w:usb1="00000000" w:usb2="00000009" w:usb3="00000000" w:csb0="000001FF" w:csb1="00000000"/>
    <w:embedRegular r:id="rId5" w:fontKey="{3D0F9C84-DC7D-463B-A4C0-8FC655DC6BB9}"/>
  </w:font>
  <w:font w:name="楷体_GB2312">
    <w:panose1 w:val="02010609030101010101"/>
    <w:charset w:val="86"/>
    <w:family w:val="modern"/>
    <w:pitch w:val="default"/>
    <w:sig w:usb0="00000001" w:usb1="080E0000" w:usb2="00000000" w:usb3="00000000" w:csb0="00040000" w:csb1="00000000"/>
    <w:embedRegular r:id="rId6" w:fontKey="{3E66A41E-FDEF-4735-B3F3-A6CD60429BC5}"/>
  </w:font>
  <w:font w:name="方正仿宋_GBK">
    <w:panose1 w:val="02000000000000000000"/>
    <w:charset w:val="86"/>
    <w:family w:val="script"/>
    <w:pitch w:val="default"/>
    <w:sig w:usb0="A00002BF" w:usb1="38CF7CFA" w:usb2="00082016" w:usb3="00000000" w:csb0="00040001" w:csb1="00000000"/>
    <w:embedRegular r:id="rId7" w:fontKey="{B89C9223-6A49-4444-B795-0463B0A7F13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74113">
    <w:pPr>
      <w:pStyle w:val="3"/>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C2B637A">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9</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1C2B637A">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9</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documentProtection w:enforcement="0"/>
  <w:defaultTabStop w:val="420"/>
  <w:drawingGridHorizontalSpacing w:val="315"/>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D6EE3"/>
    <w:rsid w:val="0F1862C4"/>
    <w:rsid w:val="11B75C7D"/>
    <w:rsid w:val="13221C59"/>
    <w:rsid w:val="16104199"/>
    <w:rsid w:val="19DC4392"/>
    <w:rsid w:val="1A5E5234"/>
    <w:rsid w:val="205F4C14"/>
    <w:rsid w:val="207451CF"/>
    <w:rsid w:val="21D275E3"/>
    <w:rsid w:val="22916662"/>
    <w:rsid w:val="25024F43"/>
    <w:rsid w:val="2976050B"/>
    <w:rsid w:val="368220F2"/>
    <w:rsid w:val="373161B5"/>
    <w:rsid w:val="3C8C13E6"/>
    <w:rsid w:val="4130731B"/>
    <w:rsid w:val="553800E4"/>
    <w:rsid w:val="55897AEF"/>
    <w:rsid w:val="5DDB46B4"/>
    <w:rsid w:val="69CF2876"/>
    <w:rsid w:val="6E0A7D76"/>
    <w:rsid w:val="6ECA36D3"/>
    <w:rsid w:val="72C41A78"/>
    <w:rsid w:val="7D63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3"/>
    <w:next w:val="1"/>
    <w:unhideWhenUsed/>
    <w:qFormat/>
    <w:uiPriority w:val="9"/>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5">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5">
    <w:name w:val="toa heading"/>
    <w:basedOn w:val="1"/>
    <w:next w:val="1"/>
    <w:qFormat/>
    <w:uiPriority w:val="0"/>
    <w:pPr>
      <w:spacing w:before="120"/>
    </w:pPr>
    <w:rPr>
      <w:rFonts w:ascii="Arial" w:hAnsi="Arial" w:eastAsia="等线" w:cs="Arial"/>
      <w:sz w:val="24"/>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style>
  <w:style w:type="paragraph" w:styleId="8">
    <w:name w:val="Balloon Text"/>
    <w:basedOn w:val="1"/>
    <w:link w:val="19"/>
    <w:qFormat/>
    <w:uiPriority w:val="0"/>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kern w:val="0"/>
      <w:sz w:val="24"/>
    </w:rPr>
  </w:style>
  <w:style w:type="paragraph" w:styleId="11">
    <w:name w:val="Title"/>
    <w:basedOn w:val="1"/>
    <w:next w:val="1"/>
    <w:qFormat/>
    <w:uiPriority w:val="10"/>
    <w:pPr>
      <w:ind w:firstLine="883" w:firstLineChars="200"/>
      <w:outlineLvl w:val="0"/>
    </w:pPr>
    <w:rPr>
      <w:rFonts w:ascii="Cambria" w:hAnsi="Cambria" w:eastAsia="仿宋_GB2312" w:cs="仿宋_GB2312"/>
      <w:b/>
      <w:sz w:val="32"/>
      <w:szCs w:val="32"/>
    </w:rPr>
  </w:style>
  <w:style w:type="paragraph" w:styleId="12">
    <w:name w:val="Body Text First Indent 2"/>
    <w:basedOn w:val="7"/>
    <w:qFormat/>
    <w:uiPriority w:val="0"/>
    <w:pPr>
      <w:ind w:left="0" w:leftChars="0"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paragraph" w:customStyle="1" w:styleId="18">
    <w:name w:val="Body text|1"/>
    <w:basedOn w:val="1"/>
    <w:qFormat/>
    <w:uiPriority w:val="0"/>
    <w:pPr>
      <w:spacing w:line="360" w:lineRule="auto"/>
      <w:ind w:firstLine="400"/>
      <w:jc w:val="left"/>
    </w:pPr>
    <w:rPr>
      <w:rFonts w:hint="eastAsia" w:ascii="宋体" w:hAnsi="宋体"/>
      <w:kern w:val="0"/>
      <w:sz w:val="22"/>
      <w:szCs w:val="22"/>
    </w:rPr>
  </w:style>
  <w:style w:type="character" w:customStyle="1" w:styleId="19">
    <w:name w:val="批注框文本 Char"/>
    <w:basedOn w:val="15"/>
    <w:link w:val="8"/>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11</Pages>
  <Words>778</Words>
  <Characters>798</Characters>
  <Paragraphs>72</Paragraphs>
  <TotalTime>2</TotalTime>
  <ScaleCrop>false</ScaleCrop>
  <LinksUpToDate>false</LinksUpToDate>
  <CharactersWithSpaces>812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2024-12-19T07:47:00Z</dcterms:created>
  <dc:creator>云悠翾</dc:creator>
  <cp:lastModifiedBy>云悠翾</cp:lastModifiedBy>
  <cp:lastPrinted>2024-12-27T06:56:00Z</cp:lastPrinted>
  <dcterms:modified xsi:type="dcterms:W3CDTF">2025-01-13T08:38:35Z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71CB305C30114229A0E0E4571E237CAA_13</vt:lpwstr>
  </property>
  <property fmtid="{D5CDD505-2E9C-101B-9397-08002B2CF9AE}" pid="4" name="KSOTemplateDocerSaveRecord">
    <vt:lpwstr>eyJoZGlkIjoiZmIwM2JiOTZjMWFiZjNlYzNiNzRjZGEzMDNiYTA3NWYiLCJ1c2VySWQiOiIzMjIwOTIyIn0=</vt:lpwstr>
  </property>
</Properties>
</file>