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80" w:lineRule="exact"/>
        <w:jc w:val="center"/>
        <w:rPr>
          <w:rFonts w:ascii="Helvetica" w:hAnsi="Helvetica" w:eastAsia="宋体" w:cs="Arial"/>
          <w:kern w:val="0"/>
          <w:sz w:val="44"/>
          <w:szCs w:val="44"/>
        </w:rPr>
      </w:pPr>
      <w:r>
        <w:rPr>
          <w:rFonts w:hint="eastAsia" w:ascii="方正小标宋简体" w:hAnsi="Helvetica" w:eastAsia="方正小标宋简体" w:cs="Arial"/>
          <w:kern w:val="0"/>
          <w:sz w:val="44"/>
          <w:szCs w:val="44"/>
        </w:rPr>
        <w:t>北京市西城区城市管理委员会</w:t>
      </w:r>
    </w:p>
    <w:p>
      <w:pPr>
        <w:widowControl/>
        <w:spacing w:line="680" w:lineRule="exact"/>
        <w:jc w:val="center"/>
        <w:rPr>
          <w:rFonts w:ascii="Helvetica" w:hAnsi="Helvetica" w:eastAsia="宋体" w:cs="Arial"/>
          <w:kern w:val="0"/>
          <w:sz w:val="44"/>
          <w:szCs w:val="44"/>
        </w:rPr>
      </w:pPr>
      <w:r>
        <w:rPr>
          <w:rFonts w:hint="eastAsia" w:ascii="方正小标宋简体" w:hAnsi="Helvetica" w:eastAsia="方正小标宋简体" w:cs="Arial"/>
          <w:kern w:val="0"/>
          <w:sz w:val="44"/>
          <w:szCs w:val="44"/>
        </w:rPr>
        <w:t>202</w:t>
      </w:r>
      <w:r>
        <w:rPr>
          <w:rFonts w:hint="eastAsia" w:ascii="方正小标宋简体" w:hAnsi="Helvetica" w:eastAsia="方正小标宋简体" w:cs="Arial"/>
          <w:kern w:val="0"/>
          <w:sz w:val="44"/>
          <w:szCs w:val="44"/>
          <w:lang w:val="en-US" w:eastAsia="zh-CN"/>
        </w:rPr>
        <w:t>4</w:t>
      </w:r>
      <w:r>
        <w:rPr>
          <w:rFonts w:hint="eastAsia" w:ascii="方正小标宋简体" w:hAnsi="Helvetica" w:eastAsia="方正小标宋简体" w:cs="Arial"/>
          <w:kern w:val="0"/>
          <w:sz w:val="44"/>
          <w:szCs w:val="44"/>
        </w:rPr>
        <w:t>年政府信息公开工作年度报告</w:t>
      </w:r>
    </w:p>
    <w:p>
      <w:pPr>
        <w:widowControl/>
        <w:spacing w:line="555" w:lineRule="atLeast"/>
        <w:ind w:firstLine="450"/>
        <w:jc w:val="left"/>
        <w:rPr>
          <w:rFonts w:ascii="Helvetica" w:hAnsi="Helvetica" w:eastAsia="宋体" w:cs="Arial"/>
          <w:kern w:val="0"/>
          <w:sz w:val="18"/>
          <w:szCs w:val="18"/>
        </w:rPr>
      </w:pPr>
    </w:p>
    <w:p>
      <w:pPr>
        <w:widowControl/>
        <w:spacing w:line="560" w:lineRule="exact"/>
        <w:ind w:firstLine="450"/>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 依据《中华人民共和国政府信息公开条例》(以下简称《政府信息公开条例》)第五十条规定，编制本报告。</w:t>
      </w:r>
    </w:p>
    <w:p>
      <w:pPr>
        <w:widowControl/>
        <w:spacing w:line="560" w:lineRule="exact"/>
        <w:ind w:firstLine="675"/>
        <w:jc w:val="left"/>
        <w:rPr>
          <w:rFonts w:ascii="黑体" w:hAnsi="黑体" w:eastAsia="黑体" w:cs="黑体"/>
          <w:kern w:val="0"/>
          <w:sz w:val="32"/>
          <w:szCs w:val="32"/>
        </w:rPr>
      </w:pPr>
      <w:r>
        <w:rPr>
          <w:rFonts w:hint="eastAsia" w:ascii="黑体" w:hAnsi="黑体" w:eastAsia="黑体" w:cs="黑体"/>
          <w:spacing w:val="15"/>
          <w:kern w:val="0"/>
          <w:sz w:val="32"/>
          <w:szCs w:val="32"/>
        </w:rPr>
        <w:t>一、总体情况</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b w:val="0"/>
          <w:bCs w:val="0"/>
          <w:sz w:val="32"/>
          <w:szCs w:val="32"/>
          <w:lang w:val="en-US" w:eastAsia="zh-CN"/>
        </w:rPr>
        <w:t xml:space="preserve"> </w:t>
      </w:r>
      <w:r>
        <w:rPr>
          <w:rFonts w:hint="default" w:ascii="楷体_GB2312" w:eastAsia="楷体_GB2312"/>
          <w:color w:val="000000"/>
          <w:kern w:val="0"/>
          <w:sz w:val="32"/>
          <w:szCs w:val="32"/>
          <w:lang w:val="en-US" w:eastAsia="zh-CN"/>
        </w:rPr>
        <w:t>(</w:t>
      </w:r>
      <w:r>
        <w:rPr>
          <w:rFonts w:hint="eastAsia" w:ascii="楷体_GB2312" w:eastAsia="楷体_GB2312"/>
          <w:color w:val="000000"/>
          <w:kern w:val="0"/>
          <w:sz w:val="32"/>
          <w:szCs w:val="32"/>
          <w:lang w:val="en-US" w:eastAsia="zh-CN"/>
        </w:rPr>
        <w:t>一</w:t>
      </w:r>
      <w:r>
        <w:rPr>
          <w:rFonts w:hint="default" w:ascii="楷体_GB2312" w:eastAsia="楷体_GB2312"/>
          <w:color w:val="000000"/>
          <w:kern w:val="0"/>
          <w:sz w:val="32"/>
          <w:szCs w:val="32"/>
          <w:lang w:val="en-US" w:eastAsia="zh-CN"/>
        </w:rPr>
        <w:t>)</w:t>
      </w:r>
      <w:r>
        <w:rPr>
          <w:rFonts w:hint="eastAsia" w:ascii="楷体_GB2312" w:eastAsia="楷体_GB2312"/>
          <w:color w:val="000000"/>
          <w:kern w:val="0"/>
          <w:sz w:val="32"/>
          <w:szCs w:val="32"/>
          <w:lang w:val="en-US" w:eastAsia="zh-CN"/>
        </w:rPr>
        <w:t xml:space="preserve"> 主动公开</w:t>
      </w:r>
    </w:p>
    <w:p>
      <w:pPr>
        <w:widowControl/>
        <w:spacing w:line="560" w:lineRule="exact"/>
        <w:ind w:firstLine="675"/>
        <w:jc w:val="left"/>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pacing w:val="15"/>
          <w:kern w:val="0"/>
          <w:sz w:val="32"/>
          <w:szCs w:val="32"/>
          <w:highlight w:val="none"/>
        </w:rPr>
        <w:t>本单位202</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年共主动公开政府信息</w:t>
      </w:r>
      <w:r>
        <w:rPr>
          <w:rFonts w:hint="eastAsia" w:ascii="仿宋_GB2312" w:hAnsi="仿宋_GB2312" w:eastAsia="仿宋_GB2312" w:cs="仿宋_GB2312"/>
          <w:spacing w:val="15"/>
          <w:kern w:val="0"/>
          <w:sz w:val="32"/>
          <w:szCs w:val="32"/>
          <w:highlight w:val="none"/>
          <w:lang w:val="en-US" w:eastAsia="zh-CN"/>
        </w:rPr>
        <w:t>129</w:t>
      </w:r>
      <w:r>
        <w:rPr>
          <w:rFonts w:hint="eastAsia" w:ascii="仿宋_GB2312" w:hAnsi="仿宋_GB2312" w:eastAsia="仿宋_GB2312" w:cs="仿宋_GB2312"/>
          <w:spacing w:val="15"/>
          <w:kern w:val="0"/>
          <w:sz w:val="32"/>
          <w:szCs w:val="32"/>
          <w:highlight w:val="none"/>
        </w:rPr>
        <w:t>条，其中全文电子化率达100%。</w:t>
      </w:r>
      <w:r>
        <w:rPr>
          <w:rFonts w:hint="eastAsia" w:ascii="仿宋_GB2312" w:hAnsi="仿宋_GB2312" w:eastAsia="仿宋_GB2312" w:cs="仿宋_GB2312"/>
          <w:spacing w:val="15"/>
          <w:kern w:val="0"/>
          <w:sz w:val="32"/>
          <w:szCs w:val="32"/>
          <w:highlight w:val="none"/>
          <w:lang w:eastAsia="zh-CN"/>
        </w:rPr>
        <w:t>始终坚持全面性和多样性的原则，</w:t>
      </w:r>
      <w:r>
        <w:rPr>
          <w:rFonts w:hint="eastAsia" w:ascii="仿宋_GB2312" w:hAnsi="仿宋_GB2312" w:eastAsia="仿宋_GB2312" w:cs="仿宋_GB2312"/>
          <w:spacing w:val="15"/>
          <w:kern w:val="0"/>
          <w:sz w:val="32"/>
          <w:szCs w:val="32"/>
          <w:highlight w:val="none"/>
        </w:rPr>
        <w:t>及时主动公开了我委职能职责、机构设置信息，财政预决算、限额以下采购信息</w:t>
      </w:r>
      <w:r>
        <w:rPr>
          <w:rFonts w:hint="eastAsia" w:ascii="仿宋_GB2312" w:hAnsi="仿宋_GB2312" w:eastAsia="仿宋_GB2312" w:cs="仿宋_GB2312"/>
          <w:spacing w:val="15"/>
          <w:kern w:val="0"/>
          <w:sz w:val="32"/>
          <w:szCs w:val="32"/>
          <w:highlight w:val="none"/>
          <w:lang w:eastAsia="zh-CN"/>
        </w:rPr>
        <w:t>，</w:t>
      </w:r>
      <w:r>
        <w:rPr>
          <w:rFonts w:hint="eastAsia" w:ascii="仿宋_GB2312" w:hAnsi="仿宋_GB2312" w:eastAsia="仿宋_GB2312" w:cs="仿宋_GB2312"/>
          <w:spacing w:val="15"/>
          <w:kern w:val="0"/>
          <w:sz w:val="32"/>
          <w:szCs w:val="32"/>
          <w:highlight w:val="none"/>
        </w:rPr>
        <w:t>企业警示信息和良好信息等信息，</w:t>
      </w:r>
      <w:r>
        <w:rPr>
          <w:rFonts w:hint="eastAsia" w:ascii="仿宋_GB2312" w:hAnsi="仿宋_GB2312" w:eastAsia="仿宋_GB2312" w:cs="仿宋_GB2312"/>
          <w:spacing w:val="15"/>
          <w:kern w:val="0"/>
          <w:sz w:val="32"/>
          <w:szCs w:val="32"/>
          <w:highlight w:val="none"/>
          <w:lang w:eastAsia="zh-CN"/>
        </w:rPr>
        <w:t>提高信息透明度，促进民主参与</w:t>
      </w:r>
      <w:r>
        <w:rPr>
          <w:rFonts w:hint="eastAsia" w:ascii="仿宋_GB2312" w:hAnsi="仿宋_GB2312" w:eastAsia="仿宋_GB2312" w:cs="仿宋_GB2312"/>
          <w:spacing w:val="15"/>
          <w:kern w:val="0"/>
          <w:sz w:val="32"/>
          <w:szCs w:val="32"/>
          <w:highlight w:val="none"/>
        </w:rPr>
        <w:t>。</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widowControl/>
        <w:spacing w:line="560" w:lineRule="exact"/>
        <w:ind w:firstLine="675"/>
        <w:jc w:val="left"/>
        <w:rPr>
          <w:rFonts w:hint="eastAsia" w:ascii="仿宋_GB2312" w:hAnsi="仿宋_GB2312" w:eastAsia="仿宋_GB2312" w:cs="仿宋_GB2312"/>
          <w:spacing w:val="15"/>
          <w:kern w:val="0"/>
          <w:sz w:val="32"/>
          <w:szCs w:val="32"/>
          <w:highlight w:val="none"/>
        </w:rPr>
      </w:pPr>
      <w:r>
        <w:rPr>
          <w:rFonts w:hint="eastAsia" w:ascii="仿宋_GB2312" w:hAnsi="仿宋_GB2312" w:eastAsia="仿宋_GB2312" w:cs="仿宋_GB2312"/>
          <w:spacing w:val="15"/>
          <w:kern w:val="0"/>
          <w:sz w:val="32"/>
          <w:szCs w:val="32"/>
          <w:lang w:val="en-US" w:eastAsia="zh-CN"/>
        </w:rPr>
        <w:t>1、</w:t>
      </w:r>
      <w:r>
        <w:rPr>
          <w:rFonts w:hint="eastAsia" w:ascii="仿宋_GB2312" w:hAnsi="仿宋_GB2312" w:eastAsia="仿宋_GB2312" w:cs="仿宋_GB2312"/>
          <w:spacing w:val="15"/>
          <w:kern w:val="0"/>
          <w:sz w:val="32"/>
          <w:szCs w:val="32"/>
        </w:rPr>
        <w:t>推进权力清单和责任清单公开，并建立动态管理机制。根据市委全面深化改革领导小组转变政府职能改革专项小组《关于推行区政府部门权力清单责任清单制度的指导意见》要求，根据《西城区编制权力清单责任清单工作方案》，编制西城区</w:t>
      </w:r>
      <w:r>
        <w:rPr>
          <w:rFonts w:hint="eastAsia" w:ascii="仿宋_GB2312" w:hAnsi="仿宋_GB2312" w:eastAsia="仿宋_GB2312" w:cs="仿宋_GB2312"/>
          <w:spacing w:val="15"/>
          <w:kern w:val="0"/>
          <w:sz w:val="32"/>
          <w:szCs w:val="32"/>
          <w:lang w:eastAsia="zh-CN"/>
        </w:rPr>
        <w:t>城市管理委</w:t>
      </w:r>
      <w:r>
        <w:rPr>
          <w:rFonts w:hint="eastAsia" w:ascii="仿宋_GB2312" w:hAnsi="仿宋_GB2312" w:eastAsia="仿宋_GB2312" w:cs="仿宋_GB2312"/>
          <w:spacing w:val="15"/>
          <w:kern w:val="0"/>
          <w:sz w:val="32"/>
          <w:szCs w:val="32"/>
        </w:rPr>
        <w:t>行政许可、行政处罚、行政强制、行政征收、行政确认等权力事项清单工作，将政府职能、法律依据、实施主体、职责权限等事项以权力清单形式公开。推动行政许可结果、行政处罚结果公开</w:t>
      </w: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年共计公开行政许可结果</w:t>
      </w:r>
      <w:r>
        <w:rPr>
          <w:rFonts w:hint="eastAsia" w:ascii="仿宋_GB2312" w:hAnsi="仿宋_GB2312" w:eastAsia="仿宋_GB2312" w:cs="仿宋_GB2312"/>
          <w:spacing w:val="15"/>
          <w:kern w:val="0"/>
          <w:sz w:val="32"/>
          <w:szCs w:val="32"/>
          <w:highlight w:val="none"/>
          <w:lang w:val="en-US" w:eastAsia="zh-CN"/>
        </w:rPr>
        <w:t>120</w:t>
      </w:r>
      <w:r>
        <w:rPr>
          <w:rFonts w:hint="eastAsia" w:ascii="仿宋_GB2312" w:hAnsi="仿宋_GB2312" w:eastAsia="仿宋_GB2312" w:cs="仿宋_GB2312"/>
          <w:spacing w:val="15"/>
          <w:kern w:val="0"/>
          <w:sz w:val="32"/>
          <w:szCs w:val="32"/>
          <w:highlight w:val="none"/>
        </w:rPr>
        <w:t>条，行政处罚</w:t>
      </w:r>
      <w:r>
        <w:rPr>
          <w:rFonts w:hint="eastAsia" w:ascii="仿宋_GB2312" w:hAnsi="仿宋_GB2312" w:eastAsia="仿宋_GB2312" w:cs="仿宋_GB2312"/>
          <w:spacing w:val="15"/>
          <w:kern w:val="0"/>
          <w:sz w:val="32"/>
          <w:szCs w:val="32"/>
          <w:highlight w:val="none"/>
          <w:lang w:val="en-US" w:eastAsia="zh-CN"/>
        </w:rPr>
        <w:t>362</w:t>
      </w:r>
      <w:r>
        <w:rPr>
          <w:rFonts w:hint="eastAsia" w:ascii="仿宋_GB2312" w:hAnsi="仿宋_GB2312" w:eastAsia="仿宋_GB2312" w:cs="仿宋_GB2312"/>
          <w:spacing w:val="15"/>
          <w:kern w:val="0"/>
          <w:sz w:val="32"/>
          <w:szCs w:val="32"/>
          <w:highlight w:val="none"/>
        </w:rPr>
        <w:t>条。</w:t>
      </w:r>
    </w:p>
    <w:p>
      <w:pPr>
        <w:widowControl/>
        <w:spacing w:line="560" w:lineRule="exact"/>
        <w:ind w:firstLine="675"/>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pacing w:val="15"/>
          <w:kern w:val="0"/>
          <w:sz w:val="32"/>
          <w:szCs w:val="32"/>
          <w:lang w:val="en-US" w:eastAsia="zh-CN"/>
        </w:rPr>
        <w:t>2、</w:t>
      </w:r>
      <w:r>
        <w:rPr>
          <w:rFonts w:hint="eastAsia" w:ascii="仿宋_GB2312" w:hAnsi="仿宋_GB2312" w:eastAsia="仿宋_GB2312" w:cs="仿宋_GB2312"/>
          <w:spacing w:val="15"/>
          <w:kern w:val="0"/>
          <w:sz w:val="32"/>
          <w:szCs w:val="32"/>
        </w:rPr>
        <w:t>深入推进预决算公开。详细公开所有财政拨款安排的“三公”经费。政府预决算和部门预决算基本支出全部细化公开到经济分类款级科目。在部门预算公开中增加政府采购预算情况。增加公开内容，增加机关运行经费及政府采购预算信息公开；进一步细化“三公”经费</w:t>
      </w:r>
      <w:r>
        <w:rPr>
          <w:rFonts w:hint="eastAsia" w:ascii="仿宋_GB2312" w:hAnsi="仿宋_GB2312" w:eastAsia="仿宋_GB2312" w:cs="仿宋_GB2312"/>
          <w:spacing w:val="15"/>
          <w:kern w:val="0"/>
          <w:sz w:val="32"/>
          <w:szCs w:val="32"/>
          <w:highlight w:val="none"/>
        </w:rPr>
        <w:t>财政拨款预算公开内容，增加单位车辆保有量的预算信息。202</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年行政事业性收费</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项，政府集中采购</w:t>
      </w:r>
      <w:r>
        <w:rPr>
          <w:rFonts w:hint="eastAsia" w:ascii="仿宋_GB2312" w:hAnsi="仿宋_GB2312" w:eastAsia="仿宋_GB2312" w:cs="仿宋_GB2312"/>
          <w:spacing w:val="15"/>
          <w:kern w:val="0"/>
          <w:sz w:val="32"/>
          <w:szCs w:val="32"/>
          <w:highlight w:val="none"/>
          <w:lang w:val="en-US" w:eastAsia="zh-CN"/>
        </w:rPr>
        <w:t>61</w:t>
      </w:r>
      <w:r>
        <w:rPr>
          <w:rFonts w:hint="eastAsia" w:ascii="仿宋_GB2312" w:hAnsi="仿宋_GB2312" w:eastAsia="仿宋_GB2312" w:cs="仿宋_GB2312"/>
          <w:spacing w:val="15"/>
          <w:kern w:val="0"/>
          <w:sz w:val="32"/>
          <w:szCs w:val="32"/>
          <w:highlight w:val="none"/>
        </w:rPr>
        <w:t>项。</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推进安全生产监管信息公开。按要求对安</w:t>
      </w:r>
      <w:r>
        <w:rPr>
          <w:rFonts w:hint="eastAsia" w:ascii="仿宋_GB2312" w:hAnsi="仿宋_GB2312" w:eastAsia="仿宋_GB2312" w:cs="仿宋_GB2312"/>
          <w:spacing w:val="15"/>
          <w:kern w:val="0"/>
          <w:sz w:val="32"/>
          <w:szCs w:val="32"/>
        </w:rPr>
        <w:t>全生产行政许可、日常巡查的信息发布，完善信息公开制度，要求责任部门及时准确公开生产安全事故调查处理情况信息，重点做好社会影响较大、关注度较高的事故信息发布工作。完善生产安全事故应急处置信息公开机制，及时发布突发事故应急处置情况。积极推进安全政务公开</w:t>
      </w:r>
      <w:r>
        <w:rPr>
          <w:rFonts w:hint="eastAsia" w:ascii="仿宋_GB2312" w:hAnsi="仿宋_GB2312" w:eastAsia="仿宋_GB2312" w:cs="仿宋_GB2312"/>
          <w:spacing w:val="15"/>
          <w:kern w:val="0"/>
          <w:sz w:val="32"/>
          <w:szCs w:val="32"/>
          <w:highlight w:val="none"/>
        </w:rPr>
        <w:t>工作。202</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年安全生产检查</w:t>
      </w:r>
      <w:r>
        <w:rPr>
          <w:rFonts w:hint="eastAsia" w:ascii="仿宋_GB2312" w:hAnsi="仿宋_GB2312" w:eastAsia="仿宋_GB2312" w:cs="仿宋_GB2312"/>
          <w:spacing w:val="15"/>
          <w:kern w:val="0"/>
          <w:sz w:val="32"/>
          <w:szCs w:val="32"/>
          <w:highlight w:val="none"/>
          <w:lang w:val="en-US" w:eastAsia="zh-CN"/>
        </w:rPr>
        <w:t>1067家</w:t>
      </w:r>
      <w:r>
        <w:rPr>
          <w:rFonts w:hint="eastAsia" w:ascii="仿宋_GB2312" w:hAnsi="仿宋_GB2312" w:eastAsia="仿宋_GB2312" w:cs="仿宋_GB2312"/>
          <w:spacing w:val="15"/>
          <w:kern w:val="0"/>
          <w:sz w:val="32"/>
          <w:szCs w:val="32"/>
          <w:highlight w:val="none"/>
        </w:rPr>
        <w:t>次，查找并整改隐患</w:t>
      </w:r>
      <w:r>
        <w:rPr>
          <w:rFonts w:hint="eastAsia" w:ascii="仿宋_GB2312" w:hAnsi="仿宋_GB2312" w:eastAsia="仿宋_GB2312" w:cs="仿宋_GB2312"/>
          <w:spacing w:val="15"/>
          <w:kern w:val="0"/>
          <w:sz w:val="32"/>
          <w:szCs w:val="32"/>
          <w:highlight w:val="none"/>
          <w:lang w:val="en-US" w:eastAsia="zh-CN"/>
        </w:rPr>
        <w:t>375</w:t>
      </w:r>
      <w:r>
        <w:rPr>
          <w:rFonts w:hint="eastAsia" w:ascii="仿宋_GB2312" w:hAnsi="仿宋_GB2312" w:eastAsia="仿宋_GB2312" w:cs="仿宋_GB2312"/>
          <w:spacing w:val="15"/>
          <w:kern w:val="0"/>
          <w:sz w:val="32"/>
          <w:szCs w:val="32"/>
          <w:highlight w:val="none"/>
        </w:rPr>
        <w:t>处。</w:t>
      </w:r>
    </w:p>
    <w:p>
      <w:pPr>
        <w:widowControl/>
        <w:spacing w:line="560" w:lineRule="exact"/>
        <w:ind w:firstLine="675"/>
        <w:jc w:val="left"/>
        <w:rPr>
          <w:rFonts w:hint="default" w:ascii="楷体_GB2312" w:eastAsia="楷体_GB2312"/>
          <w:color w:val="000000"/>
          <w:kern w:val="0"/>
          <w:sz w:val="32"/>
          <w:szCs w:val="32"/>
          <w:lang w:val="en-US" w:eastAsia="zh-CN"/>
        </w:rPr>
      </w:pPr>
      <w:r>
        <w:rPr>
          <w:rFonts w:hint="eastAsia" w:ascii="楷体_GB2312" w:eastAsia="楷体_GB2312"/>
          <w:color w:val="000000"/>
          <w:kern w:val="0"/>
          <w:sz w:val="32"/>
          <w:szCs w:val="32"/>
          <w:lang w:val="en-US" w:eastAsia="zh-CN"/>
        </w:rPr>
        <w:t>（二）依申请公开</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highlight w:val="none"/>
        </w:rPr>
        <w:t>针对依申请公开问题和败诉案件中存在的共性问题，梳理汇总申请受理、办理、答复全环节过程中的突出问题，提升自身依申请公开依法规范水平。依据依申请公开第三方专项测评反馈问题清单，查找薄弱环节，切实对照整改。</w:t>
      </w:r>
    </w:p>
    <w:p>
      <w:pPr>
        <w:widowControl/>
        <w:spacing w:line="560" w:lineRule="exact"/>
        <w:ind w:firstLine="675"/>
        <w:jc w:val="left"/>
        <w:rPr>
          <w:rFonts w:hint="eastAsia" w:ascii="仿宋_GB2312" w:hAnsi="仿宋_GB2312" w:eastAsia="仿宋_GB2312" w:cs="仿宋_GB2312"/>
          <w:spacing w:val="15"/>
          <w:kern w:val="0"/>
          <w:sz w:val="32"/>
          <w:szCs w:val="32"/>
          <w:highlight w:val="none"/>
        </w:rPr>
      </w:pP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年本单位共收到政府信息公开申请</w:t>
      </w:r>
      <w:r>
        <w:rPr>
          <w:rFonts w:hint="eastAsia" w:ascii="仿宋_GB2312" w:hAnsi="仿宋_GB2312" w:eastAsia="仿宋_GB2312" w:cs="仿宋_GB2312"/>
          <w:spacing w:val="15"/>
          <w:kern w:val="0"/>
          <w:sz w:val="32"/>
          <w:szCs w:val="32"/>
          <w:highlight w:val="none"/>
          <w:lang w:val="en-US" w:eastAsia="zh-CN"/>
        </w:rPr>
        <w:t>11</w:t>
      </w:r>
      <w:r>
        <w:rPr>
          <w:rFonts w:hint="eastAsia" w:ascii="仿宋_GB2312" w:hAnsi="仿宋_GB2312" w:eastAsia="仿宋_GB2312" w:cs="仿宋_GB2312"/>
          <w:spacing w:val="15"/>
          <w:kern w:val="0"/>
          <w:sz w:val="32"/>
          <w:szCs w:val="32"/>
          <w:highlight w:val="none"/>
        </w:rPr>
        <w:t>件</w:t>
      </w:r>
      <w:r>
        <w:rPr>
          <w:rFonts w:hint="eastAsia" w:ascii="仿宋_GB2312" w:hAnsi="仿宋_GB2312" w:eastAsia="仿宋_GB2312" w:cs="仿宋_GB2312"/>
          <w:spacing w:val="15"/>
          <w:kern w:val="0"/>
          <w:sz w:val="32"/>
          <w:szCs w:val="32"/>
          <w:highlight w:val="none"/>
          <w:lang w:val="en-US" w:eastAsia="zh-CN"/>
        </w:rPr>
        <w:t>,</w:t>
      </w:r>
      <w:r>
        <w:rPr>
          <w:rFonts w:hint="eastAsia" w:ascii="仿宋_GB2312" w:hAnsi="仿宋_GB2312" w:eastAsia="仿宋_GB2312" w:cs="仿宋_GB2312"/>
          <w:spacing w:val="15"/>
          <w:kern w:val="0"/>
          <w:sz w:val="32"/>
          <w:szCs w:val="32"/>
          <w:highlight w:val="none"/>
        </w:rPr>
        <w:t>相关情况详见附表。</w:t>
      </w:r>
    </w:p>
    <w:p>
      <w:pPr>
        <w:widowControl/>
        <w:spacing w:line="560" w:lineRule="exact"/>
        <w:ind w:firstLine="675"/>
        <w:jc w:val="left"/>
        <w:rPr>
          <w:rFonts w:hint="eastAsia" w:ascii="楷体_GB2312" w:eastAsia="楷体_GB2312"/>
          <w:color w:val="000000"/>
          <w:kern w:val="0"/>
          <w:sz w:val="32"/>
          <w:szCs w:val="32"/>
          <w:lang w:val="en-US" w:eastAsia="zh-CN"/>
        </w:rPr>
      </w:pPr>
      <w:r>
        <w:rPr>
          <w:rFonts w:hint="eastAsia" w:ascii="楷体_GB2312" w:eastAsia="楷体_GB2312"/>
          <w:color w:val="000000"/>
          <w:kern w:val="0"/>
          <w:sz w:val="32"/>
          <w:szCs w:val="32"/>
          <w:lang w:val="en-US" w:eastAsia="zh-CN"/>
        </w:rPr>
        <w:t>（三）政府信息公开平台建设常态化</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highlight w:val="none"/>
          <w:lang w:val="en-US" w:eastAsia="zh-CN"/>
        </w:rPr>
        <w:t>政府信息公开平台建设常态化能够促进治理现代化，保证信息的及时性、准确性和完整性。西城区城市管理委</w:t>
      </w:r>
      <w:r>
        <w:rPr>
          <w:rFonts w:hint="eastAsia" w:ascii="仿宋_GB2312" w:hAnsi="仿宋_GB2312" w:eastAsia="仿宋_GB2312" w:cs="仿宋_GB2312"/>
          <w:spacing w:val="15"/>
          <w:kern w:val="0"/>
          <w:sz w:val="32"/>
          <w:szCs w:val="32"/>
          <w:highlight w:val="none"/>
        </w:rPr>
        <w:t>依据</w:t>
      </w:r>
      <w:r>
        <w:rPr>
          <w:rFonts w:hint="eastAsia" w:ascii="仿宋_GB2312" w:hAnsi="仿宋_GB2312" w:eastAsia="仿宋_GB2312" w:cs="仿宋_GB2312"/>
          <w:spacing w:val="15"/>
          <w:kern w:val="0"/>
          <w:sz w:val="32"/>
          <w:szCs w:val="32"/>
        </w:rPr>
        <w:t>第三方检查评估结果</w:t>
      </w:r>
      <w:r>
        <w:rPr>
          <w:rFonts w:hint="eastAsia" w:ascii="仿宋_GB2312" w:hAnsi="仿宋_GB2312" w:eastAsia="仿宋_GB2312" w:cs="仿宋_GB2312"/>
          <w:spacing w:val="15"/>
          <w:kern w:val="0"/>
          <w:sz w:val="32"/>
          <w:szCs w:val="32"/>
          <w:lang w:eastAsia="zh-CN"/>
        </w:rPr>
        <w:t>，对</w:t>
      </w:r>
      <w:r>
        <w:rPr>
          <w:rFonts w:hint="eastAsia" w:ascii="仿宋_GB2312" w:hAnsi="仿宋_GB2312" w:eastAsia="仿宋_GB2312" w:cs="仿宋_GB2312"/>
          <w:spacing w:val="15"/>
          <w:kern w:val="0"/>
          <w:sz w:val="32"/>
          <w:szCs w:val="32"/>
        </w:rPr>
        <w:t>网站内容建设情况进行全面检查，</w:t>
      </w:r>
      <w:r>
        <w:rPr>
          <w:rFonts w:hint="eastAsia" w:ascii="仿宋_GB2312" w:hAnsi="仿宋_GB2312" w:eastAsia="仿宋_GB2312" w:cs="仿宋_GB2312"/>
          <w:spacing w:val="15"/>
          <w:kern w:val="0"/>
          <w:sz w:val="32"/>
          <w:szCs w:val="32"/>
          <w:lang w:eastAsia="zh-CN"/>
        </w:rPr>
        <w:t>坚持问题导向，及时更新完善</w:t>
      </w:r>
      <w:r>
        <w:rPr>
          <w:rFonts w:hint="eastAsia" w:ascii="仿宋_GB2312" w:hAnsi="仿宋_GB2312" w:eastAsia="仿宋_GB2312" w:cs="仿宋_GB2312"/>
          <w:spacing w:val="15"/>
          <w:kern w:val="0"/>
          <w:sz w:val="32"/>
          <w:szCs w:val="32"/>
        </w:rPr>
        <w:t>，使网站管理工作规范化。定期对我委网站信息进行更新，保持我委信息平台内容的时效性，加强我委信息平台建设。</w:t>
      </w:r>
    </w:p>
    <w:p>
      <w:pPr>
        <w:widowControl/>
        <w:spacing w:line="560" w:lineRule="exact"/>
        <w:ind w:firstLine="675"/>
        <w:jc w:val="left"/>
        <w:rPr>
          <w:rFonts w:hint="eastAsia" w:ascii="楷体_GB2312" w:eastAsia="楷体_GB2312"/>
          <w:color w:val="000000"/>
          <w:kern w:val="0"/>
          <w:sz w:val="32"/>
          <w:szCs w:val="32"/>
          <w:lang w:val="en-US" w:eastAsia="zh-CN"/>
        </w:rPr>
      </w:pPr>
      <w:r>
        <w:rPr>
          <w:rFonts w:hint="eastAsia" w:ascii="楷体_GB2312" w:eastAsia="楷体_GB2312"/>
          <w:color w:val="000000"/>
          <w:kern w:val="0"/>
          <w:sz w:val="32"/>
          <w:szCs w:val="32"/>
          <w:lang w:val="en-US" w:eastAsia="zh-CN"/>
        </w:rPr>
        <w:t>（四）政府信息公开监督保障机制</w:t>
      </w:r>
    </w:p>
    <w:p>
      <w:pPr>
        <w:widowControl/>
        <w:spacing w:line="560" w:lineRule="exact"/>
        <w:ind w:firstLine="675"/>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自新的信息公开条例实施以来，我委积极加强了对该条例的宣传和贯彻力度。通过举办多场培训会，深入学习了新条例的内容，并针对政府信息及政务公开业务进行了全面系统的培训。这一系列举措有效提升了工作人员对信息公开的认识与理解，累计超过200人次参与了培训，确保每位相关人员都能熟练掌握并准确执行新的信息公开要求</w:t>
      </w:r>
    </w:p>
    <w:p>
      <w:pPr>
        <w:widowControl/>
        <w:spacing w:line="560" w:lineRule="exact"/>
        <w:ind w:firstLine="675"/>
        <w:jc w:val="left"/>
        <w:rPr>
          <w:rFonts w:ascii="仿宋_GB2312" w:hAnsi="仿宋_GB2312" w:eastAsia="仿宋_GB2312" w:cs="仿宋_GB2312"/>
          <w:spacing w:val="15"/>
          <w:kern w:val="0"/>
          <w:sz w:val="32"/>
          <w:szCs w:val="32"/>
        </w:rPr>
      </w:pPr>
    </w:p>
    <w:p>
      <w:pPr>
        <w:widowControl/>
        <w:spacing w:line="555" w:lineRule="atLeas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二、</w:t>
      </w:r>
      <w:r>
        <w:rPr>
          <w:rFonts w:hint="eastAsia" w:ascii="黑体" w:hAnsi="黑体" w:eastAsia="黑体" w:cs="Arial"/>
          <w:kern w:val="0"/>
          <w:sz w:val="32"/>
          <w:szCs w:val="32"/>
          <w:highlight w:val="none"/>
        </w:rPr>
        <w:t>主动公开政府信息情况</w:t>
      </w:r>
    </w:p>
    <w:p>
      <w:pPr>
        <w:widowControl/>
        <w:spacing w:line="555" w:lineRule="atLeast"/>
        <w:jc w:val="left"/>
        <w:rPr>
          <w:rFonts w:ascii="黑体" w:hAnsi="黑体" w:eastAsia="黑体" w:cs="Arial"/>
          <w:kern w:val="0"/>
          <w:sz w:val="32"/>
          <w:szCs w:val="32"/>
        </w:rPr>
      </w:pPr>
    </w:p>
    <w:tbl>
      <w:tblPr>
        <w:tblStyle w:val="6"/>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8"/>
        <w:gridCol w:w="2238"/>
        <w:gridCol w:w="223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本年制发件数</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本年废止件数</w:t>
            </w:r>
          </w:p>
        </w:tc>
        <w:tc>
          <w:tcPr>
            <w:tcW w:w="2251"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规章</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行政规范性文件</w:t>
            </w:r>
          </w:p>
        </w:tc>
        <w:tc>
          <w:tcPr>
            <w:tcW w:w="2238" w:type="dxa"/>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行政许可</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行政处罚</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行政强制</w:t>
            </w:r>
          </w:p>
        </w:tc>
        <w:tc>
          <w:tcPr>
            <w:tcW w:w="6727" w:type="dxa"/>
            <w:gridSpan w:val="3"/>
            <w:shd w:val="clear" w:color="auto" w:fill="auto"/>
            <w:tcMar>
              <w:top w:w="0" w:type="dxa"/>
              <w:left w:w="60" w:type="dxa"/>
              <w:bottom w:w="0" w:type="dxa"/>
              <w:right w:w="60" w:type="dxa"/>
            </w:tcMar>
            <w:vAlign w:val="center"/>
          </w:tcPr>
          <w:p>
            <w:pPr>
              <w:widowControl/>
              <w:jc w:val="left"/>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行政事业性收费</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highlight w:val="none"/>
                <w:lang w:val="en-US" w:eastAsia="zh-CN"/>
              </w:rPr>
              <w:t>18502.629094</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br w:type="page"/>
      </w:r>
    </w:p>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rPr>
      </w:pPr>
      <w:r>
        <w:rPr>
          <w:rFonts w:hint="eastAsia" w:ascii="黑体" w:hAnsi="黑体" w:eastAsia="黑体" w:cs="Arial"/>
          <w:kern w:val="0"/>
          <w:sz w:val="32"/>
          <w:szCs w:val="32"/>
        </w:rPr>
        <w:t>三、收到和处理政府信息公开申请情况</w:t>
      </w:r>
    </w:p>
    <w:p>
      <w:pPr>
        <w:widowControl/>
        <w:shd w:val="clear" w:color="auto" w:fill="FFFFFF"/>
        <w:ind w:firstLine="420"/>
        <w:rPr>
          <w:rFonts w:ascii="Helvetica" w:hAnsi="Helvetica" w:eastAsia="宋体" w:cs="Arial"/>
          <w:kern w:val="0"/>
          <w:szCs w:val="21"/>
        </w:rPr>
      </w:pPr>
      <w:r>
        <w:rPr>
          <w:rFonts w:hint="eastAsia" w:ascii="宋体" w:hAnsi="宋体" w:eastAsia="宋体" w:cs="Arial"/>
          <w:kern w:val="0"/>
          <w:sz w:val="24"/>
          <w:szCs w:val="24"/>
        </w:rPr>
        <w:t> </w:t>
      </w:r>
    </w:p>
    <w:tbl>
      <w:tblPr>
        <w:tblStyle w:val="6"/>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2"/>
        <w:gridCol w:w="915"/>
        <w:gridCol w:w="2870"/>
        <w:gridCol w:w="641"/>
        <w:gridCol w:w="642"/>
        <w:gridCol w:w="642"/>
        <w:gridCol w:w="642"/>
        <w:gridCol w:w="642"/>
        <w:gridCol w:w="64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vMerge w:val="restart"/>
            <w:shd w:val="clear" w:color="auto" w:fill="9BC2E6"/>
            <w:tcMar>
              <w:top w:w="0" w:type="dxa"/>
              <w:left w:w="105" w:type="dxa"/>
              <w:bottom w:w="0" w:type="dxa"/>
              <w:right w:w="105" w:type="dxa"/>
            </w:tcMar>
            <w:vAlign w:val="center"/>
          </w:tcPr>
          <w:p>
            <w:pPr>
              <w:widowControl/>
              <w:jc w:val="left"/>
              <w:rPr>
                <w:rFonts w:ascii="Helvetica" w:hAnsi="Helvetica" w:eastAsia="宋体" w:cs="宋体"/>
                <w:kern w:val="0"/>
                <w:szCs w:val="21"/>
              </w:rPr>
            </w:pPr>
            <w:r>
              <w:rPr>
                <w:rFonts w:hint="eastAsia" w:ascii="楷体" w:hAnsi="楷体" w:eastAsia="楷体" w:cs="宋体"/>
                <w:kern w:val="0"/>
                <w:sz w:val="20"/>
                <w:szCs w:val="20"/>
              </w:rPr>
              <w:t>（本列数据的勾稽关系为：第一项加第二项之和，等于第三项加第四项之和）</w:t>
            </w:r>
          </w:p>
        </w:tc>
        <w:tc>
          <w:tcPr>
            <w:tcW w:w="4493" w:type="dxa"/>
            <w:gridSpan w:val="7"/>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自然人</w:t>
            </w:r>
          </w:p>
        </w:tc>
        <w:tc>
          <w:tcPr>
            <w:tcW w:w="3210" w:type="dxa"/>
            <w:gridSpan w:val="5"/>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法人或其他组织</w:t>
            </w:r>
          </w:p>
        </w:tc>
        <w:tc>
          <w:tcPr>
            <w:tcW w:w="642"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continue"/>
            <w:shd w:val="clear" w:color="auto" w:fill="auto"/>
            <w:vAlign w:val="center"/>
          </w:tcPr>
          <w:p>
            <w:pPr>
              <w:widowControl/>
              <w:jc w:val="left"/>
              <w:rPr>
                <w:rFonts w:ascii="Helvetica" w:hAnsi="Helvetica" w:eastAsia="宋体" w:cs="宋体"/>
                <w:kern w:val="0"/>
                <w:szCs w:val="21"/>
              </w:rPr>
            </w:pP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商业</w:t>
            </w:r>
          </w:p>
          <w:p>
            <w:pPr>
              <w:widowControl/>
              <w:jc w:val="center"/>
              <w:rPr>
                <w:rFonts w:ascii="Helvetica" w:hAnsi="Helvetica" w:eastAsia="宋体" w:cs="宋体"/>
                <w:kern w:val="0"/>
                <w:szCs w:val="21"/>
              </w:rPr>
            </w:pPr>
            <w:r>
              <w:rPr>
                <w:rFonts w:hint="eastAsia" w:ascii="宋体" w:hAnsi="宋体" w:eastAsia="宋体" w:cs="宋体"/>
                <w:kern w:val="0"/>
                <w:sz w:val="20"/>
                <w:szCs w:val="20"/>
              </w:rPr>
              <w:t>企业</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科研</w:t>
            </w:r>
          </w:p>
          <w:p>
            <w:pPr>
              <w:widowControl/>
              <w:jc w:val="center"/>
              <w:rPr>
                <w:rFonts w:ascii="Helvetica" w:hAnsi="Helvetica" w:eastAsia="宋体" w:cs="宋体"/>
                <w:kern w:val="0"/>
                <w:szCs w:val="21"/>
              </w:rPr>
            </w:pPr>
            <w:r>
              <w:rPr>
                <w:rFonts w:hint="eastAsia" w:ascii="宋体" w:hAnsi="宋体" w:eastAsia="宋体" w:cs="宋体"/>
                <w:kern w:val="0"/>
                <w:sz w:val="20"/>
                <w:szCs w:val="20"/>
              </w:rPr>
              <w:t>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社会公益组织</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法律服务机构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p>
        </w:tc>
        <w:tc>
          <w:tcPr>
            <w:tcW w:w="642" w:type="dxa"/>
            <w:vMerge w:val="continue"/>
            <w:shd w:val="clear" w:color="auto" w:fill="auto"/>
            <w:vAlign w:val="cente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一、本年新收政府信息公开申请数量</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11</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Calibri" w:hAnsi="Calibri" w:eastAsia="宋体" w:cs="宋体"/>
                <w:kern w:val="0"/>
                <w:sz w:val="20"/>
                <w:szCs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二、上年结转政府信息公开申请数量</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ascii="Calibri" w:hAnsi="Calibri" w:eastAsia="宋体" w:cs="宋体"/>
                <w:kern w:val="0"/>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restart"/>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三、本年度办理结果</w:t>
            </w: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（一）予以公开</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10</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（三）不予公开</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1.属于国家秘密</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2.其他法律行政法规禁止公开</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3.危及“三安全一稳定”</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4.保护第三方合法权益</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5.属于三类内部事务信息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6.属于四类过程性信息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7.属于行政执法案卷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8.属于行政查询事项</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（四）无法提供</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1.本机关不掌握相关政府信息</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2.没有现成信息需要另行制作</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3.补正后申请内容仍不明确</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（五）不予处理</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1.信访举报投诉类申请</w:t>
            </w:r>
          </w:p>
        </w:tc>
        <w:tc>
          <w:tcPr>
            <w:tcW w:w="641"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3.要求提供公开出版物</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4.无正当理由大量反复申请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5.要求行政机关确认或重新出具已获取信息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（六）其他处理</w:t>
            </w: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1.申请人无正当理由逾期不补正、行政机关不再处理其政府信息公开申请</w:t>
            </w:r>
          </w:p>
        </w:tc>
        <w:tc>
          <w:tcPr>
            <w:tcW w:w="641"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2.申请人逾期未按收费通知要求缴纳费用、行政机关不再处理其政府信息公开申请</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3.其他</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eastAsia"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（七）总计</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11</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hint="eastAsia" w:ascii="Helvetica" w:hAnsi="Helvetica" w:eastAsia="宋体" w:cs="宋体"/>
                <w:kern w:val="0"/>
                <w:szCs w:val="21"/>
                <w:lang w:val="en-US" w:eastAsia="zh-CN"/>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四、结转下年度继续办理</w:t>
            </w:r>
          </w:p>
        </w:tc>
        <w:tc>
          <w:tcPr>
            <w:tcW w:w="641" w:type="dxa"/>
            <w:shd w:val="clear" w:color="auto" w:fill="auto"/>
            <w:tcMar>
              <w:top w:w="0" w:type="dxa"/>
              <w:left w:w="0" w:type="dxa"/>
              <w:bottom w:w="0" w:type="dxa"/>
              <w:right w:w="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4"/>
                <w:szCs w:val="24"/>
              </w:rPr>
              <w:t>0</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highlight w:val="none"/>
        </w:rPr>
      </w:pPr>
      <w:r>
        <w:rPr>
          <w:rFonts w:hint="eastAsia" w:ascii="黑体" w:hAnsi="黑体" w:eastAsia="黑体" w:cs="Arial"/>
          <w:kern w:val="0"/>
          <w:sz w:val="32"/>
          <w:szCs w:val="32"/>
          <w:lang w:eastAsia="zh-CN"/>
        </w:rPr>
        <w:t>四</w:t>
      </w:r>
      <w:r>
        <w:rPr>
          <w:rFonts w:hint="eastAsia" w:ascii="黑体" w:hAnsi="黑体" w:eastAsia="黑体" w:cs="Arial"/>
          <w:kern w:val="0"/>
          <w:sz w:val="32"/>
          <w:szCs w:val="32"/>
        </w:rPr>
        <w:t>、</w:t>
      </w:r>
      <w:r>
        <w:rPr>
          <w:rFonts w:hint="eastAsia" w:ascii="黑体" w:hAnsi="黑体" w:eastAsia="黑体" w:cs="Arial"/>
          <w:kern w:val="0"/>
          <w:sz w:val="32"/>
          <w:szCs w:val="32"/>
          <w:highlight w:val="none"/>
        </w:rPr>
        <w:t>政府信息公开行政复议、行政诉讼情况</w:t>
      </w:r>
    </w:p>
    <w:p>
      <w:pPr>
        <w:widowControl/>
        <w:ind w:firstLine="450"/>
        <w:jc w:val="center"/>
        <w:rPr>
          <w:rFonts w:ascii="Helvetica" w:hAnsi="Helvetica" w:eastAsia="宋体" w:cs="Arial"/>
          <w:kern w:val="0"/>
          <w:szCs w:val="21"/>
        </w:rPr>
      </w:pPr>
      <w:r>
        <w:rPr>
          <w:rFonts w:ascii="Times New Roman" w:hAnsi="Times New Roman" w:eastAsia="宋体" w:cs="Times New Roman"/>
          <w:kern w:val="0"/>
          <w:szCs w:val="21"/>
        </w:rPr>
        <w:t> </w:t>
      </w:r>
    </w:p>
    <w:tbl>
      <w:tblPr>
        <w:tblStyle w:val="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645"/>
        <w:gridCol w:w="645"/>
        <w:gridCol w:w="645"/>
        <w:gridCol w:w="660"/>
        <w:gridCol w:w="645"/>
        <w:gridCol w:w="645"/>
        <w:gridCol w:w="645"/>
        <w:gridCol w:w="645"/>
        <w:gridCol w:w="675"/>
        <w:gridCol w:w="645"/>
        <w:gridCol w:w="645"/>
        <w:gridCol w:w="645"/>
        <w:gridCol w:w="64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3240" w:type="dxa"/>
            <w:gridSpan w:val="5"/>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行政复议</w:t>
            </w:r>
          </w:p>
        </w:tc>
        <w:tc>
          <w:tcPr>
            <w:tcW w:w="6510" w:type="dxa"/>
            <w:gridSpan w:val="10"/>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结果维持</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60"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未经复议直接起诉</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60" w:type="dxa"/>
            <w:vMerge w:val="continue"/>
            <w:shd w:val="clear" w:color="auto" w:fill="auto"/>
            <w:vAlign w:val="center"/>
          </w:tcPr>
          <w:p>
            <w:pPr>
              <w:widowControl/>
              <w:jc w:val="left"/>
              <w:rPr>
                <w:rFonts w:ascii="Helvetica" w:hAnsi="Helvetica" w:eastAsia="宋体" w:cs="宋体"/>
                <w:kern w:val="0"/>
                <w:szCs w:val="21"/>
              </w:rPr>
            </w:pP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1</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60"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1</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7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7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r>
    </w:tbl>
    <w:p>
      <w:pPr>
        <w:widowControl/>
        <w:ind w:firstLine="450"/>
        <w:jc w:val="left"/>
        <w:rPr>
          <w:rFonts w:ascii="Helvetica" w:hAnsi="Helvetica" w:eastAsia="宋体" w:cs="Arial"/>
          <w:kern w:val="0"/>
          <w:szCs w:val="21"/>
        </w:rPr>
      </w:pPr>
      <w:r>
        <w:rPr>
          <w:rFonts w:ascii="Times New Roman" w:hAnsi="Times New Roman" w:eastAsia="宋体" w:cs="Times New Roman"/>
          <w:kern w:val="0"/>
          <w:szCs w:val="21"/>
        </w:rPr>
        <w:t> </w:t>
      </w:r>
    </w:p>
    <w:p>
      <w:pPr>
        <w:widowControl/>
        <w:spacing w:line="560" w:lineRule="exact"/>
        <w:ind w:firstLine="675"/>
        <w:jc w:val="left"/>
        <w:rPr>
          <w:rFonts w:ascii="Helvetica" w:hAnsi="Helvetica" w:eastAsia="宋体" w:cs="Arial"/>
          <w:kern w:val="0"/>
          <w:szCs w:val="21"/>
        </w:rPr>
      </w:pPr>
      <w:r>
        <w:rPr>
          <w:rFonts w:hint="eastAsia" w:ascii="黑体" w:hAnsi="黑体" w:eastAsia="黑体" w:cs="Arial"/>
          <w:spacing w:val="15"/>
          <w:kern w:val="0"/>
          <w:sz w:val="32"/>
          <w:szCs w:val="32"/>
          <w:lang w:eastAsia="zh-CN"/>
        </w:rPr>
        <w:t>五</w:t>
      </w:r>
      <w:r>
        <w:rPr>
          <w:rFonts w:hint="eastAsia" w:ascii="黑体" w:hAnsi="黑体" w:eastAsia="黑体" w:cs="Arial"/>
          <w:spacing w:val="15"/>
          <w:kern w:val="0"/>
          <w:sz w:val="32"/>
          <w:szCs w:val="32"/>
        </w:rPr>
        <w:t>、存在的主要问题及改进情况</w:t>
      </w:r>
    </w:p>
    <w:p>
      <w:pPr>
        <w:widowControl/>
        <w:spacing w:line="560" w:lineRule="exact"/>
        <w:ind w:firstLine="700" w:firstLineChars="200"/>
        <w:jc w:val="left"/>
        <w:rPr>
          <w:rFonts w:hint="eastAsia" w:ascii="Helvetica" w:hAnsi="Helvetica" w:eastAsia="宋体" w:cs="Arial"/>
          <w:kern w:val="0"/>
          <w:szCs w:val="21"/>
        </w:rPr>
      </w:pPr>
      <w:r>
        <w:rPr>
          <w:rFonts w:hint="eastAsia" w:ascii="仿宋_GB2312" w:hAnsi="Helvetica" w:eastAsia="仿宋_GB2312" w:cs="Arial"/>
          <w:spacing w:val="15"/>
          <w:kern w:val="0"/>
          <w:sz w:val="32"/>
          <w:szCs w:val="32"/>
        </w:rPr>
        <w:t>一是</w:t>
      </w:r>
      <w:r>
        <w:rPr>
          <w:rFonts w:hint="eastAsia" w:ascii="仿宋_GB2312" w:hAnsi="Helvetica" w:eastAsia="仿宋_GB2312" w:cs="Arial"/>
          <w:spacing w:val="15"/>
          <w:kern w:val="0"/>
          <w:sz w:val="32"/>
          <w:szCs w:val="32"/>
          <w:lang w:eastAsia="zh-CN"/>
        </w:rPr>
        <w:t>政务公开的深度和广度仍有待进一步挖掘和扩展</w:t>
      </w:r>
      <w:r>
        <w:rPr>
          <w:rFonts w:hint="eastAsia" w:ascii="仿宋_GB2312" w:hAnsi="Helvetica" w:eastAsia="仿宋_GB2312" w:cs="Arial"/>
          <w:spacing w:val="15"/>
          <w:kern w:val="0"/>
          <w:sz w:val="32"/>
          <w:szCs w:val="32"/>
        </w:rPr>
        <w:t>。</w:t>
      </w:r>
      <w:r>
        <w:rPr>
          <w:rFonts w:hint="eastAsia" w:ascii="仿宋_GB2312" w:hAnsi="Helvetica" w:eastAsia="仿宋_GB2312" w:cs="Arial"/>
          <w:spacing w:val="15"/>
          <w:kern w:val="0"/>
          <w:sz w:val="32"/>
          <w:szCs w:val="32"/>
          <w:lang w:eastAsia="zh-CN"/>
        </w:rPr>
        <w:t>目前的政务公开工作与公众期望之间还存在差距，特别是在决策、执行、结果、管理、服务等全过程的透明度以及公众参与、会议开放、数据开放等方面。此外，部分业务部门的公开工作力量相对薄弱，服务意识和工作能力有待加强。</w:t>
      </w:r>
    </w:p>
    <w:p>
      <w:pPr>
        <w:widowControl/>
        <w:spacing w:line="560" w:lineRule="exact"/>
        <w:ind w:firstLine="700" w:firstLineChars="200"/>
        <w:jc w:val="left"/>
        <w:rPr>
          <w:rFonts w:hint="eastAsia" w:ascii="Helvetica" w:hAnsi="Helvetica" w:eastAsia="宋体" w:cs="Arial"/>
          <w:kern w:val="0"/>
          <w:szCs w:val="21"/>
        </w:rPr>
      </w:pPr>
      <w:r>
        <w:rPr>
          <w:rFonts w:hint="eastAsia" w:ascii="仿宋_GB2312" w:hAnsi="Helvetica" w:eastAsia="仿宋_GB2312" w:cs="Arial"/>
          <w:spacing w:val="15"/>
          <w:kern w:val="0"/>
          <w:sz w:val="32"/>
          <w:szCs w:val="32"/>
        </w:rPr>
        <w:t>改进情况：</w:t>
      </w:r>
      <w:r>
        <w:rPr>
          <w:rFonts w:hint="eastAsia" w:ascii="仿宋_GB2312" w:hAnsi="Helvetica" w:eastAsia="仿宋_GB2312" w:cs="Arial"/>
          <w:spacing w:val="15"/>
          <w:kern w:val="0"/>
          <w:sz w:val="32"/>
          <w:szCs w:val="32"/>
          <w:lang w:eastAsia="zh-CN"/>
        </w:rPr>
        <w:t>要更加注重公众意见的收集和反馈，确保决策更加民主、科学。同时，对于重大政策的制定和实施，要增强公开的及时性，有效提升政策的透明性和可预期性。在政策执行过程中，也要加强监督，确保各项措施得到有效落实，注重政策结果的评估和反馈，不断深化政务公开的深度和广度</w:t>
      </w:r>
      <w:r>
        <w:rPr>
          <w:rFonts w:hint="eastAsia" w:ascii="仿宋_GB2312" w:hAnsi="Helvetica" w:eastAsia="仿宋_GB2312" w:cs="Arial"/>
          <w:spacing w:val="15"/>
          <w:kern w:val="0"/>
          <w:sz w:val="32"/>
          <w:szCs w:val="32"/>
        </w:rPr>
        <w:t>。</w:t>
      </w:r>
    </w:p>
    <w:p>
      <w:pPr>
        <w:widowControl/>
        <w:spacing w:line="560" w:lineRule="exact"/>
        <w:ind w:firstLine="420" w:firstLineChars="200"/>
        <w:jc w:val="left"/>
        <w:rPr>
          <w:rFonts w:hint="eastAsia" w:ascii="Helvetica" w:hAnsi="Helvetica" w:eastAsia="宋体" w:cs="Arial"/>
          <w:kern w:val="0"/>
          <w:szCs w:val="21"/>
        </w:rPr>
      </w:pPr>
    </w:p>
    <w:p>
      <w:pPr>
        <w:widowControl/>
        <w:spacing w:line="560" w:lineRule="exact"/>
        <w:ind w:firstLine="700" w:firstLineChars="200"/>
        <w:jc w:val="left"/>
        <w:rPr>
          <w:rFonts w:hint="eastAsia" w:ascii="仿宋_GB2312" w:hAnsi="Helvetica" w:eastAsia="仿宋_GB2312" w:cs="Arial"/>
          <w:spacing w:val="15"/>
          <w:kern w:val="0"/>
          <w:sz w:val="32"/>
          <w:szCs w:val="32"/>
        </w:rPr>
      </w:pPr>
    </w:p>
    <w:p>
      <w:pPr>
        <w:widowControl/>
        <w:spacing w:line="560" w:lineRule="exact"/>
        <w:ind w:firstLine="420" w:firstLineChars="200"/>
        <w:jc w:val="left"/>
        <w:rPr>
          <w:rFonts w:hint="eastAsia" w:ascii="Helvetica" w:hAnsi="Helvetica" w:eastAsia="宋体" w:cs="Arial"/>
          <w:kern w:val="0"/>
          <w:szCs w:val="21"/>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北京市西城区城市管理委员会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年1月</w:t>
      </w:r>
      <w:r>
        <w:rPr>
          <w:rFonts w:hint="eastAsia" w:ascii="仿宋" w:hAnsi="仿宋" w:eastAsia="仿宋"/>
          <w:sz w:val="32"/>
          <w:szCs w:val="32"/>
          <w:lang w:val="en-US" w:eastAsia="zh-CN"/>
        </w:rPr>
        <w:t>17</w:t>
      </w:r>
      <w:bookmarkStart w:id="0" w:name="_GoBack"/>
      <w:bookmarkEnd w:id="0"/>
      <w:r>
        <w:rPr>
          <w:rFonts w:hint="eastAsia" w:ascii="仿宋" w:hAnsi="仿宋" w:eastAsia="仿宋"/>
          <w:sz w:val="32"/>
          <w:szCs w:val="32"/>
        </w:rPr>
        <w:t>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D3"/>
    <w:rsid w:val="0004617E"/>
    <w:rsid w:val="00150CFA"/>
    <w:rsid w:val="00162966"/>
    <w:rsid w:val="001C432F"/>
    <w:rsid w:val="001C6CD3"/>
    <w:rsid w:val="00246BF5"/>
    <w:rsid w:val="003C253E"/>
    <w:rsid w:val="004A01C9"/>
    <w:rsid w:val="00553E4E"/>
    <w:rsid w:val="0055569F"/>
    <w:rsid w:val="005702BE"/>
    <w:rsid w:val="005E5EF9"/>
    <w:rsid w:val="006A123D"/>
    <w:rsid w:val="007B1E83"/>
    <w:rsid w:val="007D2C28"/>
    <w:rsid w:val="007D4A0C"/>
    <w:rsid w:val="007D74AA"/>
    <w:rsid w:val="007E13CD"/>
    <w:rsid w:val="00954F02"/>
    <w:rsid w:val="00A43B58"/>
    <w:rsid w:val="00BD4821"/>
    <w:rsid w:val="00C364CB"/>
    <w:rsid w:val="00C40873"/>
    <w:rsid w:val="00CF2A6C"/>
    <w:rsid w:val="00DA7981"/>
    <w:rsid w:val="00DC3DD6"/>
    <w:rsid w:val="00E31F6A"/>
    <w:rsid w:val="02321720"/>
    <w:rsid w:val="04397C4A"/>
    <w:rsid w:val="04CF0C69"/>
    <w:rsid w:val="0E613925"/>
    <w:rsid w:val="255452AD"/>
    <w:rsid w:val="2A2743AB"/>
    <w:rsid w:val="2F002366"/>
    <w:rsid w:val="31D56611"/>
    <w:rsid w:val="33B909CE"/>
    <w:rsid w:val="39A00028"/>
    <w:rsid w:val="3EB37E0A"/>
    <w:rsid w:val="4AD55EA1"/>
    <w:rsid w:val="6F3E3E9E"/>
    <w:rsid w:val="75327C6E"/>
    <w:rsid w:val="797440B4"/>
    <w:rsid w:val="79FFE994"/>
    <w:rsid w:val="7B9E0413"/>
    <w:rsid w:val="7FB713A7"/>
    <w:rsid w:val="F6DB982F"/>
    <w:rsid w:val="FEBC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Words>
  <Characters>2523</Characters>
  <Lines>21</Lines>
  <Paragraphs>5</Paragraphs>
  <TotalTime>59</TotalTime>
  <ScaleCrop>false</ScaleCrop>
  <LinksUpToDate>false</LinksUpToDate>
  <CharactersWithSpaces>2960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2023-01-06T16:13:00Z</dcterms:created>
  <dc:creator>季猛</dc:creator>
  <cp:lastModifiedBy>XCGW</cp:lastModifiedBy>
  <cp:lastPrinted>2024-01-20T16:46:00Z</cp:lastPrinted>
  <dcterms:modified xsi:type="dcterms:W3CDTF">2025-01-20T09:22:39Z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418B46551A731593AF80806758C680B7</vt:lpwstr>
  </property>
</Properties>
</file>