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北京市西城区人力资源和社会保障局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2024年政府信息公开工作年度报告</w:t>
      </w:r>
    </w:p>
    <w:p>
      <w:pPr>
        <w:rPr>
          <w:rFonts w:hint="eastAsia" w:ascii="方正仿宋_GB2312" w:hAnsi="方正仿宋_GB2312" w:eastAsia="方正仿宋_GB2312" w:cs="方正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依据《中华人民共和国政府信息公开条例》（以下简称《政府信息公开条例》）第五十条规定，编制本报告。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黑体" w:hAnsi="黑体" w:eastAsia="黑体" w:cs="黑体"/>
          <w:sz w:val="32"/>
          <w:szCs w:val="40"/>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40"/>
        </w:rPr>
      </w:pPr>
      <w:r>
        <w:rPr>
          <w:rFonts w:hint="eastAsia" w:ascii="楷体" w:hAnsi="楷体" w:eastAsia="楷体" w:cs="楷体"/>
          <w:sz w:val="32"/>
          <w:szCs w:val="40"/>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40"/>
        </w:rPr>
      </w:pPr>
      <w:r>
        <w:rPr>
          <w:rFonts w:hint="eastAsia" w:ascii="仿宋_GB2312" w:hAnsi="仿宋_GB2312" w:eastAsia="仿宋_GB2312" w:cs="仿宋_GB2312"/>
          <w:b/>
          <w:bCs/>
          <w:sz w:val="32"/>
          <w:szCs w:val="40"/>
          <w:lang w:val="en-US" w:eastAsia="zh-CN"/>
        </w:rPr>
        <w:t>1.</w:t>
      </w:r>
      <w:r>
        <w:rPr>
          <w:rFonts w:hint="eastAsia" w:ascii="仿宋_GB2312" w:hAnsi="仿宋_GB2312" w:eastAsia="仿宋_GB2312" w:cs="仿宋_GB2312"/>
          <w:b/>
          <w:bCs/>
          <w:sz w:val="32"/>
          <w:szCs w:val="40"/>
        </w:rPr>
        <w:t>全</w:t>
      </w:r>
      <w:r>
        <w:rPr>
          <w:rFonts w:hint="eastAsia" w:ascii="仿宋_GB2312" w:hAnsi="仿宋_GB2312" w:eastAsia="仿宋_GB2312" w:cs="仿宋_GB2312"/>
          <w:b/>
          <w:bCs/>
          <w:sz w:val="32"/>
          <w:szCs w:val="40"/>
        </w:rPr>
        <w:t>面深化主动公开</w:t>
      </w:r>
      <w:r>
        <w:rPr>
          <w:rFonts w:hint="eastAsia" w:ascii="仿宋_GB2312" w:hAnsi="仿宋_GB2312" w:eastAsia="仿宋_GB2312" w:cs="仿宋_GB2312"/>
          <w:b/>
          <w:bCs/>
          <w:sz w:val="32"/>
          <w:szCs w:val="40"/>
          <w:lang w:eastAsia="zh-CN"/>
        </w:rPr>
        <w:t>。</w:t>
      </w:r>
      <w:r>
        <w:rPr>
          <w:rFonts w:hint="eastAsia" w:ascii="方正仿宋_GB2312" w:hAnsi="方正仿宋_GB2312" w:eastAsia="方正仿宋_GB2312" w:cs="方正仿宋_GB2312"/>
          <w:sz w:val="32"/>
          <w:szCs w:val="40"/>
        </w:rPr>
        <w:t>2024年，严格对照《西城区2024年政务公开工作要点》</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lang w:val="en-US" w:eastAsia="zh-CN"/>
        </w:rPr>
        <w:t>全面深化主动公开工作，</w:t>
      </w:r>
      <w:r>
        <w:rPr>
          <w:rFonts w:hint="eastAsia" w:ascii="方正仿宋_GB2312" w:hAnsi="方正仿宋_GB2312" w:eastAsia="方正仿宋_GB2312" w:cs="方正仿宋_GB2312"/>
          <w:sz w:val="32"/>
          <w:szCs w:val="40"/>
        </w:rPr>
        <w:t>确保政府信息公开工作全面、深入、细致。</w:t>
      </w:r>
      <w:r>
        <w:rPr>
          <w:rFonts w:hint="eastAsia" w:ascii="仿宋_GB2312" w:hAnsi="仿宋_GB2312" w:eastAsia="仿宋_GB2312" w:cs="仿宋_GB2312"/>
          <w:b w:val="0"/>
          <w:bCs w:val="0"/>
          <w:color w:val="auto"/>
          <w:sz w:val="32"/>
          <w:szCs w:val="32"/>
          <w:lang w:eastAsia="zh-CN"/>
        </w:rPr>
        <w:t>结合</w:t>
      </w:r>
      <w:r>
        <w:rPr>
          <w:rFonts w:hint="eastAsia" w:ascii="仿宋_GB2312" w:hAnsi="仿宋_GB2312" w:eastAsia="仿宋_GB2312" w:cs="仿宋_GB2312"/>
          <w:b w:val="0"/>
          <w:bCs w:val="0"/>
          <w:color w:val="auto"/>
          <w:sz w:val="32"/>
          <w:szCs w:val="32"/>
          <w:lang w:val="en-US" w:eastAsia="zh-CN"/>
        </w:rPr>
        <w:t>工作职责，在区政府网站主动公开以下内容：</w:t>
      </w:r>
      <w:r>
        <w:rPr>
          <w:rFonts w:hint="eastAsia" w:ascii="仿宋_GB2312" w:hAnsi="仿宋_GB2312" w:eastAsia="仿宋_GB2312" w:cs="仿宋_GB2312"/>
          <w:b w:val="0"/>
          <w:bCs w:val="0"/>
          <w:sz w:val="32"/>
          <w:szCs w:val="32"/>
          <w:lang w:val="en-US" w:eastAsia="zh-CN"/>
        </w:rPr>
        <w:t>机构职责、机构设置、机构信息、领导介绍、办公地址、办公时间</w:t>
      </w:r>
      <w:bookmarkStart w:id="0" w:name="_GoBack"/>
      <w:bookmarkEnd w:id="0"/>
      <w:r>
        <w:rPr>
          <w:rFonts w:hint="eastAsia" w:ascii="仿宋_GB2312" w:hAnsi="仿宋_GB2312" w:eastAsia="仿宋_GB2312" w:cs="仿宋_GB2312"/>
          <w:b w:val="0"/>
          <w:bCs w:val="0"/>
          <w:sz w:val="32"/>
          <w:szCs w:val="32"/>
          <w:lang w:val="en-US" w:eastAsia="zh-CN"/>
        </w:rPr>
        <w:t>、联系方式；办理行政许可和其他对外管理服务事项的依据、条件、程序以及办理结果；实施行政处罚、行政强制的依据、条件、程序以及本行政机关认为具有一定社会影响的行政处罚决定；重点领域稳岗就业相关信息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40"/>
        </w:rPr>
      </w:pPr>
      <w:r>
        <w:rPr>
          <w:rFonts w:hint="eastAsia" w:ascii="仿宋_GB2312" w:hAnsi="仿宋_GB2312" w:eastAsia="仿宋_GB2312" w:cs="仿宋_GB2312"/>
          <w:b/>
          <w:bCs/>
          <w:sz w:val="32"/>
          <w:szCs w:val="40"/>
          <w:lang w:val="en-US" w:eastAsia="zh-CN"/>
        </w:rPr>
        <w:t>2.</w:t>
      </w:r>
      <w:r>
        <w:rPr>
          <w:rFonts w:hint="eastAsia" w:ascii="仿宋_GB2312" w:hAnsi="仿宋_GB2312" w:eastAsia="仿宋_GB2312" w:cs="仿宋_GB2312"/>
          <w:b/>
          <w:bCs/>
          <w:sz w:val="32"/>
          <w:szCs w:val="40"/>
        </w:rPr>
        <w:t>增强透明度，提升公众参与度</w:t>
      </w:r>
      <w:r>
        <w:rPr>
          <w:rFonts w:hint="eastAsia" w:ascii="仿宋_GB2312" w:hAnsi="仿宋_GB2312" w:eastAsia="仿宋_GB2312" w:cs="仿宋_GB2312"/>
          <w:b/>
          <w:bCs/>
          <w:sz w:val="32"/>
          <w:szCs w:val="40"/>
          <w:lang w:eastAsia="zh-CN"/>
        </w:rPr>
        <w:t>。</w:t>
      </w:r>
      <w:r>
        <w:rPr>
          <w:rFonts w:hint="eastAsia" w:ascii="方正仿宋_GB2312" w:hAnsi="方正仿宋_GB2312" w:eastAsia="方正仿宋_GB2312" w:cs="方正仿宋_GB2312"/>
          <w:sz w:val="32"/>
          <w:szCs w:val="40"/>
        </w:rPr>
        <w:t>通过区政府网站、微信公众号等多种渠道，及时、准确地发布政府信息。特别是针对社会关注度高的事项，如就业创业政策、社会保险政策调整</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lang w:val="en-US" w:eastAsia="zh-CN"/>
        </w:rPr>
        <w:t>渐进式延迟法定退休年龄政策出台</w:t>
      </w:r>
      <w:r>
        <w:rPr>
          <w:rFonts w:hint="eastAsia" w:ascii="方正仿宋_GB2312" w:hAnsi="方正仿宋_GB2312" w:eastAsia="方正仿宋_GB2312" w:cs="方正仿宋_GB2312"/>
          <w:sz w:val="32"/>
          <w:szCs w:val="40"/>
        </w:rPr>
        <w:t>等</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rPr>
        <w:t>加大政策解读和宣传力度，通过图文、视频等多种形式，让公众直观了解政策内容，提高政策知晓率和执行力。常态化开展“特邀体验员走流程”，邀请企业群众到窗口体验办事流程、感受服务便利度，定期组织企业代表与“一把手”面对面座谈交流、列席人力社保工作会议，借助百姓智慧找准服务中的痛点、难点、堵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40"/>
        </w:rPr>
      </w:pP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rPr>
        <w:t>优化公开流程，确保信息时效性</w:t>
      </w:r>
      <w:r>
        <w:rPr>
          <w:rFonts w:hint="eastAsia" w:ascii="仿宋_GB2312" w:hAnsi="仿宋_GB2312" w:eastAsia="仿宋_GB2312" w:cs="仿宋_GB2312"/>
          <w:b/>
          <w:bCs/>
          <w:sz w:val="32"/>
          <w:szCs w:val="40"/>
          <w:lang w:eastAsia="zh-CN"/>
        </w:rPr>
        <w:t>。</w:t>
      </w:r>
      <w:r>
        <w:rPr>
          <w:rFonts w:hint="eastAsia" w:ascii="方正仿宋_GB2312" w:hAnsi="方正仿宋_GB2312" w:eastAsia="方正仿宋_GB2312" w:cs="方正仿宋_GB2312"/>
          <w:sz w:val="32"/>
          <w:szCs w:val="40"/>
        </w:rPr>
        <w:t>完善政府信息公开内部审查流程，</w:t>
      </w:r>
      <w:r>
        <w:rPr>
          <w:rFonts w:hint="eastAsia" w:ascii="方正仿宋_GB2312" w:hAnsi="方正仿宋_GB2312" w:eastAsia="方正仿宋_GB2312" w:cs="方正仿宋_GB2312"/>
          <w:sz w:val="32"/>
          <w:szCs w:val="40"/>
          <w:lang w:val="en-US" w:eastAsia="zh-CN"/>
        </w:rPr>
        <w:t>在对相关信息进行保密审查基础上，</w:t>
      </w:r>
      <w:r>
        <w:rPr>
          <w:rFonts w:hint="eastAsia" w:ascii="方正仿宋_GB2312" w:hAnsi="方正仿宋_GB2312" w:eastAsia="方正仿宋_GB2312" w:cs="方正仿宋_GB2312"/>
          <w:sz w:val="32"/>
          <w:szCs w:val="40"/>
        </w:rPr>
        <w:t>确保信息产生后能够迅速、准确公开。加强对已公开信息的更新和维护，确保信息时效性和准确性。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楷体" w:hAnsi="楷体" w:eastAsia="楷体" w:cs="楷体"/>
          <w:sz w:val="32"/>
          <w:szCs w:val="40"/>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b/>
          <w:bCs/>
          <w:sz w:val="32"/>
          <w:szCs w:val="40"/>
          <w:lang w:val="en-US" w:eastAsia="zh-CN"/>
        </w:rPr>
        <w:t>1.</w:t>
      </w:r>
      <w:r>
        <w:rPr>
          <w:rFonts w:hint="eastAsia" w:ascii="方正仿宋_GB2312" w:hAnsi="方正仿宋_GB2312" w:eastAsia="方正仿宋_GB2312" w:cs="方正仿宋_GB2312"/>
          <w:b/>
          <w:bCs/>
          <w:sz w:val="32"/>
          <w:szCs w:val="40"/>
        </w:rPr>
        <w:t>畅通申请渠道</w:t>
      </w:r>
      <w:r>
        <w:rPr>
          <w:rFonts w:hint="eastAsia" w:ascii="方正仿宋_GB2312" w:hAnsi="方正仿宋_GB2312" w:eastAsia="方正仿宋_GB2312" w:cs="方正仿宋_GB2312"/>
          <w:b/>
          <w:bCs/>
          <w:sz w:val="32"/>
          <w:szCs w:val="40"/>
          <w:lang w:eastAsia="zh-CN"/>
        </w:rPr>
        <w:t>。</w:t>
      </w:r>
      <w:r>
        <w:rPr>
          <w:rFonts w:hint="eastAsia" w:ascii="方正仿宋_GB2312" w:hAnsi="方正仿宋_GB2312" w:eastAsia="方正仿宋_GB2312" w:cs="方正仿宋_GB2312"/>
          <w:b w:val="0"/>
          <w:bCs w:val="0"/>
          <w:sz w:val="32"/>
          <w:szCs w:val="40"/>
          <w:lang w:eastAsia="zh-CN"/>
        </w:rPr>
        <w:t>设置多种</w:t>
      </w:r>
      <w:r>
        <w:rPr>
          <w:rFonts w:hint="eastAsia" w:ascii="方正仿宋_GB2312" w:hAnsi="方正仿宋_GB2312" w:eastAsia="方正仿宋_GB2312" w:cs="方正仿宋_GB2312"/>
          <w:b w:val="0"/>
          <w:bCs w:val="0"/>
          <w:sz w:val="32"/>
          <w:szCs w:val="40"/>
        </w:rPr>
        <w:t>依申请公开渠道，</w:t>
      </w:r>
      <w:r>
        <w:rPr>
          <w:rFonts w:hint="eastAsia" w:ascii="方正仿宋_GB2312" w:hAnsi="方正仿宋_GB2312" w:eastAsia="方正仿宋_GB2312" w:cs="方正仿宋_GB2312"/>
          <w:sz w:val="32"/>
          <w:szCs w:val="40"/>
        </w:rPr>
        <w:t>包括电子邮箱、信函、当面申请等，确保申请人方便快捷地提交申请。</w:t>
      </w:r>
      <w:r>
        <w:rPr>
          <w:rFonts w:hint="eastAsia" w:ascii="方正仿宋_GB2312" w:hAnsi="方正仿宋_GB2312" w:eastAsia="方正仿宋_GB2312" w:cs="方正仿宋_GB2312"/>
          <w:sz w:val="32"/>
          <w:szCs w:val="40"/>
          <w:lang w:val="en-US" w:eastAsia="zh-CN"/>
        </w:rPr>
        <w:t>自2023年设立政府信息依申请公开受理窗口，不断加大对窗口服务人员专业能力和服务意识培训，形成专业、统一、权威答复口径。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b/>
          <w:bCs/>
          <w:sz w:val="32"/>
          <w:szCs w:val="40"/>
          <w:lang w:val="en-US" w:eastAsia="zh-CN"/>
        </w:rPr>
        <w:t>2.</w:t>
      </w:r>
      <w:r>
        <w:rPr>
          <w:rFonts w:hint="eastAsia" w:ascii="方正仿宋_GB2312" w:hAnsi="方正仿宋_GB2312" w:eastAsia="方正仿宋_GB2312" w:cs="方正仿宋_GB2312"/>
          <w:b/>
          <w:bCs/>
          <w:sz w:val="32"/>
          <w:szCs w:val="40"/>
        </w:rPr>
        <w:t>规范办理流程</w:t>
      </w:r>
      <w:r>
        <w:rPr>
          <w:rFonts w:hint="eastAsia" w:ascii="方正仿宋_GB2312" w:hAnsi="方正仿宋_GB2312" w:eastAsia="方正仿宋_GB2312" w:cs="方正仿宋_GB2312"/>
          <w:b/>
          <w:bCs/>
          <w:sz w:val="32"/>
          <w:szCs w:val="40"/>
          <w:lang w:eastAsia="zh-CN"/>
        </w:rPr>
        <w:t>。</w:t>
      </w:r>
      <w:r>
        <w:rPr>
          <w:rFonts w:hint="eastAsia" w:ascii="方正仿宋_GB2312" w:hAnsi="方正仿宋_GB2312" w:eastAsia="方正仿宋_GB2312" w:cs="方正仿宋_GB2312"/>
          <w:sz w:val="32"/>
          <w:szCs w:val="40"/>
        </w:rPr>
        <w:t>严格按照《政府信息公开条例》规定</w:t>
      </w:r>
      <w:r>
        <w:rPr>
          <w:rFonts w:hint="eastAsia" w:ascii="方正仿宋_GB2312" w:hAnsi="方正仿宋_GB2312" w:eastAsia="方正仿宋_GB2312" w:cs="方正仿宋_GB2312"/>
          <w:sz w:val="32"/>
          <w:szCs w:val="40"/>
          <w:lang w:val="en-US" w:eastAsia="zh-CN"/>
        </w:rPr>
        <w:t>流程推进依申请公开工作。在登记中，</w:t>
      </w:r>
      <w:r>
        <w:rPr>
          <w:rFonts w:hint="eastAsia" w:ascii="方正仿宋_GB2312" w:hAnsi="方正仿宋_GB2312" w:eastAsia="方正仿宋_GB2312" w:cs="方正仿宋_GB2312"/>
          <w:sz w:val="32"/>
          <w:szCs w:val="40"/>
        </w:rPr>
        <w:t>对依申请公开的政府信息进行</w:t>
      </w:r>
      <w:r>
        <w:rPr>
          <w:rFonts w:hint="eastAsia" w:ascii="方正仿宋_GB2312" w:hAnsi="方正仿宋_GB2312" w:eastAsia="方正仿宋_GB2312" w:cs="方正仿宋_GB2312"/>
          <w:sz w:val="32"/>
          <w:szCs w:val="40"/>
          <w:lang w:eastAsia="zh-CN"/>
        </w:rPr>
        <w:t>研判，</w:t>
      </w:r>
      <w:r>
        <w:rPr>
          <w:rFonts w:hint="eastAsia" w:ascii="方正仿宋_GB2312" w:hAnsi="方正仿宋_GB2312" w:eastAsia="方正仿宋_GB2312" w:cs="方正仿宋_GB2312"/>
          <w:sz w:val="32"/>
          <w:szCs w:val="40"/>
          <w:lang w:val="en-US" w:eastAsia="zh-CN"/>
        </w:rPr>
        <w:t>能办的快速办，难办的坚决办</w:t>
      </w:r>
      <w:r>
        <w:rPr>
          <w:rFonts w:hint="eastAsia" w:ascii="方正仿宋_GB2312" w:hAnsi="方正仿宋_GB2312" w:eastAsia="方正仿宋_GB2312" w:cs="方正仿宋_GB2312"/>
          <w:sz w:val="32"/>
          <w:szCs w:val="40"/>
        </w:rPr>
        <w:t>。在</w:t>
      </w:r>
      <w:r>
        <w:rPr>
          <w:rFonts w:hint="eastAsia" w:ascii="方正仿宋_GB2312" w:hAnsi="方正仿宋_GB2312" w:eastAsia="方正仿宋_GB2312" w:cs="方正仿宋_GB2312"/>
          <w:sz w:val="32"/>
          <w:szCs w:val="40"/>
          <w:lang w:val="en-US" w:eastAsia="zh-CN"/>
        </w:rPr>
        <w:t>转办和答复</w:t>
      </w:r>
      <w:r>
        <w:rPr>
          <w:rFonts w:hint="eastAsia" w:ascii="方正仿宋_GB2312" w:hAnsi="方正仿宋_GB2312" w:eastAsia="方正仿宋_GB2312" w:cs="方正仿宋_GB2312"/>
          <w:sz w:val="32"/>
          <w:szCs w:val="40"/>
        </w:rPr>
        <w:t>中，</w:t>
      </w:r>
      <w:r>
        <w:rPr>
          <w:rFonts w:hint="eastAsia" w:ascii="方正仿宋_GB2312" w:hAnsi="方正仿宋_GB2312" w:eastAsia="方正仿宋_GB2312" w:cs="方正仿宋_GB2312"/>
          <w:sz w:val="32"/>
          <w:szCs w:val="40"/>
          <w:lang w:val="en-US" w:eastAsia="zh-CN"/>
        </w:rPr>
        <w:t>强化依申请公开的主动服务意识，经办部门</w:t>
      </w:r>
      <w:r>
        <w:rPr>
          <w:rFonts w:hint="eastAsia" w:ascii="方正仿宋_GB2312" w:hAnsi="方正仿宋_GB2312" w:eastAsia="方正仿宋_GB2312" w:cs="方正仿宋_GB2312"/>
          <w:sz w:val="32"/>
          <w:szCs w:val="40"/>
        </w:rPr>
        <w:t>加强与申请人的沟通，</w:t>
      </w:r>
      <w:r>
        <w:rPr>
          <w:rFonts w:hint="eastAsia" w:ascii="方正仿宋_GB2312" w:hAnsi="方正仿宋_GB2312" w:eastAsia="方正仿宋_GB2312" w:cs="方正仿宋_GB2312"/>
          <w:sz w:val="32"/>
          <w:szCs w:val="40"/>
          <w:lang w:val="en-US" w:eastAsia="zh-CN"/>
        </w:rPr>
        <w:t>了解申请原因及用途，</w:t>
      </w:r>
      <w:r>
        <w:rPr>
          <w:rFonts w:hint="eastAsia" w:ascii="方正仿宋_GB2312" w:hAnsi="方正仿宋_GB2312" w:eastAsia="方正仿宋_GB2312" w:cs="方正仿宋_GB2312"/>
          <w:sz w:val="32"/>
          <w:szCs w:val="40"/>
        </w:rPr>
        <w:t>及时反馈办理进展和结果</w:t>
      </w:r>
      <w:r>
        <w:rPr>
          <w:rFonts w:hint="eastAsia" w:ascii="方正仿宋_GB2312" w:hAnsi="方正仿宋_GB2312" w:eastAsia="方正仿宋_GB2312" w:cs="方正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b/>
          <w:bCs/>
          <w:sz w:val="32"/>
          <w:szCs w:val="40"/>
          <w:lang w:val="en-US" w:eastAsia="zh-CN"/>
        </w:rPr>
        <w:t>3.</w:t>
      </w:r>
      <w:r>
        <w:rPr>
          <w:rFonts w:hint="eastAsia" w:ascii="方正仿宋_GB2312" w:hAnsi="方正仿宋_GB2312" w:eastAsia="方正仿宋_GB2312" w:cs="方正仿宋_GB2312"/>
          <w:b/>
          <w:bCs/>
          <w:sz w:val="32"/>
          <w:szCs w:val="40"/>
        </w:rPr>
        <w:t>提升服务质量</w:t>
      </w:r>
      <w:r>
        <w:rPr>
          <w:rFonts w:hint="eastAsia" w:ascii="方正仿宋_GB2312" w:hAnsi="方正仿宋_GB2312" w:eastAsia="方正仿宋_GB2312" w:cs="方正仿宋_GB2312"/>
          <w:b/>
          <w:bCs/>
          <w:sz w:val="32"/>
          <w:szCs w:val="40"/>
          <w:lang w:eastAsia="zh-CN"/>
        </w:rPr>
        <w:t>。</w:t>
      </w:r>
      <w:r>
        <w:rPr>
          <w:rFonts w:hint="eastAsia" w:ascii="方正仿宋_GB2312" w:hAnsi="方正仿宋_GB2312" w:eastAsia="方正仿宋_GB2312" w:cs="方正仿宋_GB2312"/>
          <w:sz w:val="32"/>
          <w:szCs w:val="40"/>
        </w:rPr>
        <w:t>不断总结经验，优化办理流程，提高服务质量。特别是一些复杂、疑难申请，积极寻求</w:t>
      </w:r>
      <w:r>
        <w:rPr>
          <w:rFonts w:hint="eastAsia" w:ascii="方正仿宋_GB2312" w:hAnsi="方正仿宋_GB2312" w:eastAsia="方正仿宋_GB2312" w:cs="方正仿宋_GB2312"/>
          <w:sz w:val="32"/>
          <w:szCs w:val="40"/>
          <w:lang w:eastAsia="zh-CN"/>
        </w:rPr>
        <w:t>业务科室</w:t>
      </w:r>
      <w:r>
        <w:rPr>
          <w:rFonts w:hint="eastAsia" w:ascii="方正仿宋_GB2312" w:hAnsi="方正仿宋_GB2312" w:eastAsia="方正仿宋_GB2312" w:cs="方正仿宋_GB2312"/>
          <w:sz w:val="32"/>
          <w:szCs w:val="40"/>
        </w:rPr>
        <w:t>专业支持，确保全面</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rPr>
        <w:t>准确满足申请人需求</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lang w:val="en-US" w:eastAsia="zh-CN"/>
        </w:rPr>
        <w:t>以依申请公开工作助力解决群众急难愁盼。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40"/>
        </w:rPr>
      </w:pPr>
      <w:r>
        <w:rPr>
          <w:rFonts w:hint="eastAsia" w:ascii="楷体_GB2312" w:hAnsi="楷体_GB2312" w:eastAsia="楷体_GB2312" w:cs="楷体_GB2312"/>
          <w:b w:val="0"/>
          <w:bCs w:val="0"/>
          <w:sz w:val="32"/>
          <w:szCs w:val="40"/>
        </w:rPr>
        <w:t>（三）平台建设情况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一是</w:t>
      </w:r>
      <w:r>
        <w:rPr>
          <w:rFonts w:hint="eastAsia" w:ascii="方正仿宋_GB2312" w:hAnsi="方正仿宋_GB2312" w:eastAsia="方正仿宋_GB2312" w:cs="方正仿宋_GB2312"/>
          <w:sz w:val="32"/>
          <w:szCs w:val="40"/>
        </w:rPr>
        <w:t>及时修订《北京市西城区人力资源和社会保障局官方微信公众号信息发布管理办法》，明确新媒体发布的组织管理、工作机制、运营机制等内容，严格发布流程</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rPr>
        <w:t>提升严谨性。</w:t>
      </w:r>
      <w:r>
        <w:rPr>
          <w:rFonts w:hint="eastAsia" w:ascii="方正仿宋_GB2312" w:hAnsi="方正仿宋_GB2312" w:eastAsia="方正仿宋_GB2312" w:cs="方正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40"/>
          <w:highlight w:val="none"/>
          <w:lang w:val="en-US" w:eastAsia="zh-CN"/>
        </w:rPr>
      </w:pPr>
      <w:r>
        <w:rPr>
          <w:rFonts w:hint="eastAsia" w:ascii="方正仿宋_GB2312" w:hAnsi="方正仿宋_GB2312" w:eastAsia="方正仿宋_GB2312" w:cs="方正仿宋_GB2312"/>
          <w:sz w:val="32"/>
          <w:szCs w:val="40"/>
          <w:lang w:val="en-US" w:eastAsia="zh-CN"/>
        </w:rPr>
        <w:t>二</w:t>
      </w:r>
      <w:r>
        <w:rPr>
          <w:rFonts w:hint="eastAsia" w:ascii="方正仿宋_GB2312" w:hAnsi="方正仿宋_GB2312" w:eastAsia="方正仿宋_GB2312" w:cs="方正仿宋_GB2312"/>
          <w:sz w:val="32"/>
          <w:szCs w:val="40"/>
        </w:rPr>
        <w:t>是依托“西城人社”微信公众号，以重点工作</w:t>
      </w:r>
      <w:r>
        <w:rPr>
          <w:rFonts w:hint="eastAsia" w:ascii="方正仿宋_GB2312" w:hAnsi="方正仿宋_GB2312" w:eastAsia="方正仿宋_GB2312" w:cs="方正仿宋_GB2312"/>
          <w:sz w:val="32"/>
          <w:szCs w:val="40"/>
          <w:lang w:eastAsia="zh-CN"/>
        </w:rPr>
        <w:t>和</w:t>
      </w:r>
      <w:r>
        <w:rPr>
          <w:rFonts w:hint="eastAsia" w:ascii="方正仿宋_GB2312" w:hAnsi="方正仿宋_GB2312" w:eastAsia="方正仿宋_GB2312" w:cs="方正仿宋_GB2312"/>
          <w:sz w:val="32"/>
          <w:szCs w:val="40"/>
        </w:rPr>
        <w:t>企业办事群众关切为出发点，主动设置“业美就在西城 政策掌上通”“业美就在西城 人社‘政’能量”等政策服务性专栏选题，配合长图、短视频、直播、广播剧等多种宣传模式，扩大宣传影响力。确保政府网站和政务新媒体安全平稳运行。</w:t>
      </w:r>
      <w:r>
        <w:rPr>
          <w:rFonts w:hint="eastAsia" w:ascii="方正仿宋_GB2312" w:hAnsi="方正仿宋_GB2312" w:eastAsia="方正仿宋_GB2312" w:cs="方正仿宋_GB2312"/>
          <w:sz w:val="32"/>
          <w:szCs w:val="40"/>
          <w:highlight w:val="none"/>
          <w:lang w:val="en-US" w:eastAsia="zh-CN"/>
        </w:rPr>
        <w:t>2024年，微信公众号发布推文839篇，视频号推送108篇，头条号推送237篇。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40"/>
          <w:lang w:val="en-US" w:eastAsia="zh-CN"/>
        </w:rPr>
      </w:pPr>
    </w:p>
    <w:p>
      <w:pPr>
        <w:pStyle w:val="2"/>
        <w:rPr>
          <w:rFonts w:hint="eastAsia" w:ascii="方正仿宋_GB2312" w:hAnsi="方正仿宋_GB2312" w:eastAsia="方正仿宋_GB2312" w:cs="方正仿宋_GB2312"/>
          <w:sz w:val="32"/>
          <w:szCs w:val="40"/>
          <w:lang w:val="en-US" w:eastAsia="zh-CN"/>
        </w:rPr>
      </w:pPr>
    </w:p>
    <w:p>
      <w:pPr>
        <w:pStyle w:val="2"/>
        <w:rPr>
          <w:rFonts w:hint="eastAsia" w:ascii="方正仿宋_GB2312" w:hAnsi="方正仿宋_GB2312" w:eastAsia="方正仿宋_GB2312" w:cs="方正仿宋_GB2312"/>
          <w:sz w:val="32"/>
          <w:szCs w:val="40"/>
          <w:lang w:val="en-US" w:eastAsia="zh-CN"/>
        </w:rPr>
      </w:pPr>
    </w:p>
    <w:p>
      <w:pPr>
        <w:pStyle w:val="2"/>
        <w:rPr>
          <w:rFonts w:hint="eastAsia" w:ascii="方正仿宋_GB2312" w:hAnsi="方正仿宋_GB2312" w:eastAsia="方正仿宋_GB2312" w:cs="方正仿宋_GB2312"/>
          <w:sz w:val="32"/>
          <w:szCs w:val="40"/>
          <w:lang w:val="en-US" w:eastAsia="zh-CN"/>
        </w:rPr>
      </w:pPr>
    </w:p>
    <w:p>
      <w:pPr>
        <w:pStyle w:val="2"/>
        <w:rPr>
          <w:rFonts w:hint="eastAsia" w:ascii="方正仿宋_GB2312" w:hAnsi="方正仿宋_GB2312" w:eastAsia="方正仿宋_GB2312" w:cs="方正仿宋_GB2312"/>
          <w:sz w:val="32"/>
          <w:szCs w:val="40"/>
          <w:lang w:val="en-US" w:eastAsia="zh-CN"/>
        </w:rPr>
      </w:pPr>
    </w:p>
    <w:p>
      <w:pPr>
        <w:pStyle w:val="2"/>
        <w:rPr>
          <w:rFonts w:hint="eastAsia" w:ascii="方正仿宋_GB2312" w:hAnsi="方正仿宋_GB2312" w:eastAsia="方正仿宋_GB2312" w:cs="方正仿宋_GB2312"/>
          <w:sz w:val="32"/>
          <w:szCs w:val="40"/>
          <w:lang w:val="en-US" w:eastAsia="zh-CN"/>
        </w:rPr>
      </w:pPr>
    </w:p>
    <w:p>
      <w:pPr>
        <w:pStyle w:val="2"/>
        <w:rPr>
          <w:rFonts w:hint="eastAsia" w:ascii="方正仿宋_GB2312" w:hAnsi="方正仿宋_GB2312" w:eastAsia="方正仿宋_GB2312" w:cs="方正仿宋_GB2312"/>
          <w:sz w:val="32"/>
          <w:szCs w:val="40"/>
          <w:lang w:val="en-US" w:eastAsia="zh-CN"/>
        </w:rPr>
      </w:pPr>
    </w:p>
    <w:p>
      <w:pPr>
        <w:pStyle w:val="2"/>
        <w:rPr>
          <w:rFonts w:hint="eastAsia" w:ascii="方正仿宋_GB2312" w:hAnsi="方正仿宋_GB2312" w:eastAsia="方正仿宋_GB2312" w:cs="方正仿宋_GB2312"/>
          <w:sz w:val="32"/>
          <w:szCs w:val="40"/>
          <w:lang w:val="en-US" w:eastAsia="zh-CN"/>
        </w:rPr>
      </w:pPr>
    </w:p>
    <w:p>
      <w:pPr>
        <w:pStyle w:val="2"/>
        <w:rPr>
          <w:rFonts w:hint="eastAsia" w:ascii="方正仿宋_GB2312" w:hAnsi="方正仿宋_GB2312" w:eastAsia="方正仿宋_GB2312" w:cs="方正仿宋_GB2312"/>
          <w:sz w:val="32"/>
          <w:szCs w:val="40"/>
          <w:lang w:val="en-US" w:eastAsia="zh-CN"/>
        </w:rPr>
      </w:pPr>
    </w:p>
    <w:p>
      <w:pPr>
        <w:pStyle w:val="2"/>
        <w:rPr>
          <w:rFonts w:hint="eastAsia" w:ascii="方正仿宋_GB2312" w:hAnsi="方正仿宋_GB2312" w:eastAsia="方正仿宋_GB2312" w:cs="方正仿宋_GB2312"/>
          <w:sz w:val="32"/>
          <w:szCs w:val="40"/>
          <w:lang w:val="en-US" w:eastAsia="zh-CN"/>
        </w:rPr>
      </w:pPr>
    </w:p>
    <w:p>
      <w:pPr>
        <w:pStyle w:val="2"/>
        <w:rPr>
          <w:rFonts w:hint="eastAsia" w:ascii="方正仿宋_GB2312" w:hAnsi="方正仿宋_GB2312" w:eastAsia="方正仿宋_GB2312" w:cs="方正仿宋_GB2312"/>
          <w:sz w:val="32"/>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主动公开政府信息情况</w:t>
      </w:r>
    </w:p>
    <w:p>
      <w:pPr>
        <w:pStyle w:val="2"/>
        <w:widowControl w:val="0"/>
        <w:numPr>
          <w:ilvl w:val="0"/>
          <w:numId w:val="0"/>
        </w:numPr>
        <w:jc w:val="both"/>
        <w:rPr>
          <w:rFonts w:hint="eastAsia"/>
          <w:lang w:val="en-US" w:eastAsia="zh-CN"/>
        </w:rPr>
      </w:pPr>
    </w:p>
    <w:tbl>
      <w:tblPr>
        <w:tblStyle w:val="10"/>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624" w:hRule="exac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第二十条第（一）项</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现行有效件</w:t>
            </w:r>
            <w:r>
              <w:rPr>
                <w:rFonts w:hint="eastAsia" w:cs="宋体" w:asciiTheme="minorEastAsia" w:hAnsiTheme="minorEastAsia" w:eastAsiaTheme="minorEastAsia"/>
                <w:kern w:val="0"/>
                <w:sz w:val="20"/>
                <w:szCs w:val="20"/>
              </w:rPr>
              <w:t>数</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EastAsia" w:hAnsiTheme="minorEastAsia" w:eastAsiaTheme="minorEastAsia"/>
              </w:rPr>
            </w:pPr>
            <w:r>
              <w:rPr>
                <w:rFonts w:hint="eastAsia" w:asciiTheme="minorEastAsia" w:hAnsiTheme="minorEastAsia" w:eastAsiaTheme="minor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EastAsia" w:hAnsiTheme="minorEastAsia" w:eastAsiaTheme="minorEastAsia"/>
              </w:rPr>
            </w:pPr>
            <w:r>
              <w:rPr>
                <w:rFonts w:hint="eastAsia" w:asciiTheme="minorEastAsia" w:hAnsiTheme="minorEastAsia" w:eastAsiaTheme="minor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EastAsia" w:hAnsiTheme="minorEastAsia" w:eastAsiaTheme="minorEastAsia"/>
              </w:rPr>
            </w:pPr>
            <w:r>
              <w:rPr>
                <w:rFonts w:hint="eastAsia" w:asciiTheme="minorEastAsia" w:hAnsiTheme="minorEastAsia" w:eastAsiaTheme="minorEastAsia"/>
              </w:rPr>
              <w:t>0</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heme="minorEastAsia" w:hAnsiTheme="minorEastAsia" w:eastAsiaTheme="minorEastAsia"/>
                <w:lang w:val="en-US" w:eastAsia="zh-CN"/>
              </w:rPr>
            </w:pPr>
            <w:r>
              <w:rPr>
                <w:rFonts w:hint="eastAsia" w:asciiTheme="minorEastAsia" w:hAnsiTheme="minor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EastAsia" w:hAnsiTheme="minorEastAsia" w:eastAsiaTheme="minorEastAsia"/>
              </w:rPr>
            </w:pPr>
            <w:r>
              <w:rPr>
                <w:rFonts w:hint="eastAsia" w:asciiTheme="minorEastAsia" w:hAnsiTheme="minorEastAsia" w:eastAsiaTheme="minor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6</w:t>
            </w:r>
          </w:p>
        </w:tc>
      </w:tr>
      <w:tr>
        <w:tblPrEx>
          <w:tblCellMar>
            <w:top w:w="0" w:type="dxa"/>
            <w:left w:w="0" w:type="dxa"/>
            <w:bottom w:w="0" w:type="dxa"/>
            <w:right w:w="0" w:type="dxa"/>
          </w:tblCellMar>
        </w:tblPrEx>
        <w:trPr>
          <w:trHeight w:val="624" w:hRule="exac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第二十条第（五）项</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本年处理决定数量</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heme="minorEastAsia" w:hAnsiTheme="minorEastAsia" w:eastAsiaTheme="minorEastAsia"/>
                <w:lang w:val="en-US" w:eastAsia="zh-CN"/>
              </w:rPr>
            </w:pPr>
            <w:r>
              <w:rPr>
                <w:rFonts w:hint="eastAsia" w:asciiTheme="minorEastAsia" w:hAnsiTheme="minorEastAsia"/>
                <w:lang w:val="en-US" w:eastAsia="zh-CN"/>
              </w:rPr>
              <w:t>285</w:t>
            </w:r>
          </w:p>
        </w:tc>
      </w:tr>
      <w:tr>
        <w:tblPrEx>
          <w:tblCellMar>
            <w:top w:w="0" w:type="dxa"/>
            <w:left w:w="0" w:type="dxa"/>
            <w:bottom w:w="0" w:type="dxa"/>
            <w:right w:w="0" w:type="dxa"/>
          </w:tblCellMar>
        </w:tblPrEx>
        <w:trPr>
          <w:trHeight w:val="624" w:hRule="exac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第二十条第（六）项</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本年处理决定数量</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heme="minorEastAsia" w:hAnsiTheme="minorEastAsia" w:eastAsiaTheme="minorEastAsia"/>
                <w:lang w:val="en-US" w:eastAsia="zh-CN"/>
              </w:rPr>
            </w:pPr>
            <w:r>
              <w:rPr>
                <w:rFonts w:hint="eastAsia" w:asciiTheme="minorEastAsia" w:hAnsiTheme="minorEastAsia"/>
                <w:lang w:val="en-US" w:eastAsia="zh-CN"/>
              </w:rPr>
              <w:t>18</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lang w:val="en-US" w:eastAsia="zh-CN"/>
              </w:rPr>
            </w:pPr>
            <w:r>
              <w:rPr>
                <w:rFonts w:hint="eastAsia" w:asciiTheme="minorEastAsia" w:hAnsiTheme="minorEastAsia"/>
                <w:lang w:val="en-US" w:eastAsia="zh-CN"/>
              </w:rPr>
              <w:t>5</w:t>
            </w:r>
          </w:p>
        </w:tc>
      </w:tr>
      <w:tr>
        <w:tblPrEx>
          <w:tblCellMar>
            <w:top w:w="0" w:type="dxa"/>
            <w:left w:w="0" w:type="dxa"/>
            <w:bottom w:w="0" w:type="dxa"/>
            <w:right w:w="0" w:type="dxa"/>
          </w:tblCellMar>
        </w:tblPrEx>
        <w:trPr>
          <w:trHeight w:val="624" w:hRule="exac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第二十条第（八）项</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本年收费金额（单位：万元）</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rPr>
              <w:t>0</w:t>
            </w:r>
          </w:p>
        </w:tc>
      </w:tr>
    </w:tbl>
    <w:p>
      <w:pPr>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2"/>
        <w:rPr>
          <w:rFonts w:hint="eastAsia"/>
        </w:rPr>
      </w:pPr>
    </w:p>
    <w:tbl>
      <w:tblPr>
        <w:tblStyle w:val="10"/>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cs="楷体" w:asciiTheme="minorEastAsia" w:hAnsiTheme="minorEastAsia" w:eastAsiaTheme="minorEastAsia"/>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商业</w:t>
            </w:r>
          </w:p>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科研</w:t>
            </w:r>
          </w:p>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cs="Calibri" w:asciiTheme="minorEastAsia" w:hAnsiTheme="minorEastAsia" w:eastAsiaTheme="minorEastAsia"/>
                <w:color w:val="000000"/>
                <w:kern w:val="0"/>
                <w:sz w:val="20"/>
                <w:szCs w:val="20"/>
                <w:highlight w:val="none"/>
                <w:lang w:val="en-US" w:eastAsia="zh-CN" w:bidi="ar"/>
              </w:rPr>
              <w:t>6</w:t>
            </w:r>
            <w:r>
              <w:rPr>
                <w:rFonts w:hint="eastAsia" w:cs="Calibri" w:asciiTheme="minorEastAsia" w:hAnsiTheme="minorEastAsia"/>
                <w:color w:val="000000"/>
                <w:kern w:val="0"/>
                <w:sz w:val="20"/>
                <w:szCs w:val="20"/>
                <w:highlight w:val="none"/>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cs="Calibri" w:asciiTheme="minorEastAsia" w:hAnsiTheme="minorEastAsia" w:eastAsiaTheme="minorEastAsia"/>
                <w:color w:val="000000"/>
                <w:kern w:val="0"/>
                <w:sz w:val="20"/>
                <w:szCs w:val="20"/>
                <w:highlight w:val="none"/>
                <w:lang w:val="en-US" w:eastAsia="zh-CN" w:bidi="ar"/>
              </w:rPr>
              <w:t>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25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（二）部分公开</w:t>
            </w:r>
            <w:r>
              <w:rPr>
                <w:rFonts w:cs="楷体" w:asciiTheme="minorEastAsia" w:hAnsiTheme="minorEastAsia" w:eastAsiaTheme="minorEastAsia"/>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8</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val="en-US" w:eastAsia="zh-CN"/>
              </w:rPr>
            </w:pPr>
            <w:r>
              <w:rPr>
                <w:rFonts w:hint="eastAsia" w:asciiTheme="minorEastAsia" w:hAnsiTheme="minor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val="en-US" w:eastAsia="zh-CN"/>
              </w:rPr>
            </w:pPr>
            <w:r>
              <w:rPr>
                <w:rFonts w:hint="eastAsia" w:asciiTheme="minorEastAsia" w:hAnsiTheme="minorEastAsia"/>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cs="Calibri" w:asciiTheme="minorEastAsia" w:hAnsiTheme="minorEastAsia" w:eastAsiaTheme="minorEastAsia"/>
                <w:color w:val="000000"/>
                <w:kern w:val="0"/>
                <w:sz w:val="20"/>
                <w:szCs w:val="20"/>
                <w:highlight w:val="none"/>
                <w:lang w:val="en-US" w:eastAsia="zh-CN" w:bidi="ar"/>
              </w:rPr>
              <w:t>26</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cs="Calibri" w:asciiTheme="minorEastAsia" w:hAnsiTheme="minorEastAsia" w:eastAsiaTheme="minorEastAsia"/>
                <w:color w:val="000000"/>
                <w:kern w:val="0"/>
                <w:sz w:val="20"/>
                <w:szCs w:val="20"/>
                <w:highlight w:val="none"/>
                <w:lang w:val="en-US" w:eastAsia="zh-CN" w:bidi="ar"/>
              </w:rPr>
              <w:t>2</w:t>
            </w:r>
            <w:r>
              <w:rPr>
                <w:rFonts w:hint="eastAsia" w:cs="Calibri" w:asciiTheme="minorEastAsia" w:hAnsiTheme="minorEastAsia"/>
                <w:color w:val="000000"/>
                <w:kern w:val="0"/>
                <w:sz w:val="20"/>
                <w:szCs w:val="20"/>
                <w:highlight w:val="none"/>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restart"/>
            <w:tcBorders>
              <w:top w:val="nil"/>
              <w:left w:val="nil"/>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（六）其他处理</w:t>
            </w: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0.其他处理总计</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cs="Calibri" w:asciiTheme="minorEastAsia" w:hAnsiTheme="minorEastAsia" w:eastAsiaTheme="minorEastAsia"/>
                <w:color w:val="000000"/>
                <w:kern w:val="0"/>
                <w:sz w:val="20"/>
                <w:szCs w:val="20"/>
                <w:highlight w:val="none"/>
                <w:lang w:val="en-US" w:eastAsia="zh-CN" w:bidi="ar"/>
              </w:rPr>
            </w:pPr>
            <w:r>
              <w:rPr>
                <w:rFonts w:hint="eastAsia" w:cs="Calibri" w:asciiTheme="minorEastAsia" w:hAnsiTheme="minorEastAsia"/>
                <w:color w:val="000000"/>
                <w:kern w:val="0"/>
                <w:sz w:val="20"/>
                <w:szCs w:val="20"/>
                <w:highlight w:val="none"/>
                <w:lang w:val="en-US" w:eastAsia="zh-CN" w:bidi="ar"/>
              </w:rPr>
              <w:t>1</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cs="Calibri" w:asciiTheme="minorEastAsia" w:hAnsiTheme="minorEastAsia" w:eastAsiaTheme="minorEastAsia"/>
                <w:color w:val="000000"/>
                <w:kern w:val="0"/>
                <w:sz w:val="20"/>
                <w:szCs w:val="20"/>
                <w:highlight w:val="none"/>
                <w:lang w:val="en-US" w:eastAsia="zh-CN" w:bidi="ar"/>
              </w:rPr>
            </w:pPr>
            <w:r>
              <w:rPr>
                <w:rFonts w:hint="eastAsia" w:cs="Calibri" w:asciiTheme="minorEastAsia" w:hAnsiTheme="minorEastAsia" w:eastAsiaTheme="minorEastAsia"/>
                <w:color w:val="000000"/>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cs="Calibri" w:asciiTheme="minorEastAsia" w:hAnsiTheme="minorEastAsia" w:eastAsiaTheme="minorEastAsia"/>
                <w:color w:val="000000"/>
                <w:kern w:val="0"/>
                <w:sz w:val="20"/>
                <w:szCs w:val="20"/>
                <w:highlight w:val="none"/>
                <w:lang w:val="en-US" w:eastAsia="zh-CN" w:bidi="ar"/>
              </w:rPr>
            </w:pPr>
            <w:r>
              <w:rPr>
                <w:rFonts w:hint="eastAsia" w:cs="Calibri" w:asciiTheme="minorEastAsia" w:hAnsiTheme="minorEastAsia" w:eastAsiaTheme="minorEastAsia"/>
                <w:color w:val="000000"/>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cs="Calibri" w:asciiTheme="minorEastAsia" w:hAnsiTheme="minorEastAsia" w:eastAsiaTheme="minorEastAsia"/>
                <w:color w:val="000000"/>
                <w:kern w:val="0"/>
                <w:sz w:val="20"/>
                <w:szCs w:val="20"/>
                <w:highlight w:val="none"/>
                <w:lang w:val="en-US" w:eastAsia="zh-CN" w:bidi="ar"/>
              </w:rPr>
            </w:pPr>
            <w:r>
              <w:rPr>
                <w:rFonts w:hint="eastAsia" w:cs="Calibri" w:asciiTheme="minorEastAsia" w:hAnsiTheme="minorEastAsia" w:eastAsiaTheme="minorEastAsia"/>
                <w:color w:val="000000"/>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cs="Calibri" w:asciiTheme="minorEastAsia" w:hAnsiTheme="minorEastAsia" w:eastAsiaTheme="minorEastAsia"/>
                <w:color w:val="000000"/>
                <w:kern w:val="0"/>
                <w:sz w:val="20"/>
                <w:szCs w:val="20"/>
                <w:highlight w:val="none"/>
                <w:lang w:val="en-US" w:eastAsia="zh-CN" w:bidi="ar"/>
              </w:rPr>
            </w:pPr>
            <w:r>
              <w:rPr>
                <w:rFonts w:hint="eastAsia" w:cs="Calibri" w:asciiTheme="minorEastAsia" w:hAnsiTheme="minorEastAsia"/>
                <w:color w:val="000000"/>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cs="Calibri" w:asciiTheme="minorEastAsia" w:hAnsiTheme="minorEastAsia" w:eastAsiaTheme="minorEastAsia"/>
                <w:color w:val="000000"/>
                <w:kern w:val="0"/>
                <w:sz w:val="20"/>
                <w:szCs w:val="20"/>
                <w:highlight w:val="none"/>
                <w:lang w:val="en-US" w:eastAsia="zh-CN" w:bidi="ar"/>
              </w:rPr>
            </w:pPr>
            <w:r>
              <w:rPr>
                <w:rFonts w:hint="eastAsia" w:cs="Calibri" w:asciiTheme="minorEastAsia" w:hAnsiTheme="minorEastAsia" w:eastAsiaTheme="minorEastAsia"/>
                <w:color w:val="000000"/>
                <w:kern w:val="0"/>
                <w:sz w:val="20"/>
                <w:szCs w:val="20"/>
                <w:highlight w:val="none"/>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cs="Calibri" w:asciiTheme="minorEastAsia" w:hAnsiTheme="minorEastAsia" w:eastAsiaTheme="minorEastAsia"/>
                <w:color w:val="000000"/>
                <w:kern w:val="0"/>
                <w:sz w:val="20"/>
                <w:szCs w:val="20"/>
                <w:highlight w:val="none"/>
                <w:lang w:val="en-US" w:eastAsia="zh-CN" w:bidi="ar"/>
              </w:rPr>
            </w:pPr>
            <w:r>
              <w:rPr>
                <w:rFonts w:hint="eastAsia" w:cs="Calibri" w:asciiTheme="minorEastAsia" w:hAnsiTheme="minorEastAsia"/>
                <w:color w:val="000000"/>
                <w:kern w:val="0"/>
                <w:sz w:val="20"/>
                <w:szCs w:val="20"/>
                <w:highlight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left w:val="nil"/>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left w:val="nil"/>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943" w:type="dxa"/>
            <w:vMerge w:val="continue"/>
            <w:tcBorders>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highlight w:val="none"/>
                <w:lang w:eastAsia="zh-CN"/>
              </w:rPr>
            </w:pPr>
            <w:r>
              <w:rPr>
                <w:rFonts w:hint="eastAsia" w:cs="Calibri" w:asciiTheme="minorEastAsia" w:hAnsiTheme="minorEastAsia" w:eastAsiaTheme="minorEastAsia"/>
                <w:color w:val="000000"/>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cs="Calibri" w:asciiTheme="minorEastAsia" w:hAnsiTheme="minorEastAsia" w:eastAsiaTheme="minorEastAsia"/>
                <w:color w:val="000000"/>
                <w:kern w:val="0"/>
                <w:sz w:val="20"/>
                <w:szCs w:val="20"/>
                <w:highlight w:val="none"/>
                <w:lang w:val="en-US" w:eastAsia="zh-CN" w:bidi="ar"/>
              </w:rPr>
              <w:t>6</w:t>
            </w:r>
            <w:r>
              <w:rPr>
                <w:rFonts w:hint="eastAsia" w:cs="Calibri" w:asciiTheme="minorEastAsia" w:hAnsiTheme="minorEastAsia"/>
                <w:color w:val="000000"/>
                <w:kern w:val="0"/>
                <w:sz w:val="20"/>
                <w:szCs w:val="20"/>
                <w:highlight w:val="none"/>
                <w:lang w:val="en-US" w:eastAsia="zh-CN"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highlight w:val="none"/>
                <w:lang w:val="en-US" w:eastAsia="zh-CN"/>
              </w:rPr>
            </w:pPr>
            <w:r>
              <w:rPr>
                <w:rFonts w:hint="eastAsia" w:cs="Calibri" w:asciiTheme="minorEastAsia" w:hAnsiTheme="minorEastAsia" w:eastAsiaTheme="minorEastAsia"/>
                <w:color w:val="000000"/>
                <w:kern w:val="0"/>
                <w:sz w:val="20"/>
                <w:szCs w:val="20"/>
                <w:highlight w:val="none"/>
                <w:lang w:val="en-US" w:eastAsia="zh-CN" w:bidi="ar"/>
              </w:rPr>
              <w:t>6</w:t>
            </w:r>
            <w:r>
              <w:rPr>
                <w:rFonts w:hint="eastAsia" w:cs="Calibri" w:asciiTheme="minorEastAsia" w:hAnsiTheme="minorEastAsia"/>
                <w:color w:val="000000"/>
                <w:kern w:val="0"/>
                <w:sz w:val="20"/>
                <w:szCs w:val="20"/>
                <w:highlight w:val="none"/>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Theme="minorEastAsia" w:hAnsiTheme="minorEastAsia" w:eastAsiaTheme="minorEastAsia"/>
              </w:rPr>
            </w:pPr>
            <w:r>
              <w:rPr>
                <w:rFonts w:hint="eastAsia" w:cs="宋体" w:asciiTheme="minorEastAsia" w:hAnsiTheme="minorEastAsia" w:eastAsiaTheme="minorEastAsia"/>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sz w:val="24"/>
                <w:szCs w:val="24"/>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sz w:val="24"/>
                <w:szCs w:val="24"/>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sz w:val="24"/>
                <w:szCs w:val="24"/>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sz w:val="24"/>
                <w:szCs w:val="24"/>
                <w:highlight w:val="none"/>
              </w:rPr>
            </w:pPr>
            <w:r>
              <w:rPr>
                <w:rFonts w:cs="Calibri" w:asciiTheme="minorEastAsia" w:hAnsiTheme="minorEastAsia" w:eastAsiaTheme="minorEastAsia"/>
                <w:color w:val="000000"/>
                <w:kern w:val="0"/>
                <w:sz w:val="20"/>
                <w:szCs w:val="20"/>
                <w:highlight w:val="none"/>
                <w:lang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Theme="minorEastAsia" w:hAnsiTheme="minorEastAsia" w:eastAsiaTheme="minorEastAsia"/>
                <w:sz w:val="24"/>
                <w:szCs w:val="24"/>
                <w:highlight w:val="none"/>
              </w:rPr>
            </w:pPr>
            <w:r>
              <w:rPr>
                <w:rFonts w:cs="Calibri" w:asciiTheme="minorEastAsia" w:hAnsiTheme="minorEastAsia" w:eastAsiaTheme="minorEastAsia"/>
                <w:color w:val="000000"/>
                <w:kern w:val="0"/>
                <w:sz w:val="20"/>
                <w:szCs w:val="20"/>
                <w:highlight w:val="none"/>
                <w:lang w:bidi="ar"/>
              </w:rPr>
              <w:t>0</w:t>
            </w:r>
          </w:p>
        </w:tc>
        <w:tc>
          <w:tcPr>
            <w:tcW w:w="689"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0</w:t>
            </w:r>
          </w:p>
        </w:tc>
      </w:tr>
    </w:tbl>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rPr>
          <w:rFonts w:asciiTheme="minorEastAsia" w:hAnsiTheme="minorEastAsia" w:eastAsiaTheme="minorEastAsia"/>
        </w:rPr>
      </w:pPr>
    </w:p>
    <w:tbl>
      <w:tblPr>
        <w:tblStyle w:val="10"/>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结果</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其他</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尚未</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heme="minorEastAsia" w:hAnsiTheme="minorEastAsia" w:eastAsiaTheme="minorEastAsia"/>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heme="minorEastAsia" w:hAnsiTheme="minorEastAsia" w:eastAsiaTheme="minorEastAsia"/>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heme="minorEastAsia" w:hAnsiTheme="minorEastAsia" w:eastAsiaTheme="minorEastAsia"/>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heme="minorEastAsia" w:hAnsiTheme="minorEastAsia" w:eastAsiaTheme="minorEastAsia"/>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heme="minorEastAsia" w:hAnsiTheme="minorEastAsia" w:eastAsiaTheme="minorEastAsia"/>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结果</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结果</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其他</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尚未</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结果</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结果</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eastAsiaTheme="minorEastAsia"/>
                <w:color w:val="000000"/>
                <w:kern w:val="0"/>
                <w:sz w:val="20"/>
                <w:szCs w:val="20"/>
              </w:rPr>
              <w:t>其他</w:t>
            </w:r>
          </w:p>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尚未</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12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highlight w:val="none"/>
              </w:rPr>
            </w:pPr>
            <w:r>
              <w:rPr>
                <w:rFonts w:hint="eastAsia" w:cs="黑体" w:asciiTheme="minorEastAsia" w:hAnsiTheme="minorEastAsia" w:eastAsiaTheme="minorEastAsia"/>
                <w:color w:val="000000"/>
                <w:kern w:val="0"/>
                <w:sz w:val="20"/>
                <w:szCs w:val="20"/>
                <w:highlight w:val="none"/>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highlight w:val="none"/>
              </w:rPr>
            </w:pPr>
            <w:r>
              <w:rPr>
                <w:rFonts w:hint="eastAsia" w:cs="黑体" w:asciiTheme="minorEastAsia" w:hAnsiTheme="minorEastAsia" w:eastAsiaTheme="minorEastAsia"/>
                <w:color w:val="000000"/>
                <w:kern w:val="0"/>
                <w:sz w:val="20"/>
                <w:szCs w:val="20"/>
                <w:highlight w:val="none"/>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hint="eastAsia" w:asciiTheme="minorEastAsia" w:hAnsiTheme="minorEastAsia" w:eastAsiaTheme="minorEastAsia"/>
                <w:highlight w:val="none"/>
                <w:lang w:eastAsia="zh-CN"/>
              </w:rPr>
            </w:pPr>
            <w:r>
              <w:rPr>
                <w:rFonts w:hint="eastAsia" w:cs="黑体" w:asciiTheme="minorEastAsia" w:hAnsiTheme="minorEastAsia" w:eastAsiaTheme="minorEastAsia"/>
                <w:color w:val="000000"/>
                <w:kern w:val="0"/>
                <w:sz w:val="20"/>
                <w:szCs w:val="20"/>
                <w:highlight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hint="default" w:asciiTheme="minorEastAsia" w:hAnsiTheme="minorEastAsia" w:eastAsiaTheme="minorEastAsia"/>
                <w:highlight w:val="none"/>
                <w:lang w:val="en-US" w:eastAsia="zh-CN"/>
              </w:rPr>
            </w:pPr>
            <w:r>
              <w:rPr>
                <w:rFonts w:hint="eastAsia" w:asciiTheme="minorEastAsia" w:hAnsiTheme="minorEastAsia"/>
                <w:highlight w:val="none"/>
                <w:lang w:val="en-US" w:eastAsia="zh-CN"/>
              </w:rPr>
              <w:t>12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highlight w:val="none"/>
              </w:rPr>
            </w:pPr>
            <w:r>
              <w:rPr>
                <w:rFonts w:hint="eastAsia" w:cs="黑体" w:asciiTheme="minorEastAsia" w:hAnsiTheme="minorEastAsia" w:eastAsiaTheme="minorEastAsia"/>
                <w:color w:val="000000"/>
                <w:kern w:val="0"/>
                <w:sz w:val="20"/>
                <w:szCs w:val="20"/>
                <w:highlight w:val="none"/>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highlight w:val="none"/>
              </w:rPr>
            </w:pPr>
            <w:r>
              <w:rPr>
                <w:rFonts w:hint="eastAsia" w:cs="黑体" w:asciiTheme="minorEastAsia" w:hAnsiTheme="minorEastAsia" w:eastAsiaTheme="minorEastAsia"/>
                <w:color w:val="000000"/>
                <w:kern w:val="0"/>
                <w:sz w:val="20"/>
                <w:szCs w:val="20"/>
                <w:highlight w:val="none"/>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highlight w:val="none"/>
              </w:rPr>
            </w:pPr>
            <w:r>
              <w:rPr>
                <w:rFonts w:hint="eastAsia" w:cs="黑体" w:asciiTheme="minorEastAsia" w:hAnsiTheme="minorEastAsia" w:eastAsiaTheme="minorEastAsia"/>
                <w:color w:val="000000"/>
                <w:kern w:val="0"/>
                <w:sz w:val="20"/>
                <w:szCs w:val="20"/>
                <w:highlight w:val="none"/>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hint="eastAsia" w:asciiTheme="minorEastAsia" w:hAnsiTheme="minorEastAsia" w:eastAsiaTheme="minorEastAsia"/>
                <w:highlight w:val="none"/>
                <w:lang w:val="en-US" w:eastAsia="zh-CN"/>
              </w:rPr>
            </w:pPr>
            <w:r>
              <w:rPr>
                <w:rFonts w:hint="eastAsia" w:asciiTheme="minorEastAsia" w:hAnsiTheme="minorEastAsia"/>
                <w:highlight w:val="none"/>
                <w:lang w:val="en-US" w:eastAsia="zh-CN"/>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hint="eastAsia" w:asciiTheme="minorEastAsia" w:hAnsiTheme="minorEastAsia" w:eastAsiaTheme="minorEastAsia"/>
                <w:highlight w:val="none"/>
                <w:lang w:val="en-US" w:eastAsia="zh-CN"/>
              </w:rPr>
            </w:pPr>
            <w:r>
              <w:rPr>
                <w:rFonts w:hint="eastAsia" w:asciiTheme="minorEastAsia" w:hAnsiTheme="minorEastAsia"/>
                <w:highlight w:val="none"/>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highlight w:val="none"/>
              </w:rPr>
            </w:pPr>
            <w:r>
              <w:rPr>
                <w:rFonts w:hint="eastAsia" w:cs="黑体" w:asciiTheme="minorEastAsia" w:hAnsiTheme="minorEastAsia" w:eastAsiaTheme="minorEastAsia"/>
                <w:color w:val="000000"/>
                <w:kern w:val="0"/>
                <w:sz w:val="20"/>
                <w:szCs w:val="20"/>
                <w:highlight w:val="none"/>
                <w:lang w:bidi="ar"/>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highlight w:val="none"/>
              </w:rPr>
            </w:pPr>
            <w:r>
              <w:rPr>
                <w:rFonts w:hint="eastAsia" w:cs="黑体" w:asciiTheme="minorEastAsia" w:hAnsiTheme="minorEastAsia" w:eastAsiaTheme="minorEastAsia"/>
                <w:color w:val="000000"/>
                <w:kern w:val="0"/>
                <w:sz w:val="20"/>
                <w:szCs w:val="20"/>
                <w:highlight w:val="none"/>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highlight w:val="none"/>
              </w:rPr>
            </w:pPr>
            <w:r>
              <w:rPr>
                <w:rFonts w:hint="eastAsia" w:cs="黑体" w:asciiTheme="minorEastAsia" w:hAnsiTheme="minorEastAsia" w:eastAsiaTheme="minorEastAsia"/>
                <w:color w:val="000000"/>
                <w:kern w:val="0"/>
                <w:sz w:val="20"/>
                <w:szCs w:val="20"/>
                <w:highlight w:val="none"/>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highlight w:val="none"/>
              </w:rPr>
            </w:pPr>
            <w:r>
              <w:rPr>
                <w:rFonts w:hint="eastAsia" w:cs="黑体" w:asciiTheme="minorEastAsia" w:hAnsiTheme="minorEastAsia" w:eastAsiaTheme="minorEastAsia"/>
                <w:color w:val="000000"/>
                <w:kern w:val="0"/>
                <w:sz w:val="20"/>
                <w:szCs w:val="20"/>
                <w:highlight w:val="none"/>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sz w:val="24"/>
                <w:szCs w:val="24"/>
                <w:highlight w:val="none"/>
              </w:rPr>
            </w:pPr>
            <w:r>
              <w:rPr>
                <w:rFonts w:hint="eastAsia" w:cs="黑体" w:asciiTheme="minorEastAsia" w:hAnsiTheme="minorEastAsia" w:eastAsiaTheme="minorEastAsia"/>
                <w:color w:val="000000"/>
                <w:kern w:val="0"/>
                <w:sz w:val="20"/>
                <w:szCs w:val="20"/>
                <w:highlight w:val="none"/>
                <w:lang w:bidi="ar"/>
              </w:rPr>
              <w:t>1</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五</w:t>
      </w:r>
      <w:r>
        <w:rPr>
          <w:rFonts w:hint="eastAsia" w:ascii="黑体" w:hAnsi="黑体" w:eastAsia="黑体" w:cs="黑体"/>
          <w:sz w:val="32"/>
          <w:szCs w:val="40"/>
        </w:rPr>
        <w:t>、主要问题及改进措施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（一）主动公开方面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val="en-US" w:eastAsia="zh-CN"/>
        </w:rPr>
        <w:t>1.</w:t>
      </w:r>
      <w:r>
        <w:rPr>
          <w:rFonts w:hint="eastAsia" w:ascii="方正仿宋_GB2312" w:hAnsi="方正仿宋_GB2312" w:eastAsia="方正仿宋_GB2312" w:cs="方正仿宋_GB2312"/>
          <w:sz w:val="32"/>
          <w:szCs w:val="40"/>
        </w:rPr>
        <w:t>主要问题：</w:t>
      </w:r>
      <w:r>
        <w:rPr>
          <w:rFonts w:hint="eastAsia" w:ascii="方正仿宋_GB2312" w:hAnsi="方正仿宋_GB2312" w:eastAsia="方正仿宋_GB2312" w:cs="方正仿宋_GB2312"/>
          <w:sz w:val="32"/>
          <w:szCs w:val="40"/>
          <w:lang w:eastAsia="zh-CN"/>
        </w:rPr>
        <w:t>主动公开</w:t>
      </w:r>
      <w:r>
        <w:rPr>
          <w:rFonts w:hint="eastAsia" w:ascii="方正仿宋_GB2312" w:hAnsi="方正仿宋_GB2312" w:eastAsia="方正仿宋_GB2312" w:cs="方正仿宋_GB2312"/>
          <w:sz w:val="32"/>
          <w:szCs w:val="40"/>
        </w:rPr>
        <w:t>信息覆盖面不够广、更新不够及时。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val="en-US" w:eastAsia="zh-CN"/>
        </w:rPr>
        <w:t>2.</w:t>
      </w:r>
      <w:r>
        <w:rPr>
          <w:rFonts w:hint="eastAsia" w:ascii="方正仿宋_GB2312" w:hAnsi="方正仿宋_GB2312" w:eastAsia="方正仿宋_GB2312" w:cs="方正仿宋_GB2312"/>
          <w:sz w:val="32"/>
          <w:szCs w:val="40"/>
        </w:rPr>
        <w:t>改进措施：继续加大主动公开力度，对照《政府信息公开条例》和区政府关于政府信息公开工作的要求，全面梳理业务范围和信息资源，挖掘更多可公开政府信息点。同时，加强内部协调，确保信息能够及时、准确地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（二）依申请公开方面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val="en-US" w:eastAsia="zh-CN"/>
        </w:rPr>
        <w:t>1.</w:t>
      </w:r>
      <w:r>
        <w:rPr>
          <w:rFonts w:hint="eastAsia" w:ascii="方正仿宋_GB2312" w:hAnsi="方正仿宋_GB2312" w:eastAsia="方正仿宋_GB2312" w:cs="方正仿宋_GB2312"/>
          <w:sz w:val="32"/>
          <w:szCs w:val="40"/>
        </w:rPr>
        <w:t>主要问题：</w:t>
      </w:r>
      <w:r>
        <w:rPr>
          <w:rFonts w:hint="eastAsia" w:ascii="方正仿宋_GB2312" w:hAnsi="方正仿宋_GB2312" w:eastAsia="方正仿宋_GB2312" w:cs="方正仿宋_GB2312"/>
          <w:sz w:val="32"/>
          <w:szCs w:val="40"/>
          <w:lang w:eastAsia="zh-CN"/>
        </w:rPr>
        <w:t>存在</w:t>
      </w:r>
      <w:r>
        <w:rPr>
          <w:rFonts w:hint="eastAsia" w:ascii="方正仿宋_GB2312" w:hAnsi="方正仿宋_GB2312" w:eastAsia="方正仿宋_GB2312" w:cs="方正仿宋_GB2312"/>
          <w:sz w:val="32"/>
          <w:szCs w:val="40"/>
        </w:rPr>
        <w:t>信息查找困难、答复不够准确</w:t>
      </w:r>
      <w:r>
        <w:rPr>
          <w:rFonts w:hint="eastAsia" w:ascii="方正仿宋_GB2312" w:hAnsi="方正仿宋_GB2312" w:eastAsia="方正仿宋_GB2312" w:cs="方正仿宋_GB2312"/>
          <w:sz w:val="32"/>
          <w:szCs w:val="40"/>
          <w:lang w:eastAsia="zh-CN"/>
        </w:rPr>
        <w:t>的</w:t>
      </w:r>
      <w:r>
        <w:rPr>
          <w:rFonts w:hint="eastAsia" w:ascii="方正仿宋_GB2312" w:hAnsi="方正仿宋_GB2312" w:eastAsia="方正仿宋_GB2312" w:cs="方正仿宋_GB2312"/>
          <w:sz w:val="32"/>
          <w:szCs w:val="40"/>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val="en-US" w:eastAsia="zh-CN"/>
        </w:rPr>
        <w:t>2.</w:t>
      </w:r>
      <w:r>
        <w:rPr>
          <w:rFonts w:hint="eastAsia" w:ascii="方正仿宋_GB2312" w:hAnsi="方正仿宋_GB2312" w:eastAsia="方正仿宋_GB2312" w:cs="方正仿宋_GB2312"/>
          <w:sz w:val="32"/>
          <w:szCs w:val="40"/>
        </w:rPr>
        <w:t>改进措施：加强对依申请公开工作人员的业务培训，提高</w:t>
      </w:r>
      <w:r>
        <w:rPr>
          <w:rFonts w:hint="eastAsia" w:ascii="方正仿宋_GB2312" w:hAnsi="方正仿宋_GB2312" w:eastAsia="方正仿宋_GB2312" w:cs="方正仿宋_GB2312"/>
          <w:sz w:val="32"/>
          <w:szCs w:val="40"/>
          <w:lang w:eastAsia="zh-CN"/>
        </w:rPr>
        <w:t>工作人员</w:t>
      </w:r>
      <w:r>
        <w:rPr>
          <w:rFonts w:hint="eastAsia" w:ascii="方正仿宋_GB2312" w:hAnsi="方正仿宋_GB2312" w:eastAsia="方正仿宋_GB2312" w:cs="方正仿宋_GB2312"/>
          <w:sz w:val="32"/>
          <w:szCs w:val="40"/>
        </w:rPr>
        <w:t>专业素养和沟通能力。完善内部审查流程，确保答复准确性和合法性。此外，积极</w:t>
      </w:r>
      <w:r>
        <w:rPr>
          <w:rFonts w:hint="eastAsia" w:ascii="方正仿宋_GB2312" w:hAnsi="方正仿宋_GB2312" w:eastAsia="方正仿宋_GB2312" w:cs="方正仿宋_GB2312"/>
          <w:sz w:val="32"/>
          <w:szCs w:val="40"/>
          <w:lang w:val="en-US" w:eastAsia="zh-CN"/>
        </w:rPr>
        <w:t>与申请人沟通，从解决申请人实际问题角度，</w:t>
      </w:r>
      <w:r>
        <w:rPr>
          <w:rFonts w:hint="eastAsia" w:ascii="方正仿宋_GB2312" w:hAnsi="方正仿宋_GB2312" w:eastAsia="方正仿宋_GB2312" w:cs="方正仿宋_GB2312"/>
          <w:sz w:val="32"/>
          <w:szCs w:val="40"/>
        </w:rPr>
        <w:t>提高信息查找和处理的</w:t>
      </w:r>
      <w:r>
        <w:rPr>
          <w:rFonts w:hint="eastAsia" w:ascii="方正仿宋_GB2312" w:hAnsi="方正仿宋_GB2312" w:eastAsia="方正仿宋_GB2312" w:cs="方正仿宋_GB2312"/>
          <w:sz w:val="32"/>
          <w:szCs w:val="40"/>
          <w:lang w:val="en-US" w:eastAsia="zh-CN"/>
        </w:rPr>
        <w:t>质量</w:t>
      </w:r>
      <w:r>
        <w:rPr>
          <w:rFonts w:hint="eastAsia" w:ascii="方正仿宋_GB2312" w:hAnsi="方正仿宋_GB2312" w:eastAsia="方正仿宋_GB2312" w:cs="方正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（三）平台建设方面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val="en-US" w:eastAsia="zh-CN"/>
        </w:rPr>
        <w:t>1.</w:t>
      </w:r>
      <w:r>
        <w:rPr>
          <w:rFonts w:hint="eastAsia" w:ascii="方正仿宋_GB2312" w:hAnsi="方正仿宋_GB2312" w:eastAsia="方正仿宋_GB2312" w:cs="方正仿宋_GB2312"/>
          <w:sz w:val="32"/>
          <w:szCs w:val="40"/>
        </w:rPr>
        <w:t>主要问题：政府信息公开专栏和新媒体平台仍存在功能不够完善、用户体验不够友好等问题。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val="en-US" w:eastAsia="zh-CN"/>
        </w:rPr>
        <w:t>2.</w:t>
      </w:r>
      <w:r>
        <w:rPr>
          <w:rFonts w:hint="eastAsia" w:ascii="方正仿宋_GB2312" w:hAnsi="方正仿宋_GB2312" w:eastAsia="方正仿宋_GB2312" w:cs="方正仿宋_GB2312"/>
          <w:sz w:val="32"/>
          <w:szCs w:val="40"/>
        </w:rPr>
        <w:t>改进措施：继续优化政府信息公开专栏和新媒体平台的功能和界面设计，提高用户体验。同时，加强与其他部门的合作与交流，学习借鉴先进经验和做法，不断提升平台建设水平。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六</w:t>
      </w:r>
      <w:r>
        <w:rPr>
          <w:rFonts w:hint="eastAsia" w:ascii="黑体" w:hAnsi="黑体" w:eastAsia="黑体" w:cs="黑体"/>
          <w:sz w:val="32"/>
          <w:szCs w:val="40"/>
        </w:rPr>
        <w:t>、其他需要报告的事项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2024年度我局未产生政府信息公开信息处理费。如需了解更多政府信息，请登录北京市西城区人民政府门户网站（https://www.bjxch.gov.cn/）进行查询。</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40"/>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2F56A"/>
    <w:multiLevelType w:val="singleLevel"/>
    <w:tmpl w:val="F7F2F5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602B9"/>
    <w:rsid w:val="3AC8700D"/>
    <w:rsid w:val="70C602B9"/>
    <w:rsid w:val="73FD676B"/>
    <w:rsid w:val="7CFF1804"/>
    <w:rsid w:val="7FD55E12"/>
    <w:rsid w:val="CDCF0DB8"/>
    <w:rsid w:val="D7E3A834"/>
    <w:rsid w:val="E6FF61A1"/>
    <w:rsid w:val="F6EE4522"/>
    <w:rsid w:val="FD6F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next w:val="4"/>
    <w:qFormat/>
    <w:uiPriority w:val="0"/>
    <w:pPr>
      <w:jc w:val="center"/>
    </w:pPr>
    <w:rPr>
      <w:rFonts w:ascii="方正小标宋_GBK" w:hAnsi="Times New Roman" w:eastAsia="方正小标宋_GBK" w:cs="Times New Roman"/>
      <w:b/>
      <w:bCs/>
      <w:snapToGrid/>
      <w:kern w:val="2"/>
      <w:sz w:val="36"/>
      <w:szCs w:val="24"/>
    </w:rPr>
  </w:style>
  <w:style w:type="paragraph" w:styleId="4">
    <w:name w:val="Body Text 2"/>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after="120" w:afterLines="0" w:afterAutospacing="0" w:line="480" w:lineRule="auto"/>
      <w:jc w:val="both"/>
    </w:pPr>
    <w:rPr>
      <w:rFonts w:ascii="Times New Roman" w:hAnsi="Times New Roman" w:eastAsia="仿宋_GB2312" w:cs="Times New Roman"/>
      <w:kern w:val="2"/>
      <w:sz w:val="32"/>
      <w:szCs w:val="24"/>
      <w:lang w:val="en-US" w:eastAsia="zh-CN" w:bidi="ar-SA"/>
    </w:rPr>
  </w:style>
  <w:style w:type="paragraph" w:styleId="5">
    <w:name w:val="footer"/>
    <w:basedOn w:val="1"/>
    <w:next w:val="6"/>
    <w:qFormat/>
    <w:uiPriority w:val="0"/>
    <w:pPr>
      <w:tabs>
        <w:tab w:val="center" w:pos="4153"/>
        <w:tab w:val="right" w:pos="8306"/>
      </w:tabs>
      <w:snapToGrid w:val="0"/>
      <w:jc w:val="left"/>
    </w:pPr>
    <w:rPr>
      <w:sz w:val="18"/>
    </w:rPr>
  </w:style>
  <w:style w:type="paragraph" w:styleId="6">
    <w:name w:val="index 9"/>
    <w:basedOn w:val="1"/>
    <w:next w:val="1"/>
    <w:qFormat/>
    <w:uiPriority w:val="0"/>
    <w:pPr>
      <w:ind w:left="336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3"/>
    <w:qFormat/>
    <w:uiPriority w:val="0"/>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Lines="0" w:afterAutospacing="0"/>
      <w:ind w:left="0" w:right="0" w:firstLine="420" w:firstLineChars="100"/>
      <w:jc w:val="both"/>
    </w:pPr>
    <w:rPr>
      <w:rFonts w:hint="default" w:ascii="Times New Roman" w:hAnsi="Times New Roman" w:eastAsia="仿宋_GB2312" w:cs="Times New Roman"/>
      <w:kern w:val="2"/>
      <w:sz w:val="17"/>
      <w:szCs w:val="17"/>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2025-01-15T04:54:00Z</dcterms:created>
  <dc:creator>郭恩江</dc:creator>
  <cp:lastModifiedBy>huawei</cp:lastModifiedBy>
  <cp:lastPrinted>2025-01-16T13:26:00Z</cp:lastPrinted>
  <dcterms:modified xsi:type="dcterms:W3CDTF">2025-01-16T10:10:02Z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9E5B558960D1CC7F6BB28767AD991A62</vt:lpwstr>
  </property>
  <property fmtid="{D5CDD505-2E9C-101B-9397-08002B2CF9AE}" pid="4" name="KSOTemplateDocerSaveRecord">
    <vt:lpwstr>eyJoZGlkIjoiZGRmMTgwYjI5NzU2NDUxODgxNGU2ZTVjOTQ1NjQ5ZjAiLCJ1c2VySWQiOiI0NjY5MDI1NDMifQ==</vt:lpwstr>
  </property>
</Properties>
</file>