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9E25">
      <w:pPr>
        <w:jc w:val="center"/>
        <w:rPr>
          <w:rFonts w:hint="eastAsia" w:ascii="宋体" w:hAnsi="宋体"/>
          <w:sz w:val="44"/>
          <w:szCs w:val="44"/>
        </w:rPr>
      </w:pPr>
      <w:r>
        <w:rPr>
          <w:rFonts w:hint="eastAsia" w:ascii="宋体" w:hAnsi="宋体"/>
          <w:sz w:val="44"/>
          <w:szCs w:val="44"/>
        </w:rPr>
        <w:t>北京市西城区审计局</w:t>
      </w:r>
    </w:p>
    <w:p w14:paraId="5AFE99A0">
      <w:pPr>
        <w:jc w:val="center"/>
        <w:rPr>
          <w:rFonts w:hint="eastAsia" w:ascii="宋体" w:hAnsi="宋体"/>
          <w:sz w:val="44"/>
          <w:szCs w:val="44"/>
        </w:rPr>
      </w:pPr>
      <w:r>
        <w:rPr>
          <w:rFonts w:hint="eastAsia" w:ascii="宋体" w:hAnsi="宋体"/>
          <w:sz w:val="44"/>
          <w:szCs w:val="44"/>
        </w:rPr>
        <w:t>20</w:t>
      </w:r>
      <w:r>
        <w:rPr>
          <w:rFonts w:hint="eastAsia" w:ascii="宋体" w:hAnsi="宋体"/>
          <w:sz w:val="44"/>
          <w:szCs w:val="44"/>
          <w:lang w:val="en-US" w:eastAsia="zh-CN"/>
        </w:rPr>
        <w:t>25</w:t>
      </w:r>
      <w:r>
        <w:rPr>
          <w:rFonts w:hint="eastAsia" w:ascii="宋体" w:hAnsi="宋体"/>
          <w:sz w:val="44"/>
          <w:szCs w:val="44"/>
        </w:rPr>
        <w:t>年部门预算公开目录</w:t>
      </w:r>
    </w:p>
    <w:p w14:paraId="6053A65F">
      <w:pPr>
        <w:rPr>
          <w:rFonts w:hint="eastAsia" w:ascii="宋体" w:hAnsi="宋体"/>
          <w:sz w:val="44"/>
          <w:szCs w:val="44"/>
        </w:rPr>
      </w:pPr>
    </w:p>
    <w:p w14:paraId="0E582C5C">
      <w:pPr>
        <w:spacing w:line="560" w:lineRule="exact"/>
        <w:ind w:firstLine="321" w:firstLineChars="10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第一部分、20</w:t>
      </w:r>
      <w:r>
        <w:rPr>
          <w:rFonts w:hint="eastAsia" w:ascii="仿宋_GB2312" w:hAnsi="Times New Roman" w:eastAsia="仿宋_GB2312" w:cs="Times New Roman"/>
          <w:b/>
          <w:color w:val="000000"/>
          <w:sz w:val="32"/>
          <w:szCs w:val="32"/>
          <w:lang w:val="en-US" w:eastAsia="zh-CN"/>
        </w:rPr>
        <w:t>2</w:t>
      </w:r>
      <w:r>
        <w:rPr>
          <w:rFonts w:hint="eastAsia" w:ascii="仿宋_GB2312" w:eastAsia="仿宋_GB2312" w:cs="Times New Roman"/>
          <w:b/>
          <w:color w:val="000000"/>
          <w:sz w:val="32"/>
          <w:szCs w:val="32"/>
          <w:lang w:val="en-US" w:eastAsia="zh-CN"/>
        </w:rPr>
        <w:t>5</w:t>
      </w:r>
      <w:r>
        <w:rPr>
          <w:rFonts w:hint="eastAsia" w:ascii="仿宋_GB2312" w:hAnsi="Times New Roman" w:eastAsia="仿宋_GB2312" w:cs="Times New Roman"/>
          <w:b/>
          <w:color w:val="000000"/>
          <w:sz w:val="32"/>
          <w:szCs w:val="32"/>
        </w:rPr>
        <w:t>年度部门预算情况说明</w:t>
      </w:r>
    </w:p>
    <w:p w14:paraId="3ACA3198">
      <w:pPr>
        <w:spacing w:line="560" w:lineRule="exact"/>
        <w:ind w:firstLine="643" w:firstLineChars="200"/>
        <w:rPr>
          <w:rFonts w:hint="eastAsia" w:ascii="仿宋_GB2312" w:hAnsi="Times New Roman" w:eastAsia="仿宋_GB2312" w:cs="Times New Roman"/>
          <w:b/>
          <w:color w:val="000000"/>
          <w:sz w:val="32"/>
          <w:szCs w:val="32"/>
          <w:lang w:eastAsia="zh-CN"/>
        </w:rPr>
      </w:pPr>
      <w:r>
        <w:rPr>
          <w:rFonts w:hint="eastAsia" w:ascii="仿宋_GB2312" w:hAnsi="Times New Roman" w:eastAsia="仿宋_GB2312" w:cs="Times New Roman"/>
          <w:b/>
          <w:color w:val="000000"/>
          <w:sz w:val="32"/>
          <w:szCs w:val="32"/>
        </w:rPr>
        <w:t>一、部门主要职责及机构设置情况</w:t>
      </w:r>
    </w:p>
    <w:p w14:paraId="21C7C3F7">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color w:val="000000"/>
          <w:sz w:val="32"/>
          <w:szCs w:val="32"/>
        </w:rPr>
        <w:t>（一）</w:t>
      </w:r>
      <w:r>
        <w:rPr>
          <w:rFonts w:hint="eastAsia" w:ascii="仿宋_GB2312" w:eastAsia="仿宋_GB2312"/>
          <w:sz w:val="32"/>
          <w:szCs w:val="32"/>
          <w:highlight w:val="none"/>
        </w:rPr>
        <w:t>部门机构设置</w:t>
      </w:r>
      <w:r>
        <w:rPr>
          <w:rFonts w:hint="eastAsia" w:ascii="仿宋_GB2312" w:eastAsia="仿宋_GB2312"/>
          <w:sz w:val="32"/>
          <w:szCs w:val="32"/>
          <w:highlight w:val="none"/>
          <w:lang w:eastAsia="zh-CN"/>
        </w:rPr>
        <w:t>及人员构成</w:t>
      </w:r>
    </w:p>
    <w:p w14:paraId="65D93631">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hint="eastAsia" w:ascii="仿宋_GB2312" w:eastAsia="仿宋_GB2312"/>
          <w:sz w:val="32"/>
          <w:szCs w:val="32"/>
          <w:highlight w:val="none"/>
        </w:rPr>
        <w:t>主要职责</w:t>
      </w:r>
    </w:p>
    <w:p w14:paraId="6C4A09D2">
      <w:pPr>
        <w:spacing w:line="560" w:lineRule="exact"/>
        <w:ind w:firstLine="643" w:firstLineChars="200"/>
        <w:rPr>
          <w:rFonts w:hint="eastAsia" w:ascii="仿宋_GB2312" w:hAnsi="Times New Roman" w:eastAsia="仿宋_GB2312" w:cs="Times New Roman"/>
          <w:b/>
          <w:color w:val="000000"/>
          <w:sz w:val="32"/>
          <w:szCs w:val="32"/>
          <w:lang w:eastAsia="zh-CN"/>
        </w:rPr>
      </w:pPr>
      <w:r>
        <w:rPr>
          <w:rFonts w:hint="eastAsia" w:ascii="仿宋_GB2312" w:hAnsi="Times New Roman" w:eastAsia="仿宋_GB2312" w:cs="Times New Roman"/>
          <w:b/>
          <w:color w:val="000000"/>
          <w:sz w:val="32"/>
          <w:szCs w:val="32"/>
        </w:rPr>
        <w:t>二、20</w:t>
      </w:r>
      <w:r>
        <w:rPr>
          <w:rFonts w:hint="eastAsia" w:ascii="仿宋_GB2312" w:hAnsi="Times New Roman" w:eastAsia="仿宋_GB2312" w:cs="Times New Roman"/>
          <w:b/>
          <w:color w:val="000000"/>
          <w:sz w:val="32"/>
          <w:szCs w:val="32"/>
          <w:lang w:val="en-US" w:eastAsia="zh-CN"/>
        </w:rPr>
        <w:t>2</w:t>
      </w:r>
      <w:r>
        <w:rPr>
          <w:rFonts w:hint="eastAsia" w:ascii="仿宋_GB2312" w:eastAsia="仿宋_GB2312" w:cs="Times New Roman"/>
          <w:b/>
          <w:color w:val="000000"/>
          <w:sz w:val="32"/>
          <w:szCs w:val="32"/>
          <w:lang w:val="en-US" w:eastAsia="zh-CN"/>
        </w:rPr>
        <w:t>5</w:t>
      </w:r>
      <w:r>
        <w:rPr>
          <w:rFonts w:hint="eastAsia" w:ascii="仿宋_GB2312" w:hAnsi="Times New Roman" w:eastAsia="仿宋_GB2312" w:cs="Times New Roman"/>
          <w:b/>
          <w:color w:val="000000"/>
          <w:sz w:val="32"/>
          <w:szCs w:val="32"/>
        </w:rPr>
        <w:t>年</w:t>
      </w:r>
      <w:r>
        <w:rPr>
          <w:rFonts w:hint="eastAsia" w:ascii="仿宋_GB2312" w:eastAsia="仿宋_GB2312" w:cs="Times New Roman"/>
          <w:b/>
          <w:color w:val="000000"/>
          <w:sz w:val="32"/>
          <w:szCs w:val="32"/>
          <w:lang w:eastAsia="zh-CN"/>
        </w:rPr>
        <w:t>度</w:t>
      </w:r>
      <w:r>
        <w:rPr>
          <w:rFonts w:hint="eastAsia" w:ascii="仿宋_GB2312" w:hAnsi="Times New Roman" w:eastAsia="仿宋_GB2312" w:cs="Times New Roman"/>
          <w:b/>
          <w:color w:val="000000"/>
          <w:sz w:val="32"/>
          <w:szCs w:val="32"/>
          <w:lang w:eastAsia="zh-CN"/>
        </w:rPr>
        <w:t>部门预算收支及增减变化</w:t>
      </w:r>
      <w:r>
        <w:rPr>
          <w:rFonts w:hint="eastAsia" w:ascii="仿宋_GB2312" w:hAnsi="Times New Roman" w:eastAsia="仿宋_GB2312" w:cs="Times New Roman"/>
          <w:b/>
          <w:color w:val="000000"/>
          <w:sz w:val="32"/>
          <w:szCs w:val="32"/>
        </w:rPr>
        <w:t>情况</w:t>
      </w:r>
      <w:r>
        <w:rPr>
          <w:rFonts w:hint="eastAsia" w:ascii="仿宋_GB2312" w:hAnsi="Times New Roman" w:eastAsia="仿宋_GB2312" w:cs="Times New Roman"/>
          <w:b/>
          <w:color w:val="000000"/>
          <w:sz w:val="32"/>
          <w:szCs w:val="32"/>
          <w:lang w:eastAsia="zh-CN"/>
        </w:rPr>
        <w:t>说明</w:t>
      </w:r>
    </w:p>
    <w:p w14:paraId="78E39E50">
      <w:pPr>
        <w:spacing w:line="56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lang w:eastAsia="zh-CN"/>
        </w:rPr>
        <w:t>（一）</w:t>
      </w:r>
      <w:r>
        <w:rPr>
          <w:rFonts w:hint="eastAsia" w:ascii="华文仿宋" w:hAnsi="华文仿宋" w:eastAsia="华文仿宋"/>
          <w:sz w:val="32"/>
          <w:szCs w:val="32"/>
        </w:rPr>
        <w:t>收入预算说明</w:t>
      </w:r>
    </w:p>
    <w:p w14:paraId="42080BA3">
      <w:pPr>
        <w:spacing w:line="560" w:lineRule="exact"/>
        <w:ind w:firstLine="640" w:firstLineChars="200"/>
        <w:rPr>
          <w:rFonts w:hint="eastAsia" w:ascii="华文仿宋" w:hAnsi="华文仿宋" w:eastAsia="华文仿宋"/>
          <w:sz w:val="32"/>
          <w:szCs w:val="32"/>
          <w:lang w:eastAsia="zh-CN"/>
        </w:rPr>
      </w:pPr>
      <w:r>
        <w:rPr>
          <w:rFonts w:hint="eastAsia" w:ascii="华文仿宋" w:hAnsi="华文仿宋" w:eastAsia="华文仿宋"/>
          <w:sz w:val="32"/>
          <w:szCs w:val="32"/>
          <w:lang w:eastAsia="zh-CN"/>
        </w:rPr>
        <w:t>（二）支出预算说明</w:t>
      </w:r>
    </w:p>
    <w:p w14:paraId="4573E2CB">
      <w:pPr>
        <w:spacing w:line="560" w:lineRule="exact"/>
        <w:ind w:firstLine="643" w:firstLineChars="20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三、主要支出情况</w:t>
      </w:r>
    </w:p>
    <w:p w14:paraId="05E45EE0">
      <w:pPr>
        <w:spacing w:line="560" w:lineRule="exact"/>
        <w:ind w:firstLine="643" w:firstLineChars="20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四、部门“三公”经费财政拨款预算说明</w:t>
      </w:r>
    </w:p>
    <w:p w14:paraId="059D63A1">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hint="eastAsia" w:ascii="仿宋_GB2312" w:eastAsia="仿宋_GB2312"/>
          <w:color w:val="000000"/>
          <w:sz w:val="32"/>
          <w:szCs w:val="32"/>
          <w:lang w:eastAsia="zh-CN"/>
        </w:rPr>
        <w:t>的单位</w:t>
      </w:r>
      <w:r>
        <w:rPr>
          <w:rFonts w:hint="eastAsia" w:ascii="仿宋_GB2312" w:eastAsia="仿宋_GB2312"/>
          <w:color w:val="000000"/>
          <w:sz w:val="32"/>
          <w:szCs w:val="32"/>
        </w:rPr>
        <w:t>范围</w:t>
      </w:r>
    </w:p>
    <w:p w14:paraId="6758A878">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14:paraId="257CF08E">
      <w:pPr>
        <w:spacing w:line="560" w:lineRule="exact"/>
        <w:ind w:firstLine="643" w:firstLineChars="20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五、其他情况说明</w:t>
      </w:r>
    </w:p>
    <w:p w14:paraId="27C8AEB8">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w:t>
      </w:r>
      <w:r>
        <w:rPr>
          <w:rFonts w:hint="eastAsia" w:ascii="仿宋_GB2312" w:eastAsia="仿宋_GB2312"/>
          <w:color w:val="000000"/>
          <w:sz w:val="32"/>
          <w:szCs w:val="32"/>
          <w:lang w:eastAsia="zh-CN"/>
        </w:rPr>
        <w:t>构</w:t>
      </w:r>
      <w:r>
        <w:rPr>
          <w:rFonts w:hint="eastAsia" w:ascii="仿宋_GB2312" w:eastAsia="仿宋_GB2312"/>
          <w:color w:val="000000"/>
          <w:sz w:val="32"/>
          <w:szCs w:val="32"/>
        </w:rPr>
        <w:t>运行经费</w:t>
      </w:r>
      <w:r>
        <w:rPr>
          <w:rFonts w:ascii="仿宋_GB2312" w:eastAsia="仿宋_GB2312"/>
          <w:color w:val="000000"/>
          <w:sz w:val="32"/>
          <w:szCs w:val="32"/>
        </w:rPr>
        <w:t>说明</w:t>
      </w:r>
    </w:p>
    <w:p w14:paraId="53634D79">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14:paraId="7514D004">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14:paraId="6DB6A237">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lang w:eastAsia="zh-CN"/>
        </w:rPr>
        <w:t>及</w:t>
      </w:r>
      <w:r>
        <w:rPr>
          <w:rFonts w:ascii="仿宋_GB2312" w:eastAsia="仿宋_GB2312"/>
          <w:color w:val="000000"/>
          <w:sz w:val="32"/>
          <w:szCs w:val="32"/>
        </w:rPr>
        <w:t>绩效</w:t>
      </w:r>
      <w:r>
        <w:rPr>
          <w:rFonts w:hint="eastAsia" w:ascii="仿宋_GB2312" w:eastAsia="仿宋_GB2312"/>
          <w:color w:val="000000"/>
          <w:sz w:val="32"/>
          <w:szCs w:val="32"/>
          <w:lang w:eastAsia="zh-CN"/>
        </w:rPr>
        <w:t>评价结果</w:t>
      </w:r>
      <w:r>
        <w:rPr>
          <w:rFonts w:ascii="仿宋_GB2312" w:eastAsia="仿宋_GB2312"/>
          <w:color w:val="000000"/>
          <w:sz w:val="32"/>
          <w:szCs w:val="32"/>
        </w:rPr>
        <w:t>说明</w:t>
      </w:r>
    </w:p>
    <w:p w14:paraId="17027D9A">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五</w:t>
      </w:r>
      <w:r>
        <w:rPr>
          <w:rFonts w:hint="eastAsia" w:ascii="仿宋_GB2312" w:eastAsia="仿宋_GB2312"/>
          <w:color w:val="000000"/>
          <w:sz w:val="32"/>
          <w:szCs w:val="32"/>
        </w:rPr>
        <w:t>）国有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14:paraId="462730F0">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）国有资产</w:t>
      </w:r>
      <w:r>
        <w:rPr>
          <w:rFonts w:ascii="仿宋_GB2312" w:eastAsia="仿宋_GB2312"/>
          <w:sz w:val="32"/>
          <w:szCs w:val="32"/>
        </w:rPr>
        <w:t>占用情况说明</w:t>
      </w:r>
    </w:p>
    <w:p w14:paraId="756C692B">
      <w:pPr>
        <w:spacing w:line="560" w:lineRule="exact"/>
        <w:ind w:firstLine="643" w:firstLineChars="20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六、名称解释</w:t>
      </w:r>
    </w:p>
    <w:p w14:paraId="6B458F42">
      <w:pPr>
        <w:spacing w:line="560" w:lineRule="exact"/>
        <w:ind w:firstLine="643" w:firstLineChars="200"/>
        <w:rPr>
          <w:rFonts w:hint="eastAsia" w:ascii="仿宋_GB2312" w:hAnsi="Times New Roman" w:eastAsia="仿宋_GB2312" w:cs="Times New Roman"/>
          <w:b/>
          <w:color w:val="000000"/>
          <w:sz w:val="32"/>
          <w:szCs w:val="32"/>
          <w:lang w:eastAsia="zh-CN"/>
        </w:rPr>
      </w:pPr>
      <w:r>
        <w:rPr>
          <w:rFonts w:hint="eastAsia" w:ascii="仿宋_GB2312" w:hAnsi="Times New Roman" w:eastAsia="仿宋_GB2312" w:cs="Times New Roman"/>
          <w:b/>
          <w:color w:val="000000"/>
          <w:sz w:val="32"/>
          <w:szCs w:val="32"/>
          <w:lang w:eastAsia="zh-CN"/>
        </w:rPr>
        <w:t>七、其他</w:t>
      </w:r>
    </w:p>
    <w:p w14:paraId="13EA48F1">
      <w:pPr>
        <w:spacing w:line="560" w:lineRule="exact"/>
        <w:ind w:firstLine="320" w:firstLineChars="100"/>
        <w:rPr>
          <w:rFonts w:hint="eastAsia" w:ascii="仿宋_GB2312" w:eastAsia="仿宋_GB2312"/>
          <w:color w:val="000000"/>
          <w:sz w:val="32"/>
          <w:szCs w:val="32"/>
        </w:rPr>
      </w:pPr>
    </w:p>
    <w:p w14:paraId="6BC0F244">
      <w:pPr>
        <w:spacing w:line="560" w:lineRule="exact"/>
        <w:ind w:firstLine="321" w:firstLineChars="100"/>
        <w:rPr>
          <w:rFonts w:hint="eastAsia" w:ascii="仿宋_GB2312" w:hAnsi="Times New Roman" w:eastAsia="仿宋_GB2312" w:cs="Times New Roman"/>
          <w:b/>
          <w:color w:val="000000"/>
          <w:sz w:val="32"/>
          <w:szCs w:val="32"/>
          <w:lang w:val="en-US" w:eastAsia="zh-CN"/>
        </w:rPr>
      </w:pPr>
      <w:r>
        <w:rPr>
          <w:rFonts w:hint="eastAsia" w:ascii="仿宋_GB2312" w:hAnsi="Times New Roman" w:eastAsia="仿宋_GB2312" w:cs="Times New Roman"/>
          <w:b/>
          <w:color w:val="000000"/>
          <w:sz w:val="32"/>
          <w:szCs w:val="32"/>
          <w:lang w:val="en-US" w:eastAsia="zh-CN"/>
        </w:rPr>
        <w:t>第二部分、202</w:t>
      </w:r>
      <w:r>
        <w:rPr>
          <w:rFonts w:hint="eastAsia" w:ascii="仿宋_GB2312" w:eastAsia="仿宋_GB2312" w:cs="Times New Roman"/>
          <w:b/>
          <w:color w:val="000000"/>
          <w:sz w:val="32"/>
          <w:szCs w:val="32"/>
          <w:lang w:val="en-US" w:eastAsia="zh-CN"/>
        </w:rPr>
        <w:t>5</w:t>
      </w:r>
      <w:r>
        <w:rPr>
          <w:rFonts w:hint="eastAsia" w:ascii="仿宋_GB2312" w:hAnsi="Times New Roman" w:eastAsia="仿宋_GB2312" w:cs="Times New Roman"/>
          <w:b/>
          <w:color w:val="000000"/>
          <w:sz w:val="32"/>
          <w:szCs w:val="32"/>
          <w:lang w:val="en-US" w:eastAsia="zh-CN"/>
        </w:rPr>
        <w:t>年度部门预算报表</w:t>
      </w:r>
    </w:p>
    <w:p w14:paraId="6883F71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表一、部门收支总体情况表</w:t>
      </w:r>
    </w:p>
    <w:p w14:paraId="66FC62C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表二、部门收入总体情况表</w:t>
      </w:r>
    </w:p>
    <w:p w14:paraId="12EE95F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表三、部门支出</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593740A8">
      <w:pPr>
        <w:tabs>
          <w:tab w:val="left" w:pos="2880"/>
        </w:tabs>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表四、项目支出表</w:t>
      </w:r>
    </w:p>
    <w:p w14:paraId="18B26CA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表五、财政拨款收支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54A8698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表六、一般公共预算财政拨款支出表</w:t>
      </w:r>
    </w:p>
    <w:p w14:paraId="174B67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表七、一般公共预算财政拨款基本支出表</w:t>
      </w:r>
    </w:p>
    <w:p w14:paraId="4726638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表八、政府性基金预算财政拨款支出表</w:t>
      </w:r>
    </w:p>
    <w:p w14:paraId="29BCF1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表九、国有资本经营预算财政拨款支出表</w:t>
      </w:r>
    </w:p>
    <w:p w14:paraId="3763ACD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表十、一般公共预算“三公”经费支出情况表</w:t>
      </w:r>
    </w:p>
    <w:p w14:paraId="1CCD4903">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表十一、</w:t>
      </w:r>
      <w:r>
        <w:rPr>
          <w:rFonts w:hint="eastAsia" w:ascii="仿宋_GB2312" w:hAnsi="仿宋_GB2312" w:eastAsia="仿宋_GB2312" w:cs="仿宋_GB2312"/>
          <w:sz w:val="32"/>
          <w:szCs w:val="32"/>
          <w:lang w:val="en-US" w:eastAsia="zh-CN"/>
        </w:rPr>
        <w:t>政府购买服务预算表</w:t>
      </w:r>
    </w:p>
    <w:p w14:paraId="7FFD979A">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表十二、</w:t>
      </w:r>
      <w:r>
        <w:rPr>
          <w:rFonts w:hint="eastAsia" w:ascii="仿宋_GB2312" w:hAnsi="仿宋_GB2312" w:eastAsia="仿宋_GB2312" w:cs="仿宋_GB2312"/>
          <w:sz w:val="32"/>
          <w:szCs w:val="32"/>
        </w:rPr>
        <w:t>上级转移支付细化明细表</w:t>
      </w:r>
    </w:p>
    <w:p w14:paraId="4C05E459">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、项目支出绩效表</w:t>
      </w:r>
    </w:p>
    <w:p w14:paraId="19027323">
      <w:pPr>
        <w:ind w:firstLine="6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表十四、部门整体支出绩效目标申报表</w:t>
      </w:r>
    </w:p>
    <w:p w14:paraId="21592157">
      <w:pPr>
        <w:spacing w:line="560" w:lineRule="exact"/>
        <w:rPr>
          <w:rFonts w:ascii="仿宋_GB2312" w:eastAsia="仿宋_GB2312"/>
          <w:b/>
          <w:color w:val="000000"/>
          <w:sz w:val="32"/>
          <w:szCs w:val="32"/>
        </w:rPr>
      </w:pPr>
    </w:p>
    <w:p w14:paraId="47C596CB">
      <w:pPr>
        <w:spacing w:line="560" w:lineRule="exact"/>
        <w:rPr>
          <w:rFonts w:ascii="仿宋_GB2312" w:eastAsia="仿宋_GB2312"/>
          <w:b/>
          <w:color w:val="000000"/>
          <w:sz w:val="32"/>
          <w:szCs w:val="32"/>
        </w:rPr>
      </w:pPr>
    </w:p>
    <w:p w14:paraId="41694250">
      <w:pPr>
        <w:spacing w:line="560" w:lineRule="exact"/>
        <w:rPr>
          <w:rFonts w:ascii="仿宋_GB2312" w:eastAsia="仿宋_GB2312"/>
          <w:b/>
          <w:color w:val="000000"/>
          <w:sz w:val="32"/>
          <w:szCs w:val="32"/>
        </w:rPr>
      </w:pPr>
    </w:p>
    <w:p w14:paraId="6F3472A0">
      <w:pPr>
        <w:spacing w:line="560" w:lineRule="exact"/>
        <w:rPr>
          <w:rFonts w:ascii="仿宋_GB2312" w:eastAsia="仿宋_GB2312"/>
          <w:b/>
          <w:color w:val="000000"/>
          <w:sz w:val="32"/>
          <w:szCs w:val="32"/>
        </w:rPr>
      </w:pPr>
    </w:p>
    <w:p w14:paraId="79A2D68D">
      <w:pPr>
        <w:spacing w:line="560" w:lineRule="exact"/>
        <w:rPr>
          <w:rFonts w:ascii="仿宋_GB2312" w:eastAsia="仿宋_GB2312"/>
          <w:b/>
          <w:color w:val="000000"/>
          <w:sz w:val="32"/>
          <w:szCs w:val="32"/>
        </w:rPr>
      </w:pPr>
    </w:p>
    <w:p w14:paraId="4748A2D9">
      <w:pPr>
        <w:spacing w:line="560" w:lineRule="exact"/>
        <w:rPr>
          <w:rFonts w:ascii="仿宋_GB2312" w:eastAsia="仿宋_GB2312"/>
          <w:b/>
          <w:color w:val="000000"/>
          <w:sz w:val="32"/>
          <w:szCs w:val="32"/>
        </w:rPr>
      </w:pPr>
    </w:p>
    <w:p w14:paraId="73676FF2">
      <w:pPr>
        <w:spacing w:line="560" w:lineRule="exact"/>
        <w:rPr>
          <w:rFonts w:ascii="仿宋_GB2312" w:eastAsia="仿宋_GB2312"/>
          <w:b/>
          <w:color w:val="000000"/>
          <w:sz w:val="32"/>
          <w:szCs w:val="32"/>
        </w:rPr>
      </w:pPr>
    </w:p>
    <w:p w14:paraId="61294125">
      <w:pPr>
        <w:spacing w:line="560" w:lineRule="exact"/>
        <w:rPr>
          <w:rFonts w:ascii="仿宋_GB2312" w:eastAsia="仿宋_GB2312"/>
          <w:b/>
          <w:color w:val="000000"/>
          <w:sz w:val="32"/>
          <w:szCs w:val="32"/>
        </w:rPr>
      </w:pPr>
    </w:p>
    <w:p w14:paraId="4ECF1DBD">
      <w:pPr>
        <w:spacing w:line="560" w:lineRule="exact"/>
        <w:jc w:val="center"/>
        <w:rPr>
          <w:rFonts w:hint="eastAsia" w:ascii="方正小标宋简体" w:eastAsia="方正小标宋简体"/>
          <w:b w:val="0"/>
          <w:bCs/>
          <w:sz w:val="44"/>
          <w:szCs w:val="44"/>
          <w:highlight w:val="none"/>
          <w:u w:val="none"/>
          <w:lang w:val="en-US" w:eastAsia="zh-CN"/>
        </w:rPr>
      </w:pPr>
      <w:r>
        <w:rPr>
          <w:rFonts w:hint="eastAsia" w:ascii="方正小标宋简体" w:eastAsia="方正小标宋简体"/>
          <w:b w:val="0"/>
          <w:bCs/>
          <w:sz w:val="44"/>
          <w:szCs w:val="44"/>
          <w:highlight w:val="none"/>
          <w:u w:val="none"/>
          <w:lang w:val="en-US" w:eastAsia="zh-CN"/>
        </w:rPr>
        <w:t>第一部分</w:t>
      </w:r>
    </w:p>
    <w:p w14:paraId="4D30B8D9">
      <w:pPr>
        <w:spacing w:line="560" w:lineRule="exact"/>
        <w:jc w:val="center"/>
        <w:rPr>
          <w:rFonts w:hint="eastAsia" w:ascii="方正小标宋简体" w:eastAsia="方正小标宋简体"/>
          <w:b/>
          <w:sz w:val="44"/>
          <w:szCs w:val="44"/>
          <w:highlight w:val="none"/>
          <w:lang w:val="en-US" w:eastAsia="zh-CN"/>
        </w:rPr>
      </w:pPr>
    </w:p>
    <w:p w14:paraId="28DD14CC">
      <w:pPr>
        <w:keepNext w:val="0"/>
        <w:keepLines w:val="0"/>
        <w:widowControl/>
        <w:suppressLineNumbers w:val="0"/>
        <w:jc w:val="center"/>
        <w:textAlignment w:val="bottom"/>
        <w:rPr>
          <w:rFonts w:hint="eastAsia" w:ascii="仿宋_GB2312" w:hAnsi="Times New Roman" w:eastAsia="仿宋_GB2312" w:cs="Times New Roman"/>
          <w:b/>
          <w:color w:val="000000"/>
          <w:sz w:val="32"/>
          <w:szCs w:val="32"/>
        </w:rPr>
      </w:pPr>
      <w:r>
        <w:rPr>
          <w:rFonts w:hint="eastAsia" w:ascii="仿宋_GB2312" w:eastAsia="仿宋_GB2312" w:cs="Times New Roman"/>
          <w:b/>
          <w:color w:val="000000"/>
          <w:sz w:val="32"/>
          <w:szCs w:val="32"/>
          <w:lang w:eastAsia="zh-CN"/>
        </w:rPr>
        <w:t>2025</w:t>
      </w:r>
      <w:r>
        <w:rPr>
          <w:rFonts w:hint="eastAsia" w:ascii="仿宋_GB2312" w:hAnsi="Times New Roman" w:eastAsia="仿宋_GB2312" w:cs="Times New Roman"/>
          <w:b/>
          <w:color w:val="000000"/>
          <w:sz w:val="32"/>
          <w:szCs w:val="32"/>
        </w:rPr>
        <w:t>年度部门预算情况说明</w:t>
      </w:r>
    </w:p>
    <w:p w14:paraId="60EFBAE9">
      <w:pPr>
        <w:keepNext w:val="0"/>
        <w:keepLines w:val="0"/>
        <w:widowControl/>
        <w:suppressLineNumbers w:val="0"/>
        <w:jc w:val="center"/>
        <w:textAlignment w:val="bottom"/>
        <w:rPr>
          <w:rFonts w:hint="eastAsia" w:ascii="仿宋_GB2312" w:hAnsi="Times New Roman" w:eastAsia="仿宋_GB2312" w:cs="Times New Roman"/>
          <w:b/>
          <w:color w:val="000000"/>
          <w:sz w:val="32"/>
          <w:szCs w:val="32"/>
          <w:lang w:val="en-US" w:eastAsia="zh-CN"/>
        </w:rPr>
      </w:pPr>
    </w:p>
    <w:p w14:paraId="441560E1">
      <w:pPr>
        <w:keepNext w:val="0"/>
        <w:keepLines w:val="0"/>
        <w:widowControl/>
        <w:suppressLineNumbers w:val="0"/>
        <w:jc w:val="left"/>
        <w:textAlignment w:val="bottom"/>
        <w:rPr>
          <w:rFonts w:hint="eastAsia" w:ascii="仿宋_GB2312" w:hAnsi="Times New Roman" w:eastAsia="仿宋_GB2312" w:cs="Times New Roman"/>
          <w:b/>
          <w:bCs w:val="0"/>
          <w:color w:val="000000"/>
          <w:sz w:val="32"/>
          <w:szCs w:val="32"/>
        </w:rPr>
      </w:pPr>
      <w:r>
        <w:rPr>
          <w:rFonts w:hint="eastAsia" w:ascii="仿宋_GB2312" w:hAnsi="Times New Roman" w:eastAsia="仿宋_GB2312" w:cs="Times New Roman"/>
          <w:b/>
          <w:bCs w:val="0"/>
          <w:color w:val="000000"/>
          <w:sz w:val="32"/>
          <w:szCs w:val="32"/>
        </w:rPr>
        <w:t>一、</w:t>
      </w:r>
      <w:r>
        <w:rPr>
          <w:rFonts w:hint="eastAsia" w:ascii="仿宋_GB2312" w:eastAsia="仿宋_GB2312"/>
          <w:b/>
          <w:bCs w:val="0"/>
          <w:color w:val="000000"/>
          <w:sz w:val="32"/>
          <w:szCs w:val="32"/>
        </w:rPr>
        <w:t>部门主要职责及机构设置情况</w:t>
      </w:r>
    </w:p>
    <w:p w14:paraId="24232BF3">
      <w:pPr>
        <w:spacing w:line="360" w:lineRule="auto"/>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（一）部门机构设置</w:t>
      </w:r>
      <w:r>
        <w:rPr>
          <w:rFonts w:hint="eastAsia" w:ascii="仿宋_GB2312" w:hAnsi="仿宋_GB2312" w:eastAsia="仿宋_GB2312" w:cs="仿宋_GB2312"/>
          <w:sz w:val="32"/>
          <w:szCs w:val="32"/>
          <w:highlight w:val="none"/>
          <w:lang w:eastAsia="zh-CN"/>
        </w:rPr>
        <w:t>及人员构成</w:t>
      </w:r>
    </w:p>
    <w:p w14:paraId="6CDEDCC9">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北京市西城区</w:t>
      </w:r>
      <w:r>
        <w:rPr>
          <w:rFonts w:hint="eastAsia" w:ascii="仿宋_GB2312" w:hAnsi="仿宋_GB2312" w:eastAsia="仿宋_GB2312" w:cs="仿宋_GB2312"/>
          <w:sz w:val="32"/>
          <w:szCs w:val="32"/>
          <w:highlight w:val="none"/>
        </w:rPr>
        <w:t>审计局是区政府</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部门，内设16个科室，行政编制74人，实际人数</w:t>
      </w:r>
      <w:r>
        <w:rPr>
          <w:rFonts w:hint="eastAsia" w:ascii="仿宋_GB2312" w:hAnsi="仿宋_GB2312" w:eastAsia="仿宋_GB2312" w:cs="仿宋_GB2312"/>
          <w:sz w:val="32"/>
          <w:szCs w:val="32"/>
          <w:highlight w:val="none"/>
          <w:lang w:val="en-US" w:eastAsia="zh-CN"/>
        </w:rPr>
        <w:t>61</w:t>
      </w:r>
      <w:r>
        <w:rPr>
          <w:rFonts w:hint="eastAsia" w:ascii="仿宋_GB2312" w:hAnsi="仿宋_GB2312" w:eastAsia="仿宋_GB2312" w:cs="仿宋_GB2312"/>
          <w:sz w:val="32"/>
          <w:szCs w:val="32"/>
          <w:highlight w:val="none"/>
        </w:rPr>
        <w:t>人，工勤实有</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eastAsia="zh-CN"/>
        </w:rPr>
        <w:t>；离退休人员</w:t>
      </w:r>
      <w:r>
        <w:rPr>
          <w:rFonts w:hint="eastAsia" w:ascii="仿宋_GB2312" w:hAnsi="仿宋_GB2312" w:eastAsia="仿宋_GB2312" w:cs="仿宋_GB2312"/>
          <w:sz w:val="32"/>
          <w:szCs w:val="32"/>
          <w:highlight w:val="none"/>
          <w:lang w:val="en-US" w:eastAsia="zh-CN"/>
        </w:rPr>
        <w:t>107人，其中：离休2人，退休105人。</w:t>
      </w:r>
      <w:r>
        <w:rPr>
          <w:rFonts w:hint="eastAsia" w:ascii="仿宋_GB2312" w:hAnsi="仿宋_GB2312" w:eastAsia="仿宋_GB2312" w:cs="仿宋_GB2312"/>
          <w:sz w:val="32"/>
          <w:szCs w:val="32"/>
          <w:highlight w:val="none"/>
        </w:rPr>
        <w:t>财务核算实行一级独立核算(本级)，执行</w:t>
      </w:r>
      <w:r>
        <w:rPr>
          <w:rFonts w:hint="eastAsia" w:ascii="仿宋_GB2312" w:hAnsi="仿宋_GB2312" w:eastAsia="仿宋_GB2312" w:cs="仿宋_GB2312"/>
          <w:sz w:val="32"/>
          <w:szCs w:val="32"/>
          <w:highlight w:val="none"/>
          <w:lang w:eastAsia="zh-CN"/>
        </w:rPr>
        <w:t>政府</w:t>
      </w:r>
      <w:r>
        <w:rPr>
          <w:rFonts w:hint="eastAsia" w:ascii="仿宋_GB2312" w:hAnsi="仿宋_GB2312" w:eastAsia="仿宋_GB2312" w:cs="仿宋_GB2312"/>
          <w:sz w:val="32"/>
          <w:szCs w:val="32"/>
          <w:highlight w:val="none"/>
        </w:rPr>
        <w:t>会计</w:t>
      </w:r>
      <w:r>
        <w:rPr>
          <w:rFonts w:hint="eastAsia" w:ascii="仿宋_GB2312" w:hAnsi="仿宋_GB2312" w:eastAsia="仿宋_GB2312" w:cs="仿宋_GB2312"/>
          <w:sz w:val="32"/>
          <w:szCs w:val="32"/>
          <w:highlight w:val="none"/>
          <w:lang w:eastAsia="zh-CN"/>
        </w:rPr>
        <w:t>准则</w:t>
      </w:r>
      <w:r>
        <w:rPr>
          <w:rFonts w:hint="eastAsia" w:ascii="仿宋_GB2312" w:hAnsi="仿宋_GB2312" w:eastAsia="仿宋_GB2312" w:cs="仿宋_GB2312"/>
          <w:sz w:val="32"/>
          <w:szCs w:val="32"/>
          <w:highlight w:val="none"/>
        </w:rPr>
        <w:t>制度。</w:t>
      </w:r>
    </w:p>
    <w:p w14:paraId="4EC35A74">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（二）主要职责</w:t>
      </w:r>
    </w:p>
    <w:p w14:paraId="033F72F0">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主管全区审计工作。负责对本区财政收支和法律法规规定属于审计监督范围的财务收支的真实、合法和效益进行审计监督，对公共资金、国有资产、国有资源和领导干部履行经济责任情况实行审计全覆盖，对领导干部实行自然资源资产离任审计，对国家、本市及本区重大政策措施贯彻落实情况进行跟踪审计。对审计、专项审计调查和核查社会审计机构相关审计报告的结果承担责任，并负有督促被审计单位整改的责任。</w:t>
      </w:r>
    </w:p>
    <w:p w14:paraId="21A1EB06">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lang w:val="en-US" w:eastAsia="zh-CN" w:bidi="ar-SA"/>
        </w:rPr>
        <w:t>2、贯彻落实国家、北京市关于审计工作方面的法律法规、规章和政策，起草本区审计的规范性文件，参与起草本区财政经济及其相关的规范性文件，制定审计规范和指南并</w:t>
      </w:r>
      <w:r>
        <w:rPr>
          <w:rFonts w:hint="eastAsia" w:ascii="仿宋_GB2312" w:hAnsi="仿宋_GB2312" w:eastAsia="仿宋_GB2312" w:cs="仿宋_GB2312"/>
          <w:sz w:val="32"/>
          <w:szCs w:val="32"/>
          <w:highlight w:val="none"/>
          <w:lang w:val="en-US" w:eastAsia="zh-CN"/>
        </w:rPr>
        <w:t>监督执行。制定并组织实施本区审计工作规划和年度审计计划。对直接审计、调查和核查的事项依法进行审计评价，作出审计决定或提出审计建议。</w:t>
      </w:r>
    </w:p>
    <w:p w14:paraId="07A7A8CA">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3、向区政府提出年度区级预算执行和其他财政收支情况的审计结果报告。受区政府委托，向区人大常委会提出区级预算执行和其他财政收支情况的审计工作报告、审计查出问题整改情况报告。向区委、区政</w:t>
      </w:r>
      <w:r>
        <w:rPr>
          <w:rFonts w:hint="eastAsia" w:ascii="仿宋_GB2312" w:hAnsi="仿宋_GB2312" w:eastAsia="仿宋_GB2312" w:cs="仿宋_GB2312"/>
          <w:kern w:val="2"/>
          <w:sz w:val="32"/>
          <w:szCs w:val="32"/>
          <w:lang w:val="en-US" w:eastAsia="zh-CN" w:bidi="ar-SA"/>
        </w:rPr>
        <w:t>府报告对其他事项的审计</w:t>
      </w:r>
      <w:r>
        <w:rPr>
          <w:rFonts w:hint="eastAsia" w:ascii="仿宋_GB2312" w:hAnsi="仿宋_GB2312" w:eastAsia="仿宋_GB2312" w:cs="仿宋_GB2312"/>
          <w:sz w:val="32"/>
          <w:szCs w:val="32"/>
          <w:highlight w:val="none"/>
          <w:lang w:val="en-US" w:eastAsia="zh-CN"/>
        </w:rPr>
        <w:t>和专项审计调查情况及结果。依法向社会公布审计结果。向区委、区政府有关部门和区委、区政府通报审计情况和审计结果。</w:t>
      </w:r>
    </w:p>
    <w:p w14:paraId="11599EF4">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直接审计下列事项，出具审计报告，在法定职权范围内作出审计决定，包括国家、本市及本区有关重大政策措施贯彻落实情况；区级预算执行情况和其他财政收支，区级各部门（含所属单位）预算执行情况、决算草案和其他财政收支；街道预算执行情况、决算草案和其他财政收支；使用区级财政资金的事业单位和社会团</w:t>
      </w:r>
      <w:r>
        <w:rPr>
          <w:rFonts w:hint="eastAsia" w:ascii="仿宋_GB2312" w:hAnsi="仿宋_GB2312" w:eastAsia="仿宋_GB2312" w:cs="仿宋_GB2312"/>
          <w:kern w:val="2"/>
          <w:sz w:val="32"/>
          <w:szCs w:val="32"/>
          <w:lang w:val="en-US" w:eastAsia="zh-CN" w:bidi="ar-SA"/>
        </w:rPr>
        <w:t>体的财务收支；区政府投资和以区政府投资为主的建设项目的预算执行情况和决算，全区重大公共工程项目的资金管理使用和建设运营情况；自然资源管理、污染防治和生态保护与修复情况；区属国有企业和金融机构、区级国有资本占控股或主导地位的企业和金融机构的资产、负债和损益；区属单位的境外资产、负债和损</w:t>
      </w:r>
      <w:r>
        <w:rPr>
          <w:rFonts w:hint="eastAsia" w:ascii="仿宋_GB2312" w:hAnsi="仿宋_GB2312" w:eastAsia="仿宋_GB2312" w:cs="仿宋_GB2312"/>
          <w:sz w:val="32"/>
          <w:szCs w:val="32"/>
          <w:highlight w:val="none"/>
          <w:lang w:val="en-US" w:eastAsia="zh-CN"/>
        </w:rPr>
        <w:t>益；有关社会保障基金、社会捐赠资金及其他基金、资金的财务收支；市审计局授权或委托的审计事项；法律法规规定的其他事项。</w:t>
      </w:r>
    </w:p>
    <w:p w14:paraId="246A4E87">
      <w:pPr>
        <w:spacing w:line="360" w:lineRule="auto"/>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highlight w:val="none"/>
          <w:lang w:val="en-US" w:eastAsia="zh-CN"/>
        </w:rPr>
        <w:t>5、按规定对处级党政主要领导干部及其他单位主要负责人实施经济责任审计和自然资源资产离任审计。组织对区属国有企业主要领导人员实施经济责任审</w:t>
      </w:r>
      <w:r>
        <w:rPr>
          <w:rFonts w:hint="eastAsia" w:ascii="仿宋_GB2312" w:hAnsi="仿宋_GB2312" w:eastAsia="仿宋_GB2312" w:cs="仿宋_GB2312"/>
          <w:kern w:val="2"/>
          <w:sz w:val="32"/>
          <w:szCs w:val="32"/>
          <w:lang w:val="en-US" w:eastAsia="zh-CN" w:bidi="ar-SA"/>
        </w:rPr>
        <w:t>计。</w:t>
      </w:r>
    </w:p>
    <w:p w14:paraId="7023AD79">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lang w:val="en-US" w:eastAsia="zh-CN" w:bidi="ar-SA"/>
        </w:rPr>
        <w:t>6、组织实施对国家、北京市财经法律法规、规章、政策和</w:t>
      </w:r>
      <w:r>
        <w:rPr>
          <w:rFonts w:hint="eastAsia" w:ascii="仿宋_GB2312" w:hAnsi="仿宋_GB2312" w:eastAsia="仿宋_GB2312" w:cs="仿宋_GB2312"/>
          <w:sz w:val="32"/>
          <w:szCs w:val="32"/>
          <w:highlight w:val="none"/>
          <w:lang w:val="en-US" w:eastAsia="zh-CN"/>
        </w:rPr>
        <w:t>宏观调控措施执行情况、财政预算管理及国有资产管理使用等与本区财政收支有关的特定事项进行专项审计调查。</w:t>
      </w:r>
    </w:p>
    <w:p w14:paraId="40D9DAF1">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7、依法检查审计决定执行情况，督促整改审计查出的问题，依法办理被审计单位对审计决定提请行政复议、</w:t>
      </w:r>
      <w:r>
        <w:rPr>
          <w:rFonts w:hint="eastAsia" w:ascii="仿宋_GB2312" w:hAnsi="仿宋_GB2312" w:eastAsia="仿宋_GB2312" w:cs="仿宋_GB2312"/>
          <w:kern w:val="2"/>
          <w:sz w:val="32"/>
          <w:szCs w:val="32"/>
          <w:lang w:val="en-US" w:eastAsia="zh-CN" w:bidi="ar-SA"/>
        </w:rPr>
        <w:t>行政</w:t>
      </w:r>
      <w:r>
        <w:rPr>
          <w:rFonts w:hint="eastAsia" w:ascii="仿宋_GB2312" w:hAnsi="仿宋_GB2312" w:eastAsia="仿宋_GB2312" w:cs="仿宋_GB2312"/>
          <w:sz w:val="32"/>
          <w:szCs w:val="32"/>
          <w:highlight w:val="none"/>
          <w:lang w:val="en-US" w:eastAsia="zh-CN"/>
        </w:rPr>
        <w:t>诉讼或区政府裁决中的有关事项。协助配合有关部门查处相关重大案件。</w:t>
      </w:r>
    </w:p>
    <w:p w14:paraId="1DD0D69F">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8、指导和监督本区内部审计工作，核查社会审计机构对依法属于审计监督对象的单位出具的相关审计报告。</w:t>
      </w:r>
    </w:p>
    <w:p w14:paraId="6E627193">
      <w:pPr>
        <w:spacing w:line="360" w:lineRule="auto"/>
        <w:ind w:firstLine="643" w:firstLineChars="200"/>
        <w:rPr>
          <w:rFonts w:hint="eastAsia" w:ascii="仿宋" w:hAnsi="仿宋" w:eastAsia="仿宋" w:cs="仿宋"/>
          <w:b/>
          <w:bCs/>
          <w:sz w:val="32"/>
          <w:szCs w:val="32"/>
          <w:highlight w:val="none"/>
          <w:lang w:eastAsia="zh-CN"/>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eastAsia="zh-CN"/>
        </w:rPr>
        <w:t>2025</w:t>
      </w:r>
      <w:r>
        <w:rPr>
          <w:rFonts w:hint="eastAsia" w:ascii="仿宋_GB2312" w:hAnsi="仿宋_GB2312" w:eastAsia="仿宋_GB2312" w:cs="仿宋_GB2312"/>
          <w:b/>
          <w:bCs/>
          <w:sz w:val="32"/>
          <w:szCs w:val="32"/>
          <w:highlight w:val="none"/>
        </w:rPr>
        <w:t>年</w:t>
      </w:r>
      <w:r>
        <w:rPr>
          <w:rFonts w:hint="eastAsia" w:ascii="仿宋_GB2312" w:hAnsi="仿宋_GB2312" w:eastAsia="仿宋_GB2312" w:cs="仿宋_GB2312"/>
          <w:b/>
          <w:bCs/>
          <w:sz w:val="32"/>
          <w:szCs w:val="32"/>
          <w:highlight w:val="none"/>
          <w:lang w:eastAsia="zh-CN"/>
        </w:rPr>
        <w:t>度部门预算</w:t>
      </w:r>
      <w:r>
        <w:rPr>
          <w:rFonts w:hint="eastAsia" w:ascii="仿宋_GB2312" w:hAnsi="仿宋_GB2312" w:eastAsia="仿宋_GB2312" w:cs="仿宋_GB2312"/>
          <w:b/>
          <w:bCs/>
          <w:sz w:val="32"/>
          <w:szCs w:val="32"/>
          <w:highlight w:val="none"/>
        </w:rPr>
        <w:t>收</w:t>
      </w:r>
      <w:r>
        <w:rPr>
          <w:rFonts w:hint="eastAsia" w:ascii="仿宋_GB2312" w:hAnsi="仿宋_GB2312" w:eastAsia="仿宋_GB2312" w:cs="仿宋_GB2312"/>
          <w:b/>
          <w:bCs/>
          <w:sz w:val="32"/>
          <w:szCs w:val="32"/>
          <w:highlight w:val="none"/>
          <w:lang w:eastAsia="zh-CN"/>
        </w:rPr>
        <w:t>支</w:t>
      </w:r>
      <w:r>
        <w:rPr>
          <w:rFonts w:hint="eastAsia" w:ascii="仿宋_GB2312" w:hAnsi="仿宋_GB2312" w:eastAsia="仿宋_GB2312" w:cs="仿宋_GB2312"/>
          <w:b/>
          <w:bCs/>
          <w:sz w:val="32"/>
          <w:szCs w:val="32"/>
          <w:highlight w:val="none"/>
        </w:rPr>
        <w:t>及</w:t>
      </w:r>
      <w:r>
        <w:rPr>
          <w:rFonts w:hint="eastAsia" w:ascii="仿宋_GB2312" w:hAnsi="仿宋_GB2312" w:eastAsia="仿宋_GB2312" w:cs="仿宋_GB2312"/>
          <w:b/>
          <w:bCs/>
          <w:sz w:val="32"/>
          <w:szCs w:val="32"/>
          <w:highlight w:val="none"/>
          <w:lang w:eastAsia="zh-CN"/>
        </w:rPr>
        <w:t>增减变化</w:t>
      </w:r>
      <w:r>
        <w:rPr>
          <w:rFonts w:hint="eastAsia" w:ascii="仿宋_GB2312" w:hAnsi="仿宋_GB2312" w:eastAsia="仿宋_GB2312" w:cs="仿宋_GB2312"/>
          <w:b/>
          <w:bCs/>
          <w:sz w:val="32"/>
          <w:szCs w:val="32"/>
          <w:highlight w:val="none"/>
        </w:rPr>
        <w:t>情况</w:t>
      </w:r>
      <w:r>
        <w:rPr>
          <w:rFonts w:hint="eastAsia" w:ascii="仿宋_GB2312" w:hAnsi="仿宋_GB2312" w:eastAsia="仿宋_GB2312" w:cs="仿宋_GB2312"/>
          <w:b/>
          <w:bCs/>
          <w:sz w:val="32"/>
          <w:szCs w:val="32"/>
          <w:highlight w:val="none"/>
          <w:lang w:eastAsia="zh-CN"/>
        </w:rPr>
        <w:t>说明</w:t>
      </w:r>
    </w:p>
    <w:p w14:paraId="6D01105B">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（一）收入预算说明</w:t>
      </w:r>
    </w:p>
    <w:p w14:paraId="2F568A2F">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收入预算29,156,221.32元，其中：一般公共预算财政拨款29,056,221.32元，含市级提前下达专项转移支付项目资金100,000.00元，上年结转结余100,000.00元。比2024年收入预算30,253,992.73元,减少1,097,771.41元，下降3.63%。主要原因项目经费中审计委托服务费、更换地砖、粉刷墙面、综合管理平台整改系统建设项目、会议室运行维护费、法制宣传经费、空调更新、食堂用具更新、审计专业期刊订阅费、审计培训服务费减少。</w:t>
      </w:r>
    </w:p>
    <w:p w14:paraId="1B3D4C55">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（二）支出预算说明</w:t>
      </w:r>
    </w:p>
    <w:p w14:paraId="18AB480A">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1、基本支出预算23,210,181.32元，比2024年22,946,410.49元，增加263,770.83</w:t>
      </w:r>
      <w:r>
        <w:rPr>
          <w:rFonts w:hint="eastAsia" w:ascii="仿宋_GB2312" w:hAnsi="宋体" w:eastAsia="仿宋_GB2312" w:cs="仿宋_GB2312"/>
          <w:i w:val="0"/>
          <w:iCs w:val="0"/>
          <w:color w:val="000000"/>
          <w:kern w:val="0"/>
          <w:sz w:val="32"/>
          <w:szCs w:val="32"/>
          <w:u w:val="none"/>
          <w:lang w:val="en-US" w:eastAsia="zh-CN" w:bidi="ar"/>
        </w:rPr>
        <w:t>元，上升1.15</w:t>
      </w:r>
      <w:r>
        <w:rPr>
          <w:rFonts w:hint="eastAsia" w:ascii="仿宋_GB2312" w:hAnsi="仿宋_GB2312" w:eastAsia="仿宋_GB2312" w:cs="仿宋_GB2312"/>
          <w:sz w:val="32"/>
          <w:szCs w:val="32"/>
          <w:highlight w:val="none"/>
          <w:lang w:val="en-US" w:eastAsia="zh-CN"/>
        </w:rPr>
        <w:t>%，主要为预算申报时在职人员较2023年增加，基本支出增加。</w:t>
      </w:r>
    </w:p>
    <w:p w14:paraId="5C40F40B">
      <w:pPr>
        <w:spacing w:line="360" w:lineRule="auto"/>
        <w:ind w:firstLine="640" w:firstLineChars="200"/>
        <w:rPr>
          <w:rFonts w:hint="default" w:ascii="仿宋_GB2312" w:eastAsia="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2、项目支出预算5,946,040.00元，比2024年7,307,582.24元，减少</w:t>
      </w:r>
      <w:r>
        <w:rPr>
          <w:rFonts w:hint="eastAsia" w:ascii="仿宋_GB2312" w:hAnsi="宋体" w:eastAsia="仿宋_GB2312" w:cs="仿宋_GB2312"/>
          <w:i w:val="0"/>
          <w:iCs w:val="0"/>
          <w:color w:val="000000"/>
          <w:kern w:val="0"/>
          <w:sz w:val="32"/>
          <w:szCs w:val="32"/>
          <w:u w:val="none"/>
          <w:lang w:val="en-US" w:eastAsia="zh-CN" w:bidi="ar"/>
        </w:rPr>
        <w:t>1,361,542.24</w:t>
      </w:r>
      <w:r>
        <w:rPr>
          <w:rFonts w:hint="eastAsia" w:ascii="仿宋_GB2312" w:hAnsi="仿宋_GB2312" w:eastAsia="仿宋_GB2312" w:cs="仿宋_GB2312"/>
          <w:sz w:val="32"/>
          <w:szCs w:val="32"/>
          <w:highlight w:val="none"/>
          <w:lang w:val="en-US" w:eastAsia="zh-CN"/>
        </w:rPr>
        <w:t>元，下降18.63%。主要原因项目经费中审计委托服务费、更换地砖、粉刷墙面、综合管理平台整改系统建设项目、会议室运行维护费、法制宣传经费、空调更新、食堂用具更新、审计专业期刊订阅费、审计培训服务费减少。</w:t>
      </w:r>
    </w:p>
    <w:p w14:paraId="26F8EE81">
      <w:pPr>
        <w:spacing w:line="360" w:lineRule="auto"/>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三、主要支出情况</w:t>
      </w:r>
    </w:p>
    <w:p w14:paraId="2CBBA11A">
      <w:pPr>
        <w:spacing w:line="360" w:lineRule="auto"/>
        <w:ind w:firstLine="640" w:firstLineChars="200"/>
        <w:rPr>
          <w:rFonts w:hint="eastAsia" w:ascii="仿宋_GB2312" w:hAnsi="仿宋_GB2312" w:eastAsia="仿宋_GB2312" w:cs="仿宋_GB2312"/>
          <w:sz w:val="32"/>
          <w:szCs w:val="32"/>
          <w:highlight w:val="none"/>
          <w:lang w:val="en-US" w:eastAsia="zh-CN"/>
        </w:rPr>
      </w:pPr>
      <w:bookmarkStart w:id="0" w:name="_Toc17531"/>
      <w:bookmarkStart w:id="1" w:name="_Toc25448"/>
      <w:r>
        <w:rPr>
          <w:rFonts w:hint="eastAsia" w:ascii="仿宋_GB2312" w:hAnsi="仿宋_GB2312" w:eastAsia="仿宋_GB2312" w:cs="仿宋_GB2312"/>
          <w:sz w:val="32"/>
          <w:szCs w:val="32"/>
          <w:highlight w:val="none"/>
          <w:lang w:val="en-US" w:eastAsia="zh-CN"/>
        </w:rPr>
        <w:t>（一）基本支出主要包括</w:t>
      </w:r>
      <w:bookmarkEnd w:id="0"/>
      <w:bookmarkEnd w:id="1"/>
      <w:r>
        <w:rPr>
          <w:rFonts w:hint="eastAsia" w:ascii="仿宋_GB2312" w:hAnsi="仿宋_GB2312" w:eastAsia="仿宋_GB2312" w:cs="仿宋_GB2312"/>
          <w:sz w:val="32"/>
          <w:szCs w:val="32"/>
          <w:highlight w:val="none"/>
          <w:lang w:val="en-US" w:eastAsia="zh-CN"/>
        </w:rPr>
        <w:t>在职、离退休人员支出、个人和家庭补助支出、公用支出。</w:t>
      </w:r>
    </w:p>
    <w:p w14:paraId="38CDE256">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项目支出主要包括物业管理服务费、运行管理经费、审计事务运行经费、审计委托服务费、数据分析服务费、审计工作经费、法律服务费、IT设备运行维护服务费、数据分析平台运行维护服务费、审计培训服务费、办公楼维修尾款、信创信息化运行维护费、审计专业期刊订阅费、北京市党政机关信息化能力提升设备采购项目、联动审计项目经费等。</w:t>
      </w:r>
    </w:p>
    <w:p w14:paraId="60FD9567">
      <w:pPr>
        <w:spacing w:line="360" w:lineRule="auto"/>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四、部门“三公”经费财政拨款预算情况说明</w:t>
      </w:r>
    </w:p>
    <w:p w14:paraId="35D95D66">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（一）“三公”经费的单位范围</w:t>
      </w:r>
    </w:p>
    <w:p w14:paraId="56AF1024">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北京市西城区审计局部门预算中因公出国（境）费、公务接待费、公务用车购置及运行维护费的支出单位包括1个所属单位，即北京市西城区审计局。</w:t>
      </w:r>
    </w:p>
    <w:p w14:paraId="262F98AC">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（二）“三公”经费预算财政拨款情况说明</w:t>
      </w:r>
    </w:p>
    <w:p w14:paraId="74F3BE3A">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2025年部门预算“三公”经费财政拨款预算安排17,009元，与2024年财政拨款预算一致。</w:t>
      </w:r>
    </w:p>
    <w:p w14:paraId="4F9E359F">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1、因公出国（境）费</w:t>
      </w:r>
    </w:p>
    <w:p w14:paraId="0E501784">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2025年财政拨款预算安排0元，与2024年财政拨款预算一致。</w:t>
      </w:r>
    </w:p>
    <w:p w14:paraId="3F00C57A">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2、公务接待费</w:t>
      </w:r>
    </w:p>
    <w:p w14:paraId="1AAF0D01">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2025年部门预算“三公”经费财政拨款预算安排17,009元，与2024年财政拨款预算一致。</w:t>
      </w:r>
    </w:p>
    <w:p w14:paraId="7ECB8ECD">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3、公务用车购置及运行维护费</w:t>
      </w:r>
    </w:p>
    <w:p w14:paraId="49AE19E1">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公务用车一般公共预算数量为0辆，与2024年一致。2025年公务用车购置及运行维护费一般公共预算0元,与2024年公务用车购置及运行维护费一般公共预算一致,其中公务用车购置费0元，与2024年公务用车购置费一致。2025年公务用车运行维护费0元，与2024年公务用车运行维护费一致。</w:t>
      </w:r>
    </w:p>
    <w:p w14:paraId="3EB3D22E">
      <w:pPr>
        <w:spacing w:line="360" w:lineRule="auto"/>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其他情况说明</w:t>
      </w:r>
    </w:p>
    <w:p w14:paraId="01C2E875">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（一）机构运行经费说明</w:t>
      </w:r>
    </w:p>
    <w:p w14:paraId="3FCA3D85">
      <w:pPr>
        <w:spacing w:line="360" w:lineRule="auto"/>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2025年本部门履行一般行政事业管理职能、维持机关运行，用于一般公共预算安排的行政运行经费，合计4,164,774.08元，比2024年4,416,640.87元减少251,866.79元，下降5.7%，主要为信息化系统维保经费、会议室运行维护服务费减少。</w:t>
      </w:r>
    </w:p>
    <w:p w14:paraId="69CEBC44">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（二）政府采购预算说明</w:t>
      </w:r>
    </w:p>
    <w:p w14:paraId="1CF7E599">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2025年涉及政府采购项目3个，预算总资金3,507,440.00元。</w:t>
      </w:r>
    </w:p>
    <w:p w14:paraId="521DA631">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（三）政府购买服务预算说明</w:t>
      </w:r>
    </w:p>
    <w:p w14:paraId="0B0D7830">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2025年涉及政府购买服务项目8个，预算总资金4,171,440.00元。</w:t>
      </w:r>
    </w:p>
    <w:p w14:paraId="41DC573F">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（四）绩效目标情况及绩效评价结果说明</w:t>
      </w:r>
    </w:p>
    <w:p w14:paraId="6871FB57">
      <w:pPr>
        <w:ind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w:t>
      </w:r>
      <w:bookmarkStart w:id="2" w:name="MOffice_commont_biaoti"/>
      <w:r>
        <w:rPr>
          <w:rFonts w:hint="eastAsia" w:ascii="仿宋_GB2312" w:hAnsi="仿宋_GB2312" w:eastAsia="仿宋_GB2312" w:cs="仿宋_GB2312"/>
          <w:sz w:val="32"/>
          <w:szCs w:val="32"/>
          <w:highlight w:val="none"/>
          <w:lang w:val="en-US" w:eastAsia="zh-CN"/>
        </w:rPr>
        <w:t>《北京市西城区财政局关于开展2024年度财政支出绩效评价工作的通知</w:t>
      </w:r>
      <w:bookmarkEnd w:id="2"/>
      <w:r>
        <w:rPr>
          <w:rFonts w:hint="eastAsia" w:ascii="仿宋_GB2312" w:hAnsi="仿宋_GB2312" w:eastAsia="仿宋_GB2312" w:cs="仿宋_GB2312"/>
          <w:sz w:val="32"/>
          <w:szCs w:val="32"/>
          <w:highlight w:val="none"/>
          <w:lang w:val="en-US" w:eastAsia="zh-CN"/>
        </w:rPr>
        <w:t>》（</w:t>
      </w:r>
      <w:bookmarkStart w:id="3" w:name="MOffice_commont_wenhao"/>
      <w:r>
        <w:rPr>
          <w:rFonts w:hint="eastAsia" w:ascii="仿宋_GB2312" w:hAnsi="仿宋_GB2312" w:eastAsia="仿宋_GB2312" w:cs="仿宋_GB2312"/>
          <w:sz w:val="32"/>
          <w:szCs w:val="32"/>
          <w:highlight w:val="none"/>
          <w:lang w:val="en-US" w:eastAsia="zh-CN"/>
        </w:rPr>
        <w:t>西财监〔2024〕43号</w:t>
      </w:r>
      <w:bookmarkEnd w:id="3"/>
      <w:r>
        <w:rPr>
          <w:rFonts w:hint="eastAsia" w:ascii="仿宋_GB2312" w:hAnsi="仿宋_GB2312" w:eastAsia="仿宋_GB2312" w:cs="仿宋_GB2312"/>
          <w:sz w:val="32"/>
          <w:szCs w:val="32"/>
          <w:highlight w:val="none"/>
          <w:lang w:val="en-US" w:eastAsia="zh-CN"/>
        </w:rPr>
        <w:t>）文件要求，2024年度开展了北京市西城区审计局2023年度部门整体支出自评工作。我局2023年度预算项目支出绩效评价得分均在95分以上。</w:t>
      </w:r>
    </w:p>
    <w:p w14:paraId="42219C26">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（五）国有资本经营预算财政拨款情况说明</w:t>
      </w:r>
    </w:p>
    <w:p w14:paraId="4710F728">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2025年北京市西城区审计局无国有资本经营预算财政拨款收支。</w:t>
      </w:r>
    </w:p>
    <w:p w14:paraId="4E0D3148">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（六）国有资产占用情况说明</w:t>
      </w:r>
    </w:p>
    <w:p w14:paraId="211CA510">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截止2024年底，本部门固定资产总额2797.98万元，其中：车辆0台；单位价值50万元以上的通用设备1台（套）50.80万元，单位价值100万元以上的专用设备0台（套）0万元。</w:t>
      </w:r>
    </w:p>
    <w:p w14:paraId="49C06421">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2025年部门预算：安排购置车辆0台，0元，安排购置单位价值50万元以上的通用设备0台（套），0元；单位价值100万元以上的专用设备0台（套），0元。</w:t>
      </w:r>
    </w:p>
    <w:p w14:paraId="4513A073">
      <w:pPr>
        <w:spacing w:line="360" w:lineRule="auto"/>
        <w:ind w:firstLine="643" w:firstLineChars="2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六、名词解释</w:t>
      </w:r>
    </w:p>
    <w:p w14:paraId="6E86DB24">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14:paraId="41BC8E64">
      <w:pPr>
        <w:spacing w:line="360" w:lineRule="auto"/>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七、其他</w:t>
      </w:r>
    </w:p>
    <w:p w14:paraId="682E6C8E">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1、政府性基金预算财政拨款收入、支出全为零。</w:t>
      </w:r>
    </w:p>
    <w:p w14:paraId="5C0CADC1">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2、提前下达到我局2025年联动审计（调查）转移支付资金项目1个,预算金额100,000.00元。上年结转结余2024年联动审计（调查）转移支付资</w:t>
      </w:r>
      <w:bookmarkStart w:id="4" w:name="_GoBack"/>
      <w:bookmarkEnd w:id="4"/>
      <w:r>
        <w:rPr>
          <w:rFonts w:hint="eastAsia" w:ascii="仿宋_GB2312" w:hAnsi="仿宋_GB2312" w:eastAsia="仿宋_GB2312" w:cs="仿宋_GB2312"/>
          <w:sz w:val="32"/>
          <w:szCs w:val="32"/>
          <w:highlight w:val="none"/>
          <w:lang w:val="en-US" w:eastAsia="zh-CN"/>
        </w:rPr>
        <w:t>金项目1个,金额100,000.00元。</w:t>
      </w:r>
    </w:p>
    <w:p w14:paraId="0A196385">
      <w:pPr>
        <w:rPr>
          <w:rFonts w:hint="eastAsia"/>
        </w:rPr>
      </w:pPr>
    </w:p>
    <w:p w14:paraId="496F01A5">
      <w:pPr>
        <w:rPr>
          <w:rFonts w:hint="eastAsia"/>
        </w:rPr>
      </w:pPr>
    </w:p>
    <w:p w14:paraId="611A12CB">
      <w:pPr>
        <w:spacing w:line="560" w:lineRule="exact"/>
        <w:rPr>
          <w:rFonts w:hint="eastAsia" w:ascii="仿宋_GB2312" w:eastAsia="仿宋_GB2312"/>
          <w:b/>
          <w:color w:val="000000"/>
          <w:sz w:val="32"/>
          <w:szCs w:val="32"/>
        </w:rPr>
      </w:pPr>
    </w:p>
    <w:p w14:paraId="3DAA2F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84690"/>
    <w:rsid w:val="075A035D"/>
    <w:rsid w:val="09754EF1"/>
    <w:rsid w:val="10950831"/>
    <w:rsid w:val="127203E1"/>
    <w:rsid w:val="1D9A49A4"/>
    <w:rsid w:val="366344D1"/>
    <w:rsid w:val="38041763"/>
    <w:rsid w:val="3A2E779B"/>
    <w:rsid w:val="3C793C67"/>
    <w:rsid w:val="48587156"/>
    <w:rsid w:val="4CAB763C"/>
    <w:rsid w:val="7F684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3406</Words>
  <Characters>3774</Characters>
  <Lines>0</Lines>
  <Paragraphs>0</Paragraphs>
  <TotalTime>3</TotalTime>
  <ScaleCrop>false</ScaleCrop>
  <LinksUpToDate>false</LinksUpToDate>
  <CharactersWithSpaces>3774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2025-01-16T07:27:00Z</dcterms:created>
  <dc:creator>李雁群</dc:creator>
  <cp:lastModifiedBy>李雁群</cp:lastModifiedBy>
  <cp:lastPrinted>2025-01-16T09:55:00Z</cp:lastPrinted>
  <dcterms:modified xsi:type="dcterms:W3CDTF">2025-01-17T09:04:10Z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E45C4B781B834F9A88E0689767A004EE_11</vt:lpwstr>
  </property>
  <property fmtid="{D5CDD505-2E9C-101B-9397-08002B2CF9AE}" pid="4" name="KSOTemplateDocerSaveRecord">
    <vt:lpwstr>eyJoZGlkIjoiNGYxMWIyYzZhMTFjOTU0NDhjNDQxM2ExOTAwYjM3ZTYifQ==</vt:lpwstr>
  </property>
</Properties>
</file>