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18F7">
      <w:pPr>
        <w:widowControl/>
        <w:spacing w:line="495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北京市西城区商务局</w:t>
      </w:r>
    </w:p>
    <w:p w14:paraId="5CE20118">
      <w:pPr>
        <w:widowControl/>
        <w:spacing w:line="495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年政府信息公开工作年度报告</w:t>
      </w:r>
    </w:p>
    <w:p w14:paraId="0973B496">
      <w:pPr>
        <w:widowControl/>
        <w:spacing w:line="500" w:lineRule="atLeast"/>
        <w:ind w:firstLine="645"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</w:p>
    <w:p w14:paraId="7CA92F41">
      <w:pPr>
        <w:widowControl/>
        <w:spacing w:line="500" w:lineRule="atLeast"/>
        <w:ind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依据《中华人民共和国政府信息公开条例》(以下简称《政</w:t>
      </w:r>
      <w:r>
        <w:rPr>
          <w:rFonts w:hint="default" w:ascii="仿宋_GB2312" w:hAnsi="宋体" w:eastAsia="仿宋_GB2312" w:cs="宋体"/>
          <w:kern w:val="0"/>
          <w:sz w:val="32"/>
          <w:szCs w:val="32"/>
          <w:shd w:val="clear" w:color="auto" w:fill="FFFFFF"/>
        </w:rPr>
        <w:t>府信息公开条例》)第五十条规定，编制本报告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。</w:t>
      </w:r>
    </w:p>
    <w:p w14:paraId="02591520">
      <w:pPr>
        <w:widowControl/>
        <w:spacing w:line="500" w:lineRule="atLeast"/>
        <w:ind w:firstLine="6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spacing w:val="15"/>
          <w:kern w:val="0"/>
          <w:sz w:val="32"/>
          <w:szCs w:val="32"/>
        </w:rPr>
        <w:t>一、总体情况</w:t>
      </w:r>
      <w:bookmarkStart w:id="0" w:name="_GoBack"/>
      <w:bookmarkEnd w:id="0"/>
    </w:p>
    <w:p w14:paraId="7A7E56BB">
      <w:pPr>
        <w:widowControl/>
        <w:spacing w:line="500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按照国务院办公厅和省政府办公厅有关要求，202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年，我局进一步深入贯彻《中华人民共和国政府信息公开条例》，进一步加强组织领导，明确责任分工，细化分解任务，加大督导力度，全面推进制度建设，信息公开工作的积极性、主动性不断提高，信息公开的广度和深度不断增强，进一步提高了工作透明度，有效地保障了公民知情权，促进了政府公信力的提升。</w:t>
      </w:r>
    </w:p>
    <w:p w14:paraId="6AE4309F">
      <w:pPr>
        <w:widowControl/>
        <w:spacing w:line="500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二、主动公开政府信息情况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1216"/>
        <w:gridCol w:w="2146"/>
        <w:gridCol w:w="1865"/>
        <w:gridCol w:w="1733"/>
      </w:tblGrid>
      <w:tr w14:paraId="48B9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BCAC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第二十条第（一）项</w:t>
            </w:r>
          </w:p>
        </w:tc>
      </w:tr>
      <w:tr w14:paraId="01CF5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E3DC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1E621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本年新制作数量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236C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本年新公开数量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42DC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对外公开总数量</w:t>
            </w:r>
          </w:p>
        </w:tc>
      </w:tr>
      <w:tr w14:paraId="56560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D126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7AF5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D8721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DD0C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3CA81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C662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4A55A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7B8E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B572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3BC39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1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AF79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第二十条第（五）项</w:t>
            </w:r>
          </w:p>
        </w:tc>
      </w:tr>
      <w:tr w14:paraId="4C787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1E53B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5372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上一年项目数量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6D19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减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42B7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处理决定数量</w:t>
            </w:r>
          </w:p>
        </w:tc>
      </w:tr>
      <w:tr w14:paraId="3802C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2721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85DB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126ED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D209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010B0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7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FFC3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2B87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E170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DDE6B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C736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67614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1E9E5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BBEDA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6A66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C321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3631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688ED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1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BD3D8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第二十条第（六）项</w:t>
            </w:r>
          </w:p>
        </w:tc>
      </w:tr>
      <w:tr w14:paraId="01493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E27A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E02B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上一年项目数量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4461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减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E9E8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处理决定数量</w:t>
            </w:r>
          </w:p>
        </w:tc>
      </w:tr>
      <w:tr w14:paraId="1AA07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AE03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6089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1EB2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2211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7EA05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A7C8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AC2F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A33F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509A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6DE0C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10" w:type="dxa"/>
            <w:gridSpan w:val="5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E7B4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第二十条第（八）项</w:t>
            </w:r>
          </w:p>
        </w:tc>
      </w:tr>
      <w:tr w14:paraId="3F7BF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E40C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35CFD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上一年项目数量</w:t>
            </w:r>
          </w:p>
        </w:tc>
        <w:tc>
          <w:tcPr>
            <w:tcW w:w="3630" w:type="dxa"/>
            <w:gridSpan w:val="2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83DD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减</w:t>
            </w:r>
          </w:p>
        </w:tc>
      </w:tr>
      <w:tr w14:paraId="79B79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375B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行政事业性收费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C9037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9010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20AF9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1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B593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第二十条第（九）项</w:t>
            </w:r>
          </w:p>
        </w:tc>
      </w:tr>
      <w:tr w14:paraId="4C83C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E6D6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48CB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采购项目数量</w:t>
            </w:r>
          </w:p>
        </w:tc>
        <w:tc>
          <w:tcPr>
            <w:tcW w:w="36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BC71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采购总金额（万元，保留四位小数）</w:t>
            </w:r>
          </w:p>
        </w:tc>
      </w:tr>
      <w:tr w14:paraId="031661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F702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140E8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82C6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</w:tbl>
    <w:p w14:paraId="528D529E">
      <w:pPr>
        <w:widowControl/>
        <w:spacing w:line="495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黑体" w:cs="Calibri"/>
          <w:kern w:val="0"/>
          <w:sz w:val="32"/>
          <w:szCs w:val="32"/>
        </w:rPr>
        <w:t> </w:t>
      </w:r>
      <w:r>
        <w:rPr>
          <w:rFonts w:hint="eastAsia" w:ascii="黑体" w:hAnsi="黑体" w:eastAsia="黑体" w:cs="宋体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852"/>
        <w:gridCol w:w="2541"/>
        <w:gridCol w:w="654"/>
        <w:gridCol w:w="654"/>
        <w:gridCol w:w="654"/>
        <w:gridCol w:w="654"/>
        <w:gridCol w:w="654"/>
        <w:gridCol w:w="556"/>
        <w:gridCol w:w="667"/>
      </w:tblGrid>
      <w:tr w14:paraId="5775B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2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A8E56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49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E5D9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申请人情况</w:t>
            </w:r>
          </w:p>
        </w:tc>
      </w:tr>
      <w:tr w14:paraId="26215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CB4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7762D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自然人</w:t>
            </w:r>
          </w:p>
        </w:tc>
        <w:tc>
          <w:tcPr>
            <w:tcW w:w="317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BDDB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法人或其他组织</w:t>
            </w:r>
          </w:p>
        </w:tc>
        <w:tc>
          <w:tcPr>
            <w:tcW w:w="6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D3B2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</w:tr>
      <w:tr w14:paraId="15A22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AD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3F42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A4791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商业企业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2106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科研机构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A0C81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社会公益组织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E15B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法律服务机构</w:t>
            </w:r>
          </w:p>
        </w:tc>
        <w:tc>
          <w:tcPr>
            <w:tcW w:w="5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3E58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37C2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C78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02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4575B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AC9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0BD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70C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220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FE6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C0D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49C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6655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02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B2B2F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069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7E0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BC8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7B3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75A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6B4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65F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860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A51AE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三、本年度办理结果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BCD7C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（一）予以公开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86A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6D6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359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EE8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575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109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EC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4FD9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81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36C33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056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6D1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00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F4F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B0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14C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87B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DB17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53E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20EF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（三）不予</w:t>
            </w:r>
          </w:p>
          <w:p w14:paraId="01C60F2B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公开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EAAD7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1.属于国家秘密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CE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CA2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F62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4FE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478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998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39D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D29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250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CF6CB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3EBCD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2.其他法律行政法规禁止公开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19F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770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70A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63C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7EA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640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09A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789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1AF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49F3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E74C1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3.危及“三安全一稳定”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B9F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80A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40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F2C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936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C8C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18F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DDC40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D84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7D95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D3206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4.保护第三方合法权益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25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5E1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9DF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C08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A1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CB9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549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A715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3A4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964B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98F18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5.属于三类内部事务信息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FD9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1BF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70F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B73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EEF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800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445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A877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5C9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9EC8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28B1B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6.属于四类过程性信息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62C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CF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BF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174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160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BB0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B7B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F757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CE6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02D72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1B3E0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7.属于行政执法案卷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49C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EB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DE3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CE0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A63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AD6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9A5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4E27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C89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063F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FFE55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8.属于行政查询事项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DF9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D1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762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FCC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40E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CBB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863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FAE0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690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3B67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（四）无法</w:t>
            </w:r>
          </w:p>
          <w:p w14:paraId="3A792CE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提供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42AF0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1.本机关不掌握相关政府信息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988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21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499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D4A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F62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D00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930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CED8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EBB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C36B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D7C4A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2.没有现成信息需要另行制作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344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FA4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A4E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779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BFE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D3A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3C0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649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C78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4DEF8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0310F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3.补正后申请内容仍不明确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B50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5D3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D1E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D87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E40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279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B7A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AC01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66B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8DA2D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（五）不予</w:t>
            </w:r>
          </w:p>
          <w:p w14:paraId="65B904E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处理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7263E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1.信访举报投诉类申请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FE6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C0E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362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75B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017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743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7B7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F902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826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173B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DFD73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2.重复申请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0E7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9DD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113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46F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0D6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AD6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1D4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86E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64A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A147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2CF6A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3.要求提供公开出版物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B95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A29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460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370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586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70D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E0B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C1FD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09A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DEE47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A2731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4.无正当理由大量反复申请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262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244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80B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51B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ED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276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C62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2339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D27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A1F6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55D3B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B06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791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30A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B1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B9A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818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4D5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8B6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BFC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9C9D3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（六）其他处理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BA2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8C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2CB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1AE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12F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A75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DEE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9E671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7C4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80CD0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（七）总计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02C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0EE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054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099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402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99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D5A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8FE8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02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B9A7E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四、结转下年度继续办理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9B8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F43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C55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E0E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407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7D0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4EB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560043C">
      <w:pPr>
        <w:widowControl/>
        <w:spacing w:line="495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四、政府信息公开行政复议、行政诉讼情况</w:t>
      </w:r>
    </w:p>
    <w:tbl>
      <w:tblPr>
        <w:tblStyle w:val="4"/>
        <w:tblW w:w="829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"/>
        <w:gridCol w:w="502"/>
        <w:gridCol w:w="559"/>
        <w:gridCol w:w="559"/>
        <w:gridCol w:w="632"/>
        <w:gridCol w:w="518"/>
        <w:gridCol w:w="560"/>
        <w:gridCol w:w="560"/>
        <w:gridCol w:w="560"/>
        <w:gridCol w:w="576"/>
        <w:gridCol w:w="560"/>
        <w:gridCol w:w="560"/>
        <w:gridCol w:w="560"/>
        <w:gridCol w:w="560"/>
        <w:gridCol w:w="588"/>
        <w:gridCol w:w="7"/>
      </w:tblGrid>
      <w:tr w14:paraId="6DBFA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26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A9D2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行政复议</w:t>
            </w:r>
          </w:p>
        </w:tc>
        <w:tc>
          <w:tcPr>
            <w:tcW w:w="5605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75F7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行政诉讼</w:t>
            </w:r>
          </w:p>
        </w:tc>
      </w:tr>
      <w:tr w14:paraId="3CE47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43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81A1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</w:t>
            </w:r>
          </w:p>
          <w:p w14:paraId="153B2F3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果</w:t>
            </w:r>
          </w:p>
          <w:p w14:paraId="02821D6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维</w:t>
            </w:r>
          </w:p>
          <w:p w14:paraId="308FB13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持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4E4D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结果纠正</w:t>
            </w:r>
          </w:p>
        </w:tc>
        <w:tc>
          <w:tcPr>
            <w:tcW w:w="5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DC61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其他结果</w:t>
            </w:r>
          </w:p>
        </w:tc>
        <w:tc>
          <w:tcPr>
            <w:tcW w:w="5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92088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4F20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 计</w:t>
            </w:r>
          </w:p>
        </w:tc>
        <w:tc>
          <w:tcPr>
            <w:tcW w:w="277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B6D9A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未经复议直接起诉</w:t>
            </w:r>
          </w:p>
        </w:tc>
        <w:tc>
          <w:tcPr>
            <w:tcW w:w="283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C2738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复议后起诉</w:t>
            </w:r>
          </w:p>
        </w:tc>
      </w:tr>
      <w:tr w14:paraId="28F6E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257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E00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9E7F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FF22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17BD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5518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C39C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结果维持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20E5A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结果纠正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62AE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其他结果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5C827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尚未审结</w:t>
            </w:r>
          </w:p>
        </w:tc>
        <w:tc>
          <w:tcPr>
            <w:tcW w:w="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FD60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0958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结果维持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DB218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结果纠正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16B1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其他结果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AE69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尚未审结</w:t>
            </w:r>
          </w:p>
        </w:tc>
        <w:tc>
          <w:tcPr>
            <w:tcW w:w="5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FB60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</w:tr>
      <w:tr w14:paraId="7985A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16" w:hRule="atLeast"/>
        </w:trPr>
        <w:tc>
          <w:tcPr>
            <w:tcW w:w="4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4E6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D05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A14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D66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B40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104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F20A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CE1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48F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EEE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117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68B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77D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807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1204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F119049">
      <w:pPr>
        <w:widowControl/>
        <w:spacing w:line="495" w:lineRule="atLeast"/>
        <w:ind w:firstLine="6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spacing w:val="15"/>
          <w:kern w:val="0"/>
          <w:sz w:val="32"/>
          <w:szCs w:val="32"/>
        </w:rPr>
        <w:t>五、存在的主要问题及改进情况</w:t>
      </w:r>
    </w:p>
    <w:p w14:paraId="7AA5F68E">
      <w:pPr>
        <w:widowControl/>
        <w:spacing w:line="495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进一步提升政府信息公开质量。把政务信息公开工作作为一项长期性的工作来抓，进一步建立健全工作机制，加强政务公开工作人员与业务部门的衔接与沟通，努力将信息收集与公开同步进行，确保信息的及时、准确、全面。及时更新栏目内容，加强梳理公众关注度高的热点信息。</w:t>
      </w:r>
    </w:p>
    <w:p w14:paraId="6FB3D8D9">
      <w:pPr>
        <w:widowControl/>
        <w:spacing w:line="495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进一步提高思想认识。组织各负责同志学习政务公开相关文件规定，提高业务水平，增强信息公开意识，提高报送信息的主动性，保证公开信息的及时性。</w:t>
      </w:r>
    </w:p>
    <w:p w14:paraId="0DAAE333">
      <w:pPr>
        <w:widowControl/>
        <w:spacing w:line="495" w:lineRule="atLeast"/>
        <w:ind w:firstLine="645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进一步丰富公开形式。结合商务重点领域信息工作，加强政策解读图片和动漫结合的方式，以人民群众喜闻乐见的形式，多渠道开展信息公开工作，不断提高社会公众对信息公开工作的满意度。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3"/>
    <w:rsid w:val="00086164"/>
    <w:rsid w:val="000F69BB"/>
    <w:rsid w:val="00333BD4"/>
    <w:rsid w:val="003862EA"/>
    <w:rsid w:val="00484CB4"/>
    <w:rsid w:val="008C172F"/>
    <w:rsid w:val="008E2ED6"/>
    <w:rsid w:val="00A8248C"/>
    <w:rsid w:val="00B41DD2"/>
    <w:rsid w:val="00B60C50"/>
    <w:rsid w:val="00C52E0D"/>
    <w:rsid w:val="00CA2D3C"/>
    <w:rsid w:val="00D530E9"/>
    <w:rsid w:val="00E23293"/>
    <w:rsid w:val="00E91732"/>
    <w:rsid w:val="174035C4"/>
    <w:rsid w:val="2F62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</Words>
  <Characters>1611</Characters>
  <Lines>13</Lines>
  <Paragraphs>3</Paragraphs>
  <TotalTime>1</TotalTime>
  <ScaleCrop>false</ScaleCrop>
  <LinksUpToDate>false</LinksUpToDate>
  <CharactersWithSpaces>1890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2024-01-18T08:00:00Z</dcterms:created>
  <dc:creator>XYSD</dc:creator>
  <cp:lastModifiedBy>栾军涛-区商务局</cp:lastModifiedBy>
  <dcterms:modified xsi:type="dcterms:W3CDTF">2025-01-20T09:42:53Z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062ECD7F14F34579B02616ED25745F6C_13</vt:lpwstr>
  </property>
</Properties>
</file>