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lang w:bidi="ar"/>
        </w:rPr>
        <w:t>中关村科技园区西城园管理委员会</w:t>
      </w:r>
    </w:p>
    <w:p>
      <w:pPr>
        <w:jc w:val="center"/>
        <w:rPr>
          <w:rFonts w:hint="eastAsia" w:ascii="宋体" w:hAnsi="宋体" w:eastAsia="宋体" w:cs="宋体"/>
          <w:b/>
          <w:sz w:val="44"/>
          <w:szCs w:val="44"/>
          <w:lang w:eastAsia="zh-CN" w:bidi="ar"/>
        </w:rPr>
      </w:pPr>
      <w:r>
        <w:rPr>
          <w:rFonts w:hint="eastAsia" w:ascii="宋体" w:hAnsi="宋体" w:eastAsia="宋体" w:cs="宋体"/>
          <w:b/>
          <w:sz w:val="44"/>
          <w:szCs w:val="44"/>
          <w:lang w:eastAsia="zh-CN" w:bidi="ar"/>
        </w:rPr>
        <w:t>北京市西城区科学技术委员会</w:t>
      </w:r>
    </w:p>
    <w:p>
      <w:pPr>
        <w:jc w:val="center"/>
        <w:rPr>
          <w:rFonts w:ascii="宋体" w:hAnsi="宋体" w:eastAsia="宋体" w:cs="宋体"/>
          <w:b/>
          <w:sz w:val="44"/>
          <w:szCs w:val="44"/>
        </w:rPr>
      </w:pPr>
      <w:r>
        <w:rPr>
          <w:rFonts w:hint="eastAsia" w:ascii="宋体" w:hAnsi="宋体" w:eastAsia="宋体" w:cs="宋体"/>
          <w:b/>
          <w:sz w:val="44"/>
          <w:szCs w:val="44"/>
          <w:lang w:bidi="ar"/>
        </w:rPr>
        <w:t>202</w:t>
      </w:r>
      <w:r>
        <w:rPr>
          <w:rFonts w:hint="eastAsia" w:ascii="宋体" w:hAnsi="宋体" w:eastAsia="宋体" w:cs="宋体"/>
          <w:b/>
          <w:sz w:val="44"/>
          <w:szCs w:val="44"/>
          <w:lang w:val="en-US" w:eastAsia="zh-CN" w:bidi="ar"/>
        </w:rPr>
        <w:t>5</w:t>
      </w:r>
      <w:r>
        <w:rPr>
          <w:rFonts w:hint="eastAsia" w:ascii="宋体" w:hAnsi="宋体" w:eastAsia="宋体" w:cs="宋体"/>
          <w:b/>
          <w:sz w:val="44"/>
          <w:szCs w:val="44"/>
          <w:lang w:bidi="ar"/>
        </w:rPr>
        <w:t>年部门预算信息公开目录</w:t>
      </w:r>
    </w:p>
    <w:p>
      <w:pPr>
        <w:spacing w:line="560" w:lineRule="exact"/>
        <w:ind w:firstLine="320" w:firstLineChars="100"/>
        <w:rPr>
          <w:rFonts w:ascii="仿宋_GB2312" w:eastAsia="仿宋_GB2312" w:cs="仿宋_GB2312"/>
          <w:color w:val="000000"/>
          <w:sz w:val="32"/>
          <w:szCs w:val="32"/>
        </w:rPr>
      </w:pPr>
    </w:p>
    <w:p>
      <w:pPr>
        <w:keepNext w:val="0"/>
        <w:keepLines w:val="0"/>
        <w:pageBreakBefore w:val="0"/>
        <w:kinsoku/>
        <w:wordWrap/>
        <w:overflowPunct/>
        <w:topLinePunct w:val="0"/>
        <w:bidi w:val="0"/>
        <w:snapToGrid/>
        <w:spacing w:line="560" w:lineRule="exact"/>
        <w:ind w:left="0" w:firstLine="320" w:firstLineChars="100"/>
        <w:textAlignment w:val="auto"/>
        <w:rPr>
          <w:rFonts w:ascii="黑体" w:hAnsi="宋体" w:eastAsia="黑体" w:cs="黑体"/>
          <w:color w:val="000000"/>
          <w:sz w:val="32"/>
          <w:szCs w:val="32"/>
        </w:rPr>
      </w:pPr>
      <w:r>
        <w:rPr>
          <w:rFonts w:hint="eastAsia" w:ascii="黑体" w:hAnsi="宋体" w:eastAsia="黑体" w:cs="黑体"/>
          <w:color w:val="000000"/>
          <w:sz w:val="32"/>
          <w:szCs w:val="32"/>
          <w:lang w:bidi="ar"/>
        </w:rPr>
        <w:t>第一部分、202</w:t>
      </w:r>
      <w:r>
        <w:rPr>
          <w:rFonts w:hint="eastAsia" w:ascii="黑体" w:hAnsi="宋体" w:eastAsia="黑体" w:cs="黑体"/>
          <w:color w:val="000000"/>
          <w:sz w:val="32"/>
          <w:szCs w:val="32"/>
          <w:lang w:val="en-US" w:eastAsia="zh-CN" w:bidi="ar"/>
        </w:rPr>
        <w:t>5</w:t>
      </w:r>
      <w:r>
        <w:rPr>
          <w:rFonts w:hint="eastAsia" w:ascii="黑体" w:hAnsi="宋体" w:eastAsia="黑体" w:cs="黑体"/>
          <w:color w:val="000000"/>
          <w:sz w:val="32"/>
          <w:szCs w:val="32"/>
          <w:lang w:bidi="ar"/>
        </w:rPr>
        <w:t>年部门预算情况说明</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一、部门主要职责及机构设置情况</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（一）部门机构设置、职责</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（二）人员构成情况</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二、202</w:t>
      </w:r>
      <w:r>
        <w:rPr>
          <w:rFonts w:hint="eastAsia" w:ascii="仿宋_GB2312" w:hAnsi="Times New Roman" w:eastAsia="仿宋_GB2312" w:cs="仿宋_GB2312"/>
          <w:b/>
          <w:color w:val="000000"/>
          <w:sz w:val="32"/>
          <w:szCs w:val="32"/>
          <w:lang w:val="en-US" w:eastAsia="zh-CN" w:bidi="ar"/>
        </w:rPr>
        <w:t>5</w:t>
      </w:r>
      <w:r>
        <w:rPr>
          <w:rFonts w:hint="eastAsia" w:ascii="仿宋_GB2312" w:hAnsi="Times New Roman" w:eastAsia="仿宋_GB2312" w:cs="仿宋_GB2312"/>
          <w:b/>
          <w:color w:val="000000"/>
          <w:sz w:val="32"/>
          <w:szCs w:val="32"/>
          <w:lang w:bidi="ar"/>
        </w:rPr>
        <w:t>年部门预算收支及增减变化情况说明</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三、主要支出情况</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四、部门</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三公</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经费财政拨款预算说明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经费的单位范围</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经费预算财政拨款情况说明</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五、其他情况说明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（一）机关运行经费说明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（二）政府采购预算说明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（三）政府购买服务预算说明</w:t>
      </w:r>
    </w:p>
    <w:p>
      <w:pPr>
        <w:keepNext w:val="0"/>
        <w:keepLines w:val="0"/>
        <w:pageBreakBefore w:val="0"/>
        <w:kinsoku/>
        <w:wordWrap/>
        <w:overflowPunct/>
        <w:topLinePunct w:val="0"/>
        <w:bidi w:val="0"/>
        <w:snapToGrid/>
        <w:spacing w:line="560" w:lineRule="exact"/>
        <w:ind w:left="0" w:firstLine="645"/>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（四）绩效目标情况及绩效评价结果说明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（五）国有资本经营预算财政拨款情况说明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（六）国有资产占用情况说明</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六、名称解释</w:t>
      </w:r>
    </w:p>
    <w:p>
      <w:pPr>
        <w:keepNext w:val="0"/>
        <w:keepLines w:val="0"/>
        <w:pageBreakBefore w:val="0"/>
        <w:kinsoku/>
        <w:wordWrap/>
        <w:overflowPunct/>
        <w:topLinePunct w:val="0"/>
        <w:bidi w:val="0"/>
        <w:snapToGrid/>
        <w:spacing w:line="560" w:lineRule="exact"/>
        <w:ind w:left="0" w:firstLine="320" w:firstLineChars="100"/>
        <w:textAlignment w:val="auto"/>
        <w:rPr>
          <w:rFonts w:ascii="黑体" w:hAnsi="宋体" w:eastAsia="黑体" w:cs="黑体"/>
          <w:color w:val="000000"/>
          <w:sz w:val="32"/>
          <w:szCs w:val="32"/>
        </w:rPr>
      </w:pPr>
      <w:r>
        <w:rPr>
          <w:rFonts w:hint="eastAsia" w:ascii="黑体" w:hAnsi="宋体" w:eastAsia="黑体" w:cs="黑体"/>
          <w:color w:val="000000"/>
          <w:sz w:val="32"/>
          <w:szCs w:val="32"/>
          <w:lang w:bidi="ar"/>
        </w:rPr>
        <w:t>第二部分、202</w:t>
      </w:r>
      <w:r>
        <w:rPr>
          <w:rFonts w:hint="eastAsia" w:ascii="黑体" w:hAnsi="宋体" w:eastAsia="黑体" w:cs="黑体"/>
          <w:color w:val="000000"/>
          <w:sz w:val="32"/>
          <w:szCs w:val="32"/>
          <w:lang w:val="en-US" w:eastAsia="zh-CN" w:bidi="ar"/>
        </w:rPr>
        <w:t>5</w:t>
      </w:r>
      <w:r>
        <w:rPr>
          <w:rFonts w:hint="eastAsia" w:ascii="黑体" w:hAnsi="宋体" w:eastAsia="黑体" w:cs="黑体"/>
          <w:color w:val="000000"/>
          <w:sz w:val="32"/>
          <w:szCs w:val="32"/>
          <w:lang w:bidi="ar"/>
        </w:rPr>
        <w:t>年部门预算表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lang w:bidi="ar"/>
        </w:rPr>
        <w:t>表一、部门收支总体情况表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lang w:bidi="ar"/>
        </w:rPr>
        <w:t>表二、部门收入总体情况表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表三、部门支出总体情况表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表四、</w:t>
      </w:r>
      <w:r>
        <w:rPr>
          <w:rFonts w:hint="eastAsia" w:ascii="仿宋_GB2312" w:eastAsia="仿宋_GB2312"/>
          <w:sz w:val="32"/>
          <w:szCs w:val="32"/>
        </w:rPr>
        <w:t>项目支出表上级转移支付细化明细表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lang w:bidi="ar"/>
        </w:rPr>
        <w:t>表五、财政拨款收支总体情况表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lang w:bidi="ar"/>
        </w:rPr>
        <w:t>表六、一般公共预算支出情况表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lang w:bidi="ar"/>
        </w:rPr>
        <w:t>表七、一般公共预算基本支出情况表</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楷体" w:eastAsia="仿宋_GB2312" w:cs="仿宋_GB2312"/>
          <w:sz w:val="32"/>
          <w:szCs w:val="32"/>
        </w:rPr>
      </w:pPr>
      <w:r>
        <w:rPr>
          <w:rFonts w:hint="eastAsia" w:ascii="仿宋_GB2312" w:hAnsi="楷体" w:eastAsia="仿宋_GB2312" w:cs="仿宋_GB2312"/>
          <w:sz w:val="32"/>
          <w:szCs w:val="32"/>
          <w:lang w:bidi="ar"/>
        </w:rPr>
        <w:t>表八、政府性基金预算支出情况表</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jc w:val="left"/>
        <w:textAlignment w:val="auto"/>
        <w:rPr>
          <w:rFonts w:ascii="仿宋_GB2312" w:eastAsia="仿宋_GB2312"/>
          <w:sz w:val="32"/>
          <w:szCs w:val="32"/>
        </w:rPr>
      </w:pPr>
      <w:r>
        <w:rPr>
          <w:rFonts w:hint="eastAsia" w:ascii="仿宋_GB2312" w:hAnsi="楷体" w:eastAsia="仿宋_GB2312" w:cs="仿宋_GB2312"/>
          <w:sz w:val="32"/>
          <w:szCs w:val="32"/>
          <w:lang w:bidi="ar"/>
        </w:rPr>
        <w:t>表九、</w:t>
      </w:r>
      <w:r>
        <w:rPr>
          <w:rFonts w:hint="eastAsia" w:ascii="仿宋_GB2312" w:eastAsia="仿宋_GB2312"/>
          <w:sz w:val="32"/>
          <w:szCs w:val="32"/>
        </w:rPr>
        <w:t>国有资本经营预算财政拨款支出表</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表十、一般公共预算“三公”经费支出情况表</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表十一、政府购买服务预算表</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表十二、上级转移支付细化明细表</w:t>
      </w:r>
    </w:p>
    <w:p>
      <w:pPr>
        <w:keepNext w:val="0"/>
        <w:keepLines w:val="0"/>
        <w:pageBreakBefore w:val="0"/>
        <w:kinsoku/>
        <w:wordWrap/>
        <w:overflowPunct/>
        <w:topLinePunct w:val="0"/>
        <w:autoSpaceDE w:val="0"/>
        <w:autoSpaceDN w:val="0"/>
        <w:bidi w:val="0"/>
        <w:adjustRightInd w:val="0"/>
        <w:snapToGrid/>
        <w:spacing w:line="560"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表十三、项目支出绩效目标申报表</w:t>
      </w:r>
    </w:p>
    <w:p>
      <w:pPr>
        <w:keepNext w:val="0"/>
        <w:keepLines w:val="0"/>
        <w:pageBreakBefore w:val="0"/>
        <w:kinsoku/>
        <w:wordWrap/>
        <w:overflowPunct/>
        <w:topLinePunct w:val="0"/>
        <w:bidi w:val="0"/>
        <w:snapToGrid/>
        <w:spacing w:line="560" w:lineRule="exact"/>
        <w:ind w:left="0" w:firstLine="660"/>
        <w:textAlignment w:val="auto"/>
        <w:rPr>
          <w:rFonts w:hint="eastAsia" w:ascii="仿宋_GB2312" w:eastAsia="仿宋_GB2312"/>
          <w:sz w:val="32"/>
          <w:szCs w:val="32"/>
        </w:rPr>
      </w:pPr>
      <w:r>
        <w:rPr>
          <w:rFonts w:hint="eastAsia" w:ascii="仿宋_GB2312" w:eastAsia="仿宋_GB2312"/>
          <w:sz w:val="32"/>
          <w:szCs w:val="32"/>
        </w:rPr>
        <w:t>表十四、部门（单位）整体支出绩效目标申报表</w:t>
      </w:r>
    </w:p>
    <w:p>
      <w:pPr>
        <w:keepNext w:val="0"/>
        <w:keepLines w:val="0"/>
        <w:pageBreakBefore w:val="0"/>
        <w:kinsoku/>
        <w:wordWrap/>
        <w:overflowPunct/>
        <w:topLinePunct w:val="0"/>
        <w:bidi w:val="0"/>
        <w:snapToGrid/>
        <w:spacing w:line="560" w:lineRule="exact"/>
        <w:ind w:left="0" w:firstLine="660"/>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ind w:left="0" w:firstLine="660"/>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黑体" w:hAnsi="宋体" w:eastAsia="黑体" w:cs="黑体"/>
          <w:b/>
          <w:sz w:val="32"/>
          <w:szCs w:val="32"/>
        </w:rPr>
      </w:pPr>
      <w:r>
        <w:rPr>
          <w:rFonts w:hint="eastAsia" w:ascii="黑体" w:hAnsi="宋体" w:eastAsia="黑体" w:cs="黑体"/>
          <w:b/>
          <w:sz w:val="32"/>
          <w:szCs w:val="32"/>
          <w:lang w:bidi="ar"/>
        </w:rPr>
        <w:t>第一部分  202</w:t>
      </w:r>
      <w:r>
        <w:rPr>
          <w:rFonts w:hint="eastAsia" w:ascii="黑体" w:hAnsi="宋体" w:eastAsia="黑体" w:cs="黑体"/>
          <w:b/>
          <w:sz w:val="32"/>
          <w:szCs w:val="32"/>
          <w:lang w:val="en-US" w:eastAsia="zh-CN" w:bidi="ar"/>
        </w:rPr>
        <w:t>5</w:t>
      </w:r>
      <w:r>
        <w:rPr>
          <w:rFonts w:hint="eastAsia" w:ascii="黑体" w:hAnsi="宋体" w:eastAsia="黑体" w:cs="黑体"/>
          <w:b/>
          <w:sz w:val="32"/>
          <w:szCs w:val="32"/>
          <w:lang w:bidi="ar"/>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楷体" w:hAnsi="楷体" w:eastAsia="楷体" w:cs="楷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一、部门主要职责及机构设置情况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（一）部门机构设置、职责</w:t>
      </w:r>
    </w:p>
    <w:p>
      <w:pPr>
        <w:keepNext w:val="0"/>
        <w:keepLines w:val="0"/>
        <w:pageBreakBefore w:val="0"/>
        <w:widowControl w:val="0"/>
        <w:kinsoku/>
        <w:wordWrap/>
        <w:overflowPunct/>
        <w:topLinePunct w:val="0"/>
        <w:autoSpaceDE/>
        <w:autoSpaceDN/>
        <w:bidi w:val="0"/>
        <w:adjustRightInd/>
        <w:snapToGrid/>
        <w:spacing w:line="560" w:lineRule="exact"/>
        <w:ind w:left="0" w:firstLine="555"/>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西城园管委会是区政府派出机构，区科委是区政府工作部门，西城园管委与区科委合署办公。共设办公室、党群工作办公室、发展规划科、金融科技科、产业促进科、科技创新科、科技项目科、企业服务科（安全生产办公室）8个内设机构，设科技创新中心1个事业单位。</w:t>
      </w:r>
    </w:p>
    <w:p>
      <w:pPr>
        <w:keepNext w:val="0"/>
        <w:keepLines w:val="0"/>
        <w:pageBreakBefore w:val="0"/>
        <w:widowControl w:val="0"/>
        <w:kinsoku/>
        <w:wordWrap/>
        <w:overflowPunct/>
        <w:topLinePunct w:val="0"/>
        <w:autoSpaceDE/>
        <w:autoSpaceDN/>
        <w:bidi w:val="0"/>
        <w:adjustRightInd/>
        <w:snapToGrid/>
        <w:spacing w:line="560" w:lineRule="exact"/>
        <w:ind w:left="0" w:firstLine="555"/>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1.宣传贯彻落实国家和北京市关于科技创新及中关村国家自主创新示范区的法律、法规、规章和政策，组织拟订相关政策措施并组织实施。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2.负责编制本区科技、科普工作规划并组织实施。负责编制园区发展规划、空间规划和产业规划，拟订园区发展建设方案，并组织实施。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3.牵头推进国家级金融科技示范区建设，拟订相关支持政策措施并组织实施。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4.统筹推进本区科技创新体系建设、科技服务体系建设，推动科技成果转移转化。负责本区科技专项资金实施。负责科技项目管理和科技保密等工作。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5.统筹推进本区科技服务业发展，牵头负责本区科技服务业企业服务工作。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6.负责园区产业促进工作。落实园区产业布局定位，推动园区重点工程、特色产业基地建设,服务重大项目落地，推进园区产业结构优化升级。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7.会同有关部门开展科技人才队伍建设，协调开展本区科技创新创业服务。统筹推进园区人才工作，加强高层次人才服务。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8.牵头负责园区企业服务工作，优化园区发展环境，协调开展园区公共服务。负责本区科技领域和园区对外交流合作，统筹推进科技创新文化建设。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sz w:val="32"/>
          <w:szCs w:val="32"/>
        </w:rPr>
      </w:pPr>
      <w:r>
        <w:rPr>
          <w:rFonts w:hint="eastAsia" w:eastAsia="仿宋_GB2312"/>
          <w:sz w:val="32"/>
          <w:szCs w:val="32"/>
        </w:rPr>
        <w:t>9.按照“管行业必须管安全、管业务必须管安全、管生产经营必须管安全”的要求，承担相关安全生产工作职责。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仿宋_GB2312"/>
          <w:sz w:val="32"/>
          <w:szCs w:val="32"/>
        </w:rPr>
      </w:pPr>
      <w:r>
        <w:rPr>
          <w:rFonts w:hint="eastAsia" w:eastAsia="仿宋_GB2312"/>
          <w:sz w:val="32"/>
          <w:szCs w:val="32"/>
        </w:rPr>
        <w:t>10.完成区委、区政府交办的其他任务。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（二）人员构成情况</w:t>
      </w:r>
    </w:p>
    <w:p>
      <w:pPr>
        <w:keepNext w:val="0"/>
        <w:keepLines w:val="0"/>
        <w:pageBreakBefore w:val="0"/>
        <w:widowControl w:val="0"/>
        <w:kinsoku/>
        <w:wordWrap/>
        <w:overflowPunct/>
        <w:topLinePunct w:val="0"/>
        <w:autoSpaceDE/>
        <w:autoSpaceDN/>
        <w:bidi w:val="0"/>
        <w:adjustRightInd/>
        <w:snapToGrid/>
        <w:spacing w:line="560" w:lineRule="exact"/>
        <w:ind w:left="0" w:firstLine="555"/>
        <w:textAlignment w:val="auto"/>
        <w:rPr>
          <w:rFonts w:ascii="仿宋_GB2312" w:eastAsia="仿宋_GB2312" w:cs="仿宋_GB2312"/>
          <w:sz w:val="32"/>
          <w:szCs w:val="32"/>
        </w:rPr>
      </w:pPr>
      <w:r>
        <w:rPr>
          <w:rFonts w:hint="eastAsia" w:ascii="仿宋_GB2312" w:hAnsi="Times New Roman" w:eastAsia="仿宋_GB2312" w:cs="仿宋_GB2312"/>
          <w:sz w:val="32"/>
          <w:szCs w:val="32"/>
          <w:lang w:eastAsia="zh-CN" w:bidi="ar"/>
        </w:rPr>
        <w:t>西城园</w:t>
      </w:r>
      <w:r>
        <w:rPr>
          <w:rFonts w:hint="eastAsia" w:ascii="仿宋_GB2312" w:hAnsi="Times New Roman" w:eastAsia="仿宋_GB2312" w:cs="仿宋_GB2312"/>
          <w:sz w:val="32"/>
          <w:szCs w:val="32"/>
          <w:lang w:bidi="ar"/>
        </w:rPr>
        <w:t>委员会</w:t>
      </w:r>
      <w:r>
        <w:rPr>
          <w:rFonts w:hint="eastAsia" w:ascii="仿宋_GB2312" w:hAnsi="Times New Roman" w:eastAsia="仿宋_GB2312" w:cs="仿宋_GB2312"/>
          <w:sz w:val="32"/>
          <w:szCs w:val="32"/>
          <w:lang w:eastAsia="zh-CN" w:bidi="ar"/>
        </w:rPr>
        <w:t>（区科委）</w:t>
      </w:r>
      <w:r>
        <w:rPr>
          <w:rFonts w:hint="eastAsia" w:ascii="仿宋_GB2312" w:hAnsi="Times New Roman" w:eastAsia="仿宋_GB2312" w:cs="仿宋_GB2312"/>
          <w:sz w:val="32"/>
          <w:szCs w:val="32"/>
          <w:lang w:bidi="ar"/>
        </w:rPr>
        <w:t>行政编制37人，事业编制12人，实际在职人员</w:t>
      </w:r>
      <w:r>
        <w:rPr>
          <w:rFonts w:hint="eastAsia" w:ascii="仿宋_GB2312" w:hAnsi="Times New Roman" w:eastAsia="仿宋_GB2312" w:cs="仿宋_GB2312"/>
          <w:sz w:val="32"/>
          <w:szCs w:val="32"/>
          <w:lang w:val="en-US" w:eastAsia="zh-CN" w:bidi="ar"/>
        </w:rPr>
        <w:t>41</w:t>
      </w:r>
      <w:r>
        <w:rPr>
          <w:rFonts w:hint="eastAsia" w:ascii="仿宋_GB2312" w:hAnsi="Times New Roman" w:eastAsia="仿宋_GB2312" w:cs="仿宋_GB2312"/>
          <w:sz w:val="32"/>
          <w:szCs w:val="32"/>
          <w:lang w:bidi="ar"/>
        </w:rPr>
        <w:t>人</w:t>
      </w:r>
      <w:r>
        <w:rPr>
          <w:rFonts w:hint="eastAsia" w:ascii="仿宋_GB2312" w:hAnsi="Times New Roman" w:eastAsia="仿宋_GB2312" w:cs="仿宋_GB2312"/>
          <w:sz w:val="32"/>
          <w:szCs w:val="32"/>
          <w:lang w:eastAsia="zh-CN" w:bidi="ar"/>
        </w:rPr>
        <w:t>，退休人员</w:t>
      </w:r>
      <w:r>
        <w:rPr>
          <w:rFonts w:hint="eastAsia" w:ascii="仿宋_GB2312" w:hAnsi="Times New Roman" w:eastAsia="仿宋_GB2312" w:cs="仿宋_GB2312"/>
          <w:sz w:val="32"/>
          <w:szCs w:val="32"/>
          <w:lang w:val="en-US" w:eastAsia="zh-CN" w:bidi="ar"/>
        </w:rPr>
        <w:t>30人</w:t>
      </w:r>
      <w:r>
        <w:rPr>
          <w:rFonts w:hint="eastAsia" w:ascii="仿宋_GB2312" w:hAnsi="Times New Roman" w:eastAsia="仿宋_GB2312" w:cs="仿宋_GB2312"/>
          <w:sz w:val="32"/>
          <w:szCs w:val="32"/>
          <w:lang w:bidi="ar"/>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二、202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年部门预算收支及增减变化情况说明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（一）收入预算说明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年收入预算6141.49</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元，其中:一般公共预算财政拨款6141.49</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元。比202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年收入预算</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2838.99万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提高</w:t>
      </w:r>
      <w:r>
        <w:rPr>
          <w:rFonts w:hint="eastAsia" w:ascii="仿宋_GB2312" w:hAnsi="Times New Roman" w:eastAsia="仿宋_GB2312" w:cs="仿宋_GB2312"/>
          <w:sz w:val="32"/>
          <w:szCs w:val="32"/>
          <w:lang w:val="en-US" w:eastAsia="zh-CN" w:bidi="ar"/>
        </w:rPr>
        <w:t>85.96</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机构改革转入项目，导致收入预算增加；机构改革转入人员，导致房租和物业管理费增加；政策兑现资金增加</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（二）支出预算说明</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年支出预算6141.49</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元，比202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年支出预算</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2838.99万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提高</w:t>
      </w:r>
      <w:r>
        <w:rPr>
          <w:rFonts w:hint="eastAsia" w:ascii="仿宋_GB2312" w:hAnsi="Times New Roman" w:eastAsia="仿宋_GB2312" w:cs="仿宋_GB2312"/>
          <w:sz w:val="32"/>
          <w:szCs w:val="32"/>
          <w:lang w:val="en-US" w:eastAsia="zh-CN" w:bidi="ar"/>
        </w:rPr>
        <w:t>85.96</w:t>
      </w:r>
      <w:r>
        <w:rPr>
          <w:rFonts w:hint="eastAsia" w:ascii="仿宋_GB2312" w:hAnsi="Times New Roman" w:eastAsia="仿宋_GB2312" w:cs="仿宋_GB2312"/>
          <w:sz w:val="32"/>
          <w:szCs w:val="32"/>
          <w:lang w:bidi="ar"/>
        </w:rPr>
        <w:t>%，其中：预算内资金安排6141.49</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元，财政专户资金安排0元，其他资金安排0元，市级提前下达专项转移支付项目资金安排0元。</w:t>
      </w:r>
    </w:p>
    <w:p>
      <w:pPr>
        <w:keepNext w:val="0"/>
        <w:keepLines w:val="0"/>
        <w:pageBreakBefore w:val="0"/>
        <w:widowControl/>
        <w:kinsoku/>
        <w:wordWrap/>
        <w:overflowPunct/>
        <w:topLinePunct w:val="0"/>
        <w:bidi w:val="0"/>
        <w:snapToGrid/>
        <w:spacing w:line="560" w:lineRule="exact"/>
        <w:ind w:left="0"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预算内资金中基本支出预算1583.81</w:t>
      </w:r>
      <w:r>
        <w:rPr>
          <w:rFonts w:hint="eastAsia" w:ascii="仿宋_GB2312" w:hAnsi="Times New Roman" w:eastAsia="仿宋_GB2312" w:cs="仿宋_GB2312"/>
          <w:sz w:val="32"/>
          <w:szCs w:val="32"/>
          <w:lang w:eastAsia="zh-CN" w:bidi="ar"/>
        </w:rPr>
        <w:t>万元</w:t>
      </w:r>
      <w:r>
        <w:rPr>
          <w:rFonts w:hint="eastAsia" w:ascii="仿宋_GB2312" w:hAnsi="Times New Roman" w:eastAsia="仿宋_GB2312" w:cs="仿宋_GB2312"/>
          <w:sz w:val="32"/>
          <w:szCs w:val="32"/>
          <w:lang w:bidi="ar"/>
        </w:rPr>
        <w:t>，比202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580.83万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提高</w:t>
      </w:r>
      <w:r>
        <w:rPr>
          <w:rFonts w:hint="eastAsia" w:ascii="仿宋_GB2312" w:hAnsi="Times New Roman" w:eastAsia="仿宋_GB2312" w:cs="仿宋_GB2312"/>
          <w:sz w:val="32"/>
          <w:szCs w:val="32"/>
          <w:lang w:val="en-US" w:eastAsia="zh-CN" w:bidi="ar"/>
        </w:rPr>
        <w:t>57.91</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机构改革转入行政编制人员和事业编制人员，基本支出增加</w:t>
      </w:r>
      <w:r>
        <w:rPr>
          <w:rFonts w:hint="eastAsia" w:ascii="仿宋_GB2312" w:hAnsi="Times New Roman" w:eastAsia="仿宋_GB2312" w:cs="仿宋_GB2312"/>
          <w:sz w:val="32"/>
          <w:szCs w:val="32"/>
          <w:lang w:bidi="ar"/>
        </w:rPr>
        <w:t>；项目支出预算4557.68</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bidi="ar"/>
        </w:rPr>
        <w:t>元，比202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增加</w:t>
      </w:r>
      <w:r>
        <w:rPr>
          <w:rFonts w:hint="eastAsia" w:ascii="仿宋_GB2312" w:hAnsi="Times New Roman" w:eastAsia="仿宋_GB2312" w:cs="仿宋_GB2312"/>
          <w:sz w:val="32"/>
          <w:szCs w:val="32"/>
          <w:lang w:val="en-US" w:eastAsia="zh-CN" w:bidi="ar"/>
        </w:rPr>
        <w:t>2158.16万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提高</w:t>
      </w:r>
      <w:r>
        <w:rPr>
          <w:rFonts w:hint="eastAsia" w:ascii="仿宋_GB2312" w:hAnsi="Times New Roman" w:eastAsia="仿宋_GB2312" w:cs="仿宋_GB2312"/>
          <w:sz w:val="32"/>
          <w:szCs w:val="32"/>
          <w:lang w:val="en-US" w:eastAsia="zh-CN" w:bidi="ar"/>
        </w:rPr>
        <w:t>93.85</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机构改革转入项目，导致支出增加；机构改革转入人员，导致房租和物业管理费增加；政策兑现资金增加</w:t>
      </w:r>
      <w:r>
        <w:rPr>
          <w:rFonts w:hint="eastAsia" w:ascii="仿宋_GB2312" w:hAnsi="Times New Roman" w:eastAsia="仿宋_GB2312" w:cs="仿宋_GB2312"/>
          <w:sz w:val="32"/>
          <w:szCs w:val="32"/>
          <w:lang w:bidi="ar"/>
        </w:rPr>
        <w:t>。</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三、主要支出情况</w:t>
      </w:r>
    </w:p>
    <w:p>
      <w:pPr>
        <w:keepNext w:val="0"/>
        <w:keepLines w:val="0"/>
        <w:pageBreakBefore w:val="0"/>
        <w:kinsoku/>
        <w:wordWrap/>
        <w:overflowPunct/>
        <w:topLinePunct w:val="0"/>
        <w:bidi w:val="0"/>
        <w:snapToGrid/>
        <w:spacing w:line="560" w:lineRule="exact"/>
        <w:ind w:left="0" w:firstLine="640" w:firstLineChars="200"/>
        <w:textAlignment w:val="auto"/>
        <w:outlineLvl w:val="0"/>
        <w:rPr>
          <w:rFonts w:ascii="仿宋_GB2312" w:eastAsia="仿宋_GB2312" w:cs="仿宋_GB2312"/>
          <w:sz w:val="32"/>
          <w:szCs w:val="32"/>
        </w:rPr>
      </w:pPr>
      <w:bookmarkStart w:id="0" w:name="_Toc17531"/>
      <w:bookmarkStart w:id="1" w:name="_Toc25448"/>
      <w:r>
        <w:rPr>
          <w:rFonts w:hint="eastAsia" w:ascii="仿宋_GB2312" w:hAnsi="Times New Roman" w:eastAsia="仿宋_GB2312" w:cs="仿宋_GB2312"/>
          <w:sz w:val="32"/>
          <w:szCs w:val="32"/>
          <w:lang w:bidi="ar"/>
        </w:rPr>
        <w:t>基本支出主要包括</w:t>
      </w:r>
      <w:bookmarkEnd w:id="0"/>
      <w:bookmarkEnd w:id="1"/>
      <w:r>
        <w:rPr>
          <w:rFonts w:hint="eastAsia" w:ascii="仿宋_GB2312" w:hAnsi="Times New Roman" w:eastAsia="仿宋_GB2312" w:cs="仿宋_GB2312"/>
          <w:sz w:val="32"/>
          <w:szCs w:val="32"/>
          <w:lang w:bidi="ar"/>
        </w:rPr>
        <w:t>在职人员支出、个人和家庭补助支出及</w:t>
      </w:r>
      <w:bookmarkStart w:id="2" w:name="_Toc3237"/>
      <w:bookmarkStart w:id="3" w:name="_Toc7025"/>
      <w:r>
        <w:rPr>
          <w:rFonts w:hint="eastAsia" w:ascii="仿宋_GB2312" w:hAnsi="Times New Roman" w:eastAsia="仿宋_GB2312" w:cs="仿宋_GB2312"/>
          <w:sz w:val="32"/>
          <w:szCs w:val="32"/>
          <w:lang w:bidi="ar"/>
        </w:rPr>
        <w:t>日常公用支出。</w:t>
      </w:r>
    </w:p>
    <w:p>
      <w:pPr>
        <w:keepNext w:val="0"/>
        <w:keepLines w:val="0"/>
        <w:pageBreakBefore w:val="0"/>
        <w:kinsoku/>
        <w:wordWrap/>
        <w:overflowPunct/>
        <w:topLinePunct w:val="0"/>
        <w:bidi w:val="0"/>
        <w:snapToGrid/>
        <w:spacing w:line="560" w:lineRule="exact"/>
        <w:ind w:left="0" w:firstLine="640" w:firstLineChars="200"/>
        <w:textAlignment w:val="auto"/>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项目支出主要</w:t>
      </w:r>
      <w:bookmarkEnd w:id="2"/>
      <w:bookmarkEnd w:id="3"/>
      <w:r>
        <w:rPr>
          <w:rFonts w:hint="eastAsia" w:ascii="仿宋_GB2312" w:hAnsi="Times New Roman" w:eastAsia="仿宋_GB2312" w:cs="仿宋_GB2312"/>
          <w:sz w:val="32"/>
          <w:szCs w:val="32"/>
          <w:lang w:bidi="ar"/>
        </w:rPr>
        <w:t>包括HICOOL活动相关费用、房租、中关村西城园体制机制改革提升项目</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以前年度科技专项项目经费尾款等。</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四、部门“三公”经费财政拨款预算说明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（一）“三公”经费的单位范围</w:t>
      </w:r>
    </w:p>
    <w:p>
      <w:pPr>
        <w:keepNext w:val="0"/>
        <w:keepLines w:val="0"/>
        <w:pageBreakBefore w:val="0"/>
        <w:kinsoku/>
        <w:wordWrap/>
        <w:overflowPunct/>
        <w:topLinePunct w:val="0"/>
        <w:bidi w:val="0"/>
        <w:snapToGrid/>
        <w:spacing w:line="560" w:lineRule="exact"/>
        <w:ind w:left="0" w:firstLine="640" w:firstLineChars="200"/>
        <w:textAlignment w:val="auto"/>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年部门预算中因公出国（境）费、公务接待费、公务用车购置及运行维护费的支出单位包括1个所属单位，即中关村科技园区西城园管理委员会</w:t>
      </w:r>
      <w:r>
        <w:rPr>
          <w:rFonts w:hint="eastAsia" w:ascii="仿宋_GB2312" w:hAnsi="Times New Roman" w:eastAsia="仿宋_GB2312" w:cs="仿宋_GB2312"/>
          <w:sz w:val="32"/>
          <w:szCs w:val="32"/>
          <w:lang w:eastAsia="zh-CN" w:bidi="ar"/>
        </w:rPr>
        <w:t>（北京市西城区科学技术委员会）</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（二）“三公”经费预算财政拨款情况说明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年部门预算“三公”经费财政拨款预算0元，与202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年初</w:t>
      </w:r>
      <w:r>
        <w:rPr>
          <w:rFonts w:hint="eastAsia" w:ascii="仿宋_GB2312" w:hAnsi="Times New Roman" w:eastAsia="仿宋_GB2312" w:cs="仿宋_GB2312"/>
          <w:sz w:val="32"/>
          <w:szCs w:val="32"/>
          <w:lang w:bidi="ar"/>
        </w:rPr>
        <w:t>预算一致。</w:t>
      </w:r>
    </w:p>
    <w:p>
      <w:pPr>
        <w:pStyle w:val="8"/>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1.因公出国（境）费</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年预算0元，与202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年初</w:t>
      </w:r>
      <w:r>
        <w:rPr>
          <w:rFonts w:hint="eastAsia" w:ascii="仿宋_GB2312" w:hAnsi="Times New Roman" w:eastAsia="仿宋_GB2312" w:cs="仿宋_GB2312"/>
          <w:sz w:val="32"/>
          <w:szCs w:val="32"/>
          <w:lang w:bidi="ar"/>
        </w:rPr>
        <w:t>预算一致。</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2.公务接待费</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年预算0元，与202</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年预算一致。</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bookmarkStart w:id="4" w:name="_GoBack"/>
      <w:bookmarkEnd w:id="4"/>
      <w:r>
        <w:rPr>
          <w:rFonts w:hint="eastAsia" w:ascii="仿宋_GB2312" w:hAnsi="Times New Roman" w:eastAsia="仿宋_GB2312" w:cs="仿宋_GB2312"/>
          <w:sz w:val="32"/>
          <w:szCs w:val="32"/>
          <w:lang w:bidi="ar"/>
        </w:rPr>
        <w:t>3.公务用车购置及运行维护费</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年公务用车数量为0辆，预算0万元，其中公务用车购置费0万元，公务用车运行维护费0万元。与202</w:t>
      </w: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年公务用车预算一致。</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五、其他情况说明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（一）机构运行经费说明</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Times New Roman" w:eastAsia="仿宋_GB2312" w:cs="仿宋_GB2312"/>
          <w:sz w:val="32"/>
          <w:szCs w:val="32"/>
          <w:lang w:val="en-US" w:eastAsia="zh-CN" w:bidi="ar"/>
        </w:rPr>
      </w:pPr>
      <w:r>
        <w:rPr>
          <w:rFonts w:hint="eastAsia" w:ascii="仿宋_GB2312" w:hAnsi="Times New Roman" w:eastAsia="仿宋_GB2312" w:cs="仿宋_GB2312"/>
          <w:sz w:val="32"/>
          <w:szCs w:val="32"/>
          <w:lang w:val="en-US" w:eastAsia="zh-CN" w:bidi="ar"/>
        </w:rPr>
        <w:t>2025年基本支出合计</w:t>
      </w:r>
      <w:r>
        <w:rPr>
          <w:rFonts w:hint="eastAsia" w:ascii="仿宋_GB2312" w:hAnsi="Times New Roman" w:eastAsia="仿宋_GB2312" w:cs="仿宋_GB2312"/>
          <w:sz w:val="32"/>
          <w:szCs w:val="32"/>
          <w:lang w:bidi="ar"/>
        </w:rPr>
        <w:t>1583.81</w:t>
      </w:r>
      <w:r>
        <w:rPr>
          <w:rFonts w:hint="eastAsia" w:ascii="仿宋_GB2312" w:hAnsi="Times New Roman" w:eastAsia="仿宋_GB2312" w:cs="仿宋_GB2312"/>
          <w:sz w:val="32"/>
          <w:szCs w:val="32"/>
          <w:lang w:eastAsia="zh-CN" w:bidi="ar"/>
        </w:rPr>
        <w:t>万元</w:t>
      </w:r>
      <w:r>
        <w:rPr>
          <w:rFonts w:hint="eastAsia" w:ascii="仿宋_GB2312" w:hAnsi="Times New Roman" w:eastAsia="仿宋_GB2312" w:cs="仿宋_GB2312"/>
          <w:sz w:val="32"/>
          <w:szCs w:val="32"/>
          <w:lang w:val="en-US" w:eastAsia="zh-CN" w:bidi="ar"/>
        </w:rPr>
        <w:t>，其中，人员经费1449.48万元，公用经费134.34万元。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）政府采购预算说明</w:t>
      </w:r>
    </w:p>
    <w:p>
      <w:pPr>
        <w:keepNext w:val="0"/>
        <w:keepLines w:val="0"/>
        <w:pageBreakBefore w:val="0"/>
        <w:kinsoku/>
        <w:wordWrap/>
        <w:overflowPunct/>
        <w:topLinePunct w:val="0"/>
        <w:bidi w:val="0"/>
        <w:snapToGrid/>
        <w:spacing w:line="560" w:lineRule="exact"/>
        <w:ind w:left="0" w:firstLine="713" w:firstLineChars="223"/>
        <w:textAlignment w:val="auto"/>
        <w:rPr>
          <w:rFonts w:asci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202</w:t>
      </w:r>
      <w:r>
        <w:rPr>
          <w:rFonts w:hint="eastAsia" w:ascii="仿宋_GB2312" w:hAnsi="Times New Roman" w:eastAsia="仿宋_GB2312" w:cs="仿宋_GB2312"/>
          <w:sz w:val="32"/>
          <w:szCs w:val="32"/>
          <w:highlight w:val="none"/>
          <w:lang w:val="en-US" w:eastAsia="zh-CN" w:bidi="ar"/>
        </w:rPr>
        <w:t>5</w:t>
      </w:r>
      <w:r>
        <w:rPr>
          <w:rFonts w:hint="eastAsia" w:ascii="仿宋_GB2312" w:hAnsi="Times New Roman" w:eastAsia="仿宋_GB2312" w:cs="仿宋_GB2312"/>
          <w:sz w:val="32"/>
          <w:szCs w:val="32"/>
          <w:highlight w:val="none"/>
          <w:lang w:bidi="ar"/>
        </w:rPr>
        <w:t>年政府采购项目</w:t>
      </w:r>
      <w:r>
        <w:rPr>
          <w:rFonts w:hint="eastAsia" w:ascii="仿宋_GB2312" w:hAnsi="Times New Roman" w:eastAsia="仿宋_GB2312" w:cs="仿宋_GB2312"/>
          <w:sz w:val="32"/>
          <w:szCs w:val="32"/>
          <w:highlight w:val="none"/>
          <w:lang w:val="en-US" w:eastAsia="zh-CN" w:bidi="ar"/>
        </w:rPr>
        <w:t>0项</w:t>
      </w:r>
      <w:r>
        <w:rPr>
          <w:rFonts w:hint="eastAsia" w:ascii="仿宋_GB2312" w:hAnsi="Times New Roman" w:eastAsia="仿宋_GB2312" w:cs="仿宋_GB2312"/>
          <w:sz w:val="32"/>
          <w:szCs w:val="32"/>
          <w:highlight w:val="none"/>
          <w:lang w:bidi="ar"/>
        </w:rPr>
        <w:t>，</w:t>
      </w:r>
      <w:r>
        <w:rPr>
          <w:rFonts w:hint="eastAsia" w:ascii="仿宋_GB2312" w:hAnsi="Times New Roman" w:eastAsia="仿宋_GB2312" w:cs="仿宋_GB2312"/>
          <w:spacing w:val="-14"/>
          <w:sz w:val="32"/>
          <w:szCs w:val="32"/>
          <w:highlight w:val="none"/>
          <w:lang w:eastAsia="zh-CN" w:bidi="ar"/>
        </w:rPr>
        <w:t>预算资金</w:t>
      </w:r>
      <w:r>
        <w:rPr>
          <w:rFonts w:hint="eastAsia" w:ascii="仿宋_GB2312" w:hAnsi="Times New Roman" w:eastAsia="仿宋_GB2312" w:cs="仿宋_GB2312"/>
          <w:sz w:val="32"/>
          <w:szCs w:val="32"/>
          <w:highlight w:val="none"/>
          <w:lang w:val="en-US" w:eastAsia="zh-CN" w:bidi="ar"/>
        </w:rPr>
        <w:t>0元</w:t>
      </w:r>
      <w:r>
        <w:rPr>
          <w:rFonts w:hint="eastAsia" w:ascii="仿宋_GB2312" w:hAnsi="Times New Roman" w:eastAsia="仿宋_GB2312" w:cs="仿宋_GB231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）政府购买服务预算说明</w:t>
      </w:r>
    </w:p>
    <w:p>
      <w:pPr>
        <w:keepNext w:val="0"/>
        <w:keepLines w:val="0"/>
        <w:pageBreakBefore w:val="0"/>
        <w:kinsoku/>
        <w:wordWrap/>
        <w:overflowPunct/>
        <w:topLinePunct w:val="0"/>
        <w:bidi w:val="0"/>
        <w:snapToGrid/>
        <w:spacing w:line="560" w:lineRule="exact"/>
        <w:ind w:left="0" w:firstLine="730" w:firstLineChars="250"/>
        <w:textAlignment w:val="auto"/>
        <w:rPr>
          <w:rFonts w:ascii="仿宋_GB2312" w:eastAsia="仿宋_GB2312" w:cs="仿宋_GB2312"/>
          <w:spacing w:val="-14"/>
          <w:sz w:val="32"/>
          <w:szCs w:val="32"/>
        </w:rPr>
      </w:pPr>
      <w:r>
        <w:rPr>
          <w:rFonts w:hint="eastAsia" w:ascii="仿宋_GB2312" w:hAnsi="Times New Roman" w:eastAsia="仿宋_GB2312" w:cs="仿宋_GB2312"/>
          <w:spacing w:val="-14"/>
          <w:sz w:val="32"/>
          <w:szCs w:val="32"/>
          <w:lang w:bidi="ar"/>
        </w:rPr>
        <w:t>202</w:t>
      </w:r>
      <w:r>
        <w:rPr>
          <w:rFonts w:hint="eastAsia" w:ascii="仿宋_GB2312" w:hAnsi="Times New Roman" w:eastAsia="仿宋_GB2312" w:cs="仿宋_GB2312"/>
          <w:spacing w:val="-14"/>
          <w:sz w:val="32"/>
          <w:szCs w:val="32"/>
          <w:lang w:val="en-US" w:eastAsia="zh-CN" w:bidi="ar"/>
        </w:rPr>
        <w:t>5</w:t>
      </w:r>
      <w:r>
        <w:rPr>
          <w:rFonts w:hint="eastAsia" w:ascii="仿宋_GB2312" w:hAnsi="Times New Roman" w:eastAsia="仿宋_GB2312" w:cs="仿宋_GB2312"/>
          <w:spacing w:val="-14"/>
          <w:sz w:val="32"/>
          <w:szCs w:val="32"/>
          <w:lang w:bidi="ar"/>
        </w:rPr>
        <w:t>年政府购买服务项目</w:t>
      </w:r>
      <w:r>
        <w:rPr>
          <w:rFonts w:hint="eastAsia" w:ascii="仿宋_GB2312" w:hAnsi="Times New Roman" w:eastAsia="仿宋_GB2312" w:cs="仿宋_GB2312"/>
          <w:spacing w:val="-14"/>
          <w:sz w:val="32"/>
          <w:szCs w:val="32"/>
          <w:lang w:val="en-US" w:eastAsia="zh-CN" w:bidi="ar"/>
        </w:rPr>
        <w:t>4</w:t>
      </w:r>
      <w:r>
        <w:rPr>
          <w:rFonts w:hint="eastAsia" w:ascii="仿宋_GB2312" w:hAnsi="Times New Roman" w:eastAsia="仿宋_GB2312" w:cs="仿宋_GB2312"/>
          <w:spacing w:val="-14"/>
          <w:sz w:val="32"/>
          <w:szCs w:val="32"/>
          <w:lang w:eastAsia="zh-CN" w:bidi="ar"/>
        </w:rPr>
        <w:t>项</w:t>
      </w:r>
      <w:r>
        <w:rPr>
          <w:rFonts w:hint="eastAsia" w:ascii="仿宋_GB2312" w:hAnsi="Times New Roman" w:eastAsia="仿宋_GB2312" w:cs="仿宋_GB2312"/>
          <w:spacing w:val="-14"/>
          <w:sz w:val="32"/>
          <w:szCs w:val="32"/>
          <w:lang w:bidi="ar"/>
        </w:rPr>
        <w:t>，</w:t>
      </w:r>
      <w:r>
        <w:rPr>
          <w:rFonts w:hint="eastAsia" w:ascii="仿宋_GB2312" w:hAnsi="Times New Roman" w:eastAsia="仿宋_GB2312" w:cs="仿宋_GB2312"/>
          <w:spacing w:val="-14"/>
          <w:sz w:val="32"/>
          <w:szCs w:val="32"/>
          <w:lang w:eastAsia="zh-CN" w:bidi="ar"/>
        </w:rPr>
        <w:t>预算资金</w:t>
      </w:r>
      <w:r>
        <w:rPr>
          <w:rFonts w:hint="eastAsia" w:ascii="仿宋_GB2312" w:hAnsi="Times New Roman" w:eastAsia="仿宋_GB2312" w:cs="仿宋_GB2312"/>
          <w:sz w:val="32"/>
          <w:szCs w:val="32"/>
          <w:lang w:val="en-US" w:eastAsia="zh-CN" w:bidi="ar"/>
        </w:rPr>
        <w:t>834.42</w:t>
      </w:r>
      <w:r>
        <w:rPr>
          <w:rFonts w:hint="eastAsia" w:ascii="仿宋_GB2312" w:hAnsi="Times New Roman" w:eastAsia="仿宋_GB2312" w:cs="仿宋_GB2312"/>
          <w:sz w:val="32"/>
          <w:szCs w:val="32"/>
          <w:lang w:eastAsia="zh-CN" w:bidi="ar"/>
        </w:rPr>
        <w:t>万</w:t>
      </w:r>
      <w:r>
        <w:rPr>
          <w:rFonts w:hint="eastAsia" w:ascii="仿宋_GB2312" w:hAnsi="Times New Roman" w:eastAsia="仿宋_GB2312" w:cs="仿宋_GB2312"/>
          <w:sz w:val="32"/>
          <w:szCs w:val="32"/>
          <w:lang w:val="en-US" w:eastAsia="zh-CN" w:bidi="ar"/>
        </w:rPr>
        <w:t>元</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）项目支出绩效目标情况说明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bidi="ar"/>
          <w14:textFill>
            <w14:solidFill>
              <w14:schemeClr w14:val="tx1"/>
            </w14:solidFill>
          </w14:textFill>
        </w:rPr>
        <w:t>202</w:t>
      </w:r>
      <w:r>
        <w:rPr>
          <w:rFonts w:hint="eastAsia" w:ascii="仿宋_GB2312" w:hAnsi="Times New Roman" w:eastAsia="仿宋_GB2312" w:cs="仿宋_GB2312"/>
          <w:color w:val="000000" w:themeColor="text1"/>
          <w:sz w:val="32"/>
          <w:szCs w:val="32"/>
          <w:lang w:val="en-US" w:eastAsia="zh-CN" w:bidi="ar"/>
          <w14:textFill>
            <w14:solidFill>
              <w14:schemeClr w14:val="tx1"/>
            </w14:solidFill>
          </w14:textFill>
        </w:rPr>
        <w:t>5</w:t>
      </w:r>
      <w:r>
        <w:rPr>
          <w:rFonts w:hint="eastAsia" w:ascii="仿宋_GB2312" w:hAnsi="Times New Roman" w:eastAsia="仿宋_GB2312" w:cs="仿宋_GB2312"/>
          <w:color w:val="000000" w:themeColor="text1"/>
          <w:sz w:val="32"/>
          <w:szCs w:val="32"/>
          <w:lang w:bidi="ar"/>
          <w14:textFill>
            <w14:solidFill>
              <w14:schemeClr w14:val="tx1"/>
            </w14:solidFill>
          </w14:textFill>
        </w:rPr>
        <w:t>年本部门填报绩效目标的预算项目</w:t>
      </w:r>
      <w:r>
        <w:rPr>
          <w:rFonts w:hint="eastAsia" w:ascii="仿宋_GB2312" w:hAnsi="Times New Roman" w:eastAsia="仿宋_GB2312" w:cs="仿宋_GB2312"/>
          <w:color w:val="000000" w:themeColor="text1"/>
          <w:sz w:val="32"/>
          <w:szCs w:val="32"/>
          <w:lang w:val="en-US" w:eastAsia="zh-CN" w:bidi="ar"/>
          <w14:textFill>
            <w14:solidFill>
              <w14:schemeClr w14:val="tx1"/>
            </w14:solidFill>
          </w14:textFill>
        </w:rPr>
        <w:t>31</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项</w:t>
      </w:r>
      <w:r>
        <w:rPr>
          <w:rFonts w:hint="eastAsia" w:ascii="仿宋_GB2312" w:hAnsi="Times New Roman" w:eastAsia="仿宋_GB2312" w:cs="仿宋_GB2312"/>
          <w:color w:val="000000" w:themeColor="text1"/>
          <w:sz w:val="32"/>
          <w:szCs w:val="32"/>
          <w:lang w:bidi="ar"/>
          <w14:textFill>
            <w14:solidFill>
              <w14:schemeClr w14:val="tx1"/>
            </w14:solidFill>
          </w14:textFill>
        </w:rPr>
        <w:t>，预算资金</w:t>
      </w:r>
      <w:r>
        <w:rPr>
          <w:rFonts w:hint="eastAsia" w:ascii="仿宋_GB2312" w:hAnsi="Times New Roman" w:eastAsia="仿宋_GB2312" w:cs="仿宋_GB2312"/>
          <w:color w:val="000000" w:themeColor="text1"/>
          <w:sz w:val="32"/>
          <w:szCs w:val="32"/>
          <w:lang w:val="en-US" w:eastAsia="zh-CN" w:bidi="ar"/>
          <w14:textFill>
            <w14:solidFill>
              <w14:schemeClr w14:val="tx1"/>
            </w14:solidFill>
          </w14:textFill>
        </w:rPr>
        <w:t>4557.68</w:t>
      </w:r>
      <w:r>
        <w:rPr>
          <w:rFonts w:hint="eastAsia" w:ascii="仿宋_GB2312" w:hAnsi="Times New Roman" w:eastAsia="仿宋_GB2312" w:cs="仿宋_GB2312"/>
          <w:color w:val="000000" w:themeColor="text1"/>
          <w:sz w:val="32"/>
          <w:szCs w:val="32"/>
          <w:lang w:eastAsia="zh-CN" w:bidi="ar"/>
          <w14:textFill>
            <w14:solidFill>
              <w14:schemeClr w14:val="tx1"/>
            </w14:solidFill>
          </w14:textFill>
        </w:rPr>
        <w:t>万</w:t>
      </w:r>
      <w:r>
        <w:rPr>
          <w:rFonts w:hint="eastAsia" w:ascii="仿宋_GB2312" w:hAnsi="Times New Roman" w:eastAsia="仿宋_GB2312" w:cs="仿宋_GB2312"/>
          <w:color w:val="000000" w:themeColor="text1"/>
          <w:sz w:val="32"/>
          <w:szCs w:val="32"/>
          <w:lang w:bidi="ar"/>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）国有资本经营预算财政拨款情况说明</w:t>
      </w:r>
    </w:p>
    <w:p>
      <w:pPr>
        <w:keepNext w:val="0"/>
        <w:keepLines w:val="0"/>
        <w:pageBreakBefore w:val="0"/>
        <w:kinsoku/>
        <w:wordWrap/>
        <w:overflowPunct/>
        <w:topLinePunct w:val="0"/>
        <w:bidi w:val="0"/>
        <w:snapToGrid/>
        <w:spacing w:line="560" w:lineRule="exact"/>
        <w:ind w:left="0" w:firstLine="645"/>
        <w:textAlignment w:val="auto"/>
        <w:rPr>
          <w:rFonts w:ascii="仿宋_GB2312" w:eastAsia="仿宋_GB2312" w:cs="仿宋_GB2312"/>
          <w:sz w:val="32"/>
          <w:szCs w:val="32"/>
        </w:rPr>
      </w:pPr>
      <w:r>
        <w:rPr>
          <w:rFonts w:hint="eastAsia" w:ascii="仿宋_GB2312" w:hAnsi="Times New Roman" w:eastAsia="仿宋_GB2312" w:cs="仿宋_GB2312"/>
          <w:sz w:val="32"/>
          <w:szCs w:val="32"/>
          <w:lang w:eastAsia="zh-CN" w:bidi="ar"/>
        </w:rPr>
        <w:t>西城园管委会（区科委）</w:t>
      </w:r>
      <w:r>
        <w:rPr>
          <w:rFonts w:hint="eastAsia" w:ascii="仿宋_GB2312" w:hAnsi="Times New Roman" w:eastAsia="仿宋_GB2312" w:cs="仿宋_GB2312"/>
          <w:sz w:val="32"/>
          <w:szCs w:val="32"/>
          <w:lang w:bidi="ar"/>
        </w:rPr>
        <w:t>无国有资本经营预算拨款收支情况。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六</w:t>
      </w:r>
      <w:r>
        <w:rPr>
          <w:rFonts w:hint="eastAsia" w:ascii="楷体_GB2312" w:hAnsi="楷体_GB2312" w:eastAsia="楷体_GB2312" w:cs="楷体_GB2312"/>
          <w:kern w:val="0"/>
          <w:sz w:val="32"/>
          <w:szCs w:val="32"/>
        </w:rPr>
        <w:t>）国有资产占用情况说明</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截止202</w:t>
      </w:r>
      <w:r>
        <w:rPr>
          <w:rFonts w:hint="eastAsia" w:ascii="仿宋_GB2312" w:hAnsi="Times New Roman" w:eastAsia="仿宋_GB2312" w:cs="仿宋_GB2312"/>
          <w:sz w:val="32"/>
          <w:szCs w:val="32"/>
          <w:highlight w:val="none"/>
          <w:lang w:val="en-US" w:eastAsia="zh-CN" w:bidi="ar"/>
        </w:rPr>
        <w:t>4</w:t>
      </w:r>
      <w:r>
        <w:rPr>
          <w:rFonts w:hint="eastAsia" w:ascii="仿宋_GB2312" w:hAnsi="Times New Roman" w:eastAsia="仿宋_GB2312" w:cs="仿宋_GB2312"/>
          <w:sz w:val="32"/>
          <w:szCs w:val="32"/>
          <w:highlight w:val="none"/>
          <w:lang w:bidi="ar"/>
        </w:rPr>
        <w:t>年底，本部门固定资产总额</w:t>
      </w:r>
      <w:r>
        <w:rPr>
          <w:rFonts w:hint="eastAsia" w:ascii="仿宋_GB2312" w:hAnsi="Times New Roman" w:eastAsia="仿宋_GB2312" w:cs="仿宋_GB2312"/>
          <w:sz w:val="32"/>
          <w:szCs w:val="32"/>
          <w:highlight w:val="none"/>
          <w:lang w:val="en-US" w:eastAsia="zh-CN" w:bidi="ar"/>
        </w:rPr>
        <w:t>165.94万</w:t>
      </w:r>
      <w:r>
        <w:rPr>
          <w:rFonts w:hint="eastAsia" w:ascii="仿宋_GB2312" w:hAnsi="Times New Roman" w:eastAsia="仿宋_GB2312" w:cs="仿宋_GB2312"/>
          <w:color w:val="000000" w:themeColor="text1"/>
          <w:sz w:val="32"/>
          <w:szCs w:val="32"/>
          <w:highlight w:val="none"/>
          <w:lang w:bidi="ar"/>
          <w14:textFill>
            <w14:solidFill>
              <w14:schemeClr w14:val="tx1"/>
            </w14:solidFill>
          </w14:textFill>
        </w:rPr>
        <w:t>元</w:t>
      </w:r>
      <w:r>
        <w:rPr>
          <w:rFonts w:hint="eastAsia" w:ascii="仿宋_GB2312" w:hAnsi="Times New Roman" w:eastAsia="仿宋_GB2312" w:cs="仿宋_GB2312"/>
          <w:sz w:val="32"/>
          <w:szCs w:val="32"/>
          <w:highlight w:val="none"/>
          <w:lang w:bidi="ar"/>
        </w:rPr>
        <w:t>，其中：车辆0台，0万元；单位价值50万元以上的通用设备0台（套）、0万元，单位价值100万元以上的专用设备0台（套）、0万元。</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hAnsi="Times New Roman" w:eastAsia="仿宋_GB2312" w:cs="仿宋_GB2312"/>
          <w:sz w:val="32"/>
          <w:szCs w:val="32"/>
          <w:highlight w:val="none"/>
          <w:lang w:bidi="ar"/>
        </w:rPr>
      </w:pPr>
      <w:r>
        <w:rPr>
          <w:rFonts w:hint="eastAsia" w:ascii="仿宋_GB2312" w:hAnsi="Times New Roman" w:eastAsia="仿宋_GB2312" w:cs="仿宋_GB2312"/>
          <w:sz w:val="32"/>
          <w:szCs w:val="32"/>
          <w:highlight w:val="none"/>
          <w:lang w:bidi="ar"/>
        </w:rPr>
        <w:t>202</w:t>
      </w:r>
      <w:r>
        <w:rPr>
          <w:rFonts w:hint="eastAsia" w:ascii="仿宋_GB2312" w:hAnsi="Times New Roman" w:eastAsia="仿宋_GB2312" w:cs="仿宋_GB2312"/>
          <w:sz w:val="32"/>
          <w:szCs w:val="32"/>
          <w:highlight w:val="none"/>
          <w:lang w:val="en-US" w:eastAsia="zh-CN" w:bidi="ar"/>
        </w:rPr>
        <w:t>5</w:t>
      </w:r>
      <w:r>
        <w:rPr>
          <w:rFonts w:hint="eastAsia" w:ascii="仿宋_GB2312" w:hAnsi="Times New Roman" w:eastAsia="仿宋_GB2312" w:cs="仿宋_GB2312"/>
          <w:sz w:val="32"/>
          <w:szCs w:val="32"/>
          <w:highlight w:val="none"/>
          <w:lang w:bidi="ar"/>
        </w:rPr>
        <w:t>年部门预算:安排购置车辆0台,0万元,安排购置单位价值50万元以上的通用设备0台(套),0万元;单位价值100万元以上的专用设备0台(套),0万元。</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六、名称解释</w:t>
      </w:r>
    </w:p>
    <w:p>
      <w:pPr>
        <w:keepNext w:val="0"/>
        <w:keepLines w:val="0"/>
        <w:pageBreakBefore w:val="0"/>
        <w:kinsoku/>
        <w:wordWrap/>
        <w:overflowPunct/>
        <w:topLinePunct w:val="0"/>
        <w:bidi w:val="0"/>
        <w:snapToGrid/>
        <w:spacing w:line="560" w:lineRule="exact"/>
        <w:ind w:left="0" w:firstLine="640" w:firstLineChars="200"/>
        <w:textAlignment w:val="auto"/>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“三公”经费财政拨款预算数：指本部门当年部门预算安排的因公出国（境）费用、公务接待费、公务用车购置和运行维护费预算数。</w:t>
      </w:r>
    </w:p>
    <w:p>
      <w:pPr>
        <w:keepNext w:val="0"/>
        <w:keepLines w:val="0"/>
        <w:pageBreakBefore w:val="0"/>
        <w:kinsoku/>
        <w:wordWrap/>
        <w:overflowPunct/>
        <w:topLinePunct w:val="0"/>
        <w:bidi w:val="0"/>
        <w:snapToGrid/>
        <w:spacing w:line="560" w:lineRule="exact"/>
        <w:ind w:left="0" w:firstLine="640" w:firstLineChars="200"/>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机关运行经费：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F"/>
    <w:rsid w:val="00040841"/>
    <w:rsid w:val="000615C4"/>
    <w:rsid w:val="00074E4A"/>
    <w:rsid w:val="00094311"/>
    <w:rsid w:val="000A04A6"/>
    <w:rsid w:val="000A48CD"/>
    <w:rsid w:val="000D39F7"/>
    <w:rsid w:val="000D488E"/>
    <w:rsid w:val="00110579"/>
    <w:rsid w:val="00113A9F"/>
    <w:rsid w:val="00134F3D"/>
    <w:rsid w:val="00145122"/>
    <w:rsid w:val="00185CBC"/>
    <w:rsid w:val="001C5F5B"/>
    <w:rsid w:val="002208AF"/>
    <w:rsid w:val="002423DF"/>
    <w:rsid w:val="00265693"/>
    <w:rsid w:val="00274151"/>
    <w:rsid w:val="002C5F59"/>
    <w:rsid w:val="002D469F"/>
    <w:rsid w:val="00313B5F"/>
    <w:rsid w:val="003159C0"/>
    <w:rsid w:val="00347A67"/>
    <w:rsid w:val="00373B6E"/>
    <w:rsid w:val="0039020F"/>
    <w:rsid w:val="003F30F4"/>
    <w:rsid w:val="00421719"/>
    <w:rsid w:val="00464A9A"/>
    <w:rsid w:val="004A4035"/>
    <w:rsid w:val="004C37FA"/>
    <w:rsid w:val="00541532"/>
    <w:rsid w:val="00565A88"/>
    <w:rsid w:val="005D1049"/>
    <w:rsid w:val="005F2C78"/>
    <w:rsid w:val="005F6DAD"/>
    <w:rsid w:val="005F79A5"/>
    <w:rsid w:val="00635AAB"/>
    <w:rsid w:val="006641F3"/>
    <w:rsid w:val="006670B5"/>
    <w:rsid w:val="006A4F3B"/>
    <w:rsid w:val="006E1565"/>
    <w:rsid w:val="007119A7"/>
    <w:rsid w:val="007565F7"/>
    <w:rsid w:val="007806A7"/>
    <w:rsid w:val="007B07B4"/>
    <w:rsid w:val="007C41F3"/>
    <w:rsid w:val="007E74A2"/>
    <w:rsid w:val="00801568"/>
    <w:rsid w:val="0082330B"/>
    <w:rsid w:val="00877FCC"/>
    <w:rsid w:val="0088517B"/>
    <w:rsid w:val="00923181"/>
    <w:rsid w:val="00A81815"/>
    <w:rsid w:val="00A93F77"/>
    <w:rsid w:val="00B20AF5"/>
    <w:rsid w:val="00B42F58"/>
    <w:rsid w:val="00B8697D"/>
    <w:rsid w:val="00B963FC"/>
    <w:rsid w:val="00BB512A"/>
    <w:rsid w:val="00C17BA7"/>
    <w:rsid w:val="00C25256"/>
    <w:rsid w:val="00C40F1F"/>
    <w:rsid w:val="00CD6E3E"/>
    <w:rsid w:val="00CD75B2"/>
    <w:rsid w:val="00D066F4"/>
    <w:rsid w:val="00D131CF"/>
    <w:rsid w:val="00D73AA5"/>
    <w:rsid w:val="00D825DB"/>
    <w:rsid w:val="00DC40EC"/>
    <w:rsid w:val="00DD511A"/>
    <w:rsid w:val="00DF4C2F"/>
    <w:rsid w:val="00DF5294"/>
    <w:rsid w:val="00E0230D"/>
    <w:rsid w:val="00E7367D"/>
    <w:rsid w:val="00EE3602"/>
    <w:rsid w:val="00EE3A05"/>
    <w:rsid w:val="00F017E7"/>
    <w:rsid w:val="00F3088F"/>
    <w:rsid w:val="00F32096"/>
    <w:rsid w:val="00F428B9"/>
    <w:rsid w:val="00F4774D"/>
    <w:rsid w:val="00FA652B"/>
    <w:rsid w:val="00FB211E"/>
    <w:rsid w:val="00FF3BB8"/>
    <w:rsid w:val="01FA716B"/>
    <w:rsid w:val="0333446E"/>
    <w:rsid w:val="04332EAE"/>
    <w:rsid w:val="04617B3E"/>
    <w:rsid w:val="05B1170B"/>
    <w:rsid w:val="05BA05AE"/>
    <w:rsid w:val="06E3788A"/>
    <w:rsid w:val="06F402FE"/>
    <w:rsid w:val="07170822"/>
    <w:rsid w:val="07E94AFB"/>
    <w:rsid w:val="08125AFE"/>
    <w:rsid w:val="08AB5C24"/>
    <w:rsid w:val="08C36ED2"/>
    <w:rsid w:val="09EB4232"/>
    <w:rsid w:val="0A151D9E"/>
    <w:rsid w:val="0A1D760F"/>
    <w:rsid w:val="0A260888"/>
    <w:rsid w:val="0A4E53E6"/>
    <w:rsid w:val="0C2A0EB2"/>
    <w:rsid w:val="0DBE3791"/>
    <w:rsid w:val="0EBA6745"/>
    <w:rsid w:val="0ED20EC1"/>
    <w:rsid w:val="0EE83F7C"/>
    <w:rsid w:val="10071930"/>
    <w:rsid w:val="121E1A0C"/>
    <w:rsid w:val="12345DEA"/>
    <w:rsid w:val="12B07359"/>
    <w:rsid w:val="12F04C70"/>
    <w:rsid w:val="13EB3F0D"/>
    <w:rsid w:val="13FA46A0"/>
    <w:rsid w:val="144B21FE"/>
    <w:rsid w:val="148D442E"/>
    <w:rsid w:val="15356EDE"/>
    <w:rsid w:val="15684223"/>
    <w:rsid w:val="167E493C"/>
    <w:rsid w:val="16D22D62"/>
    <w:rsid w:val="175B6BDE"/>
    <w:rsid w:val="18401E55"/>
    <w:rsid w:val="189870D1"/>
    <w:rsid w:val="1A457F4A"/>
    <w:rsid w:val="1A66697B"/>
    <w:rsid w:val="1A9153F1"/>
    <w:rsid w:val="1AA11F72"/>
    <w:rsid w:val="1AAB5BF2"/>
    <w:rsid w:val="1AF95A42"/>
    <w:rsid w:val="1BA27067"/>
    <w:rsid w:val="1BDF7B74"/>
    <w:rsid w:val="1BFA5FE5"/>
    <w:rsid w:val="1CCD62CA"/>
    <w:rsid w:val="1DE00C15"/>
    <w:rsid w:val="1EFF2C9F"/>
    <w:rsid w:val="1F2662C9"/>
    <w:rsid w:val="1F7E63FF"/>
    <w:rsid w:val="1FCE2A33"/>
    <w:rsid w:val="21481E61"/>
    <w:rsid w:val="22012A8E"/>
    <w:rsid w:val="224834CE"/>
    <w:rsid w:val="225538DE"/>
    <w:rsid w:val="22AB6326"/>
    <w:rsid w:val="238D132B"/>
    <w:rsid w:val="23973918"/>
    <w:rsid w:val="2466265A"/>
    <w:rsid w:val="2510487F"/>
    <w:rsid w:val="25526192"/>
    <w:rsid w:val="2572041D"/>
    <w:rsid w:val="25AD74AE"/>
    <w:rsid w:val="26771131"/>
    <w:rsid w:val="26A32100"/>
    <w:rsid w:val="270D33B5"/>
    <w:rsid w:val="27115366"/>
    <w:rsid w:val="28E8751B"/>
    <w:rsid w:val="29145335"/>
    <w:rsid w:val="29545DC1"/>
    <w:rsid w:val="29CD66F9"/>
    <w:rsid w:val="2A4C3240"/>
    <w:rsid w:val="2B454A2F"/>
    <w:rsid w:val="2BBC39B2"/>
    <w:rsid w:val="2BF332FB"/>
    <w:rsid w:val="2C362DA3"/>
    <w:rsid w:val="2DC3254E"/>
    <w:rsid w:val="2DCC0DD4"/>
    <w:rsid w:val="2DE07532"/>
    <w:rsid w:val="2F010B98"/>
    <w:rsid w:val="2F1154A1"/>
    <w:rsid w:val="2FCD4A45"/>
    <w:rsid w:val="30BD58A8"/>
    <w:rsid w:val="3172713B"/>
    <w:rsid w:val="31D73BE1"/>
    <w:rsid w:val="324A6390"/>
    <w:rsid w:val="32A922FC"/>
    <w:rsid w:val="32DC14C5"/>
    <w:rsid w:val="33012339"/>
    <w:rsid w:val="33024E84"/>
    <w:rsid w:val="337F6883"/>
    <w:rsid w:val="338431FF"/>
    <w:rsid w:val="346F4F57"/>
    <w:rsid w:val="34790F07"/>
    <w:rsid w:val="3746470E"/>
    <w:rsid w:val="37A11048"/>
    <w:rsid w:val="385F25F5"/>
    <w:rsid w:val="38A8391E"/>
    <w:rsid w:val="3A5E1222"/>
    <w:rsid w:val="3ABC59F1"/>
    <w:rsid w:val="3AFE103B"/>
    <w:rsid w:val="3BF272DC"/>
    <w:rsid w:val="3C39796B"/>
    <w:rsid w:val="3C8375CB"/>
    <w:rsid w:val="3CE6163A"/>
    <w:rsid w:val="3E005DAD"/>
    <w:rsid w:val="3E483B16"/>
    <w:rsid w:val="3F4E0865"/>
    <w:rsid w:val="3FA12951"/>
    <w:rsid w:val="3FE47C90"/>
    <w:rsid w:val="400D6B52"/>
    <w:rsid w:val="412466C1"/>
    <w:rsid w:val="41566B5E"/>
    <w:rsid w:val="418D5FCD"/>
    <w:rsid w:val="4244083E"/>
    <w:rsid w:val="43F83E55"/>
    <w:rsid w:val="44483C7A"/>
    <w:rsid w:val="446C4867"/>
    <w:rsid w:val="44F01255"/>
    <w:rsid w:val="4559067B"/>
    <w:rsid w:val="46075E02"/>
    <w:rsid w:val="46812273"/>
    <w:rsid w:val="46DF68A7"/>
    <w:rsid w:val="473321DA"/>
    <w:rsid w:val="49610C0B"/>
    <w:rsid w:val="4A236198"/>
    <w:rsid w:val="4A5D680E"/>
    <w:rsid w:val="4BBE4AB2"/>
    <w:rsid w:val="4BCD5DE2"/>
    <w:rsid w:val="4C774D0A"/>
    <w:rsid w:val="4CDB0BE9"/>
    <w:rsid w:val="4DC52623"/>
    <w:rsid w:val="511C6CC4"/>
    <w:rsid w:val="518276CA"/>
    <w:rsid w:val="52CD6FE1"/>
    <w:rsid w:val="53D52C8F"/>
    <w:rsid w:val="53ED0E0B"/>
    <w:rsid w:val="542358DB"/>
    <w:rsid w:val="550C11CF"/>
    <w:rsid w:val="561E4EC3"/>
    <w:rsid w:val="56AB633F"/>
    <w:rsid w:val="573B51D5"/>
    <w:rsid w:val="57753B01"/>
    <w:rsid w:val="57D76E36"/>
    <w:rsid w:val="588D19F9"/>
    <w:rsid w:val="5BB1282B"/>
    <w:rsid w:val="5BB24811"/>
    <w:rsid w:val="5CA01820"/>
    <w:rsid w:val="5CDD2714"/>
    <w:rsid w:val="5CF9171A"/>
    <w:rsid w:val="5D1F2BD0"/>
    <w:rsid w:val="5DC44E76"/>
    <w:rsid w:val="5DD1079A"/>
    <w:rsid w:val="5E310711"/>
    <w:rsid w:val="5E9B5A79"/>
    <w:rsid w:val="5F470F6B"/>
    <w:rsid w:val="609350AE"/>
    <w:rsid w:val="617D391A"/>
    <w:rsid w:val="61884D96"/>
    <w:rsid w:val="61AD250C"/>
    <w:rsid w:val="63944C42"/>
    <w:rsid w:val="641B4A5E"/>
    <w:rsid w:val="6470506E"/>
    <w:rsid w:val="65094037"/>
    <w:rsid w:val="65922452"/>
    <w:rsid w:val="663B2C0F"/>
    <w:rsid w:val="6B575739"/>
    <w:rsid w:val="6CAC6E42"/>
    <w:rsid w:val="6D2779F3"/>
    <w:rsid w:val="6DED2176"/>
    <w:rsid w:val="6EBA0E95"/>
    <w:rsid w:val="6F020A65"/>
    <w:rsid w:val="6FBA21AC"/>
    <w:rsid w:val="70730846"/>
    <w:rsid w:val="708C01CA"/>
    <w:rsid w:val="71662EF0"/>
    <w:rsid w:val="72DA0AB2"/>
    <w:rsid w:val="745B7027"/>
    <w:rsid w:val="75C626B1"/>
    <w:rsid w:val="761525CC"/>
    <w:rsid w:val="763D2D28"/>
    <w:rsid w:val="781F0119"/>
    <w:rsid w:val="783A5130"/>
    <w:rsid w:val="783C0947"/>
    <w:rsid w:val="790F2186"/>
    <w:rsid w:val="7B047249"/>
    <w:rsid w:val="7B604504"/>
    <w:rsid w:val="7CA14379"/>
    <w:rsid w:val="7D8C074B"/>
    <w:rsid w:val="7DDC5094"/>
    <w:rsid w:val="7DE62119"/>
    <w:rsid w:val="7E2B2AE3"/>
    <w:rsid w:val="7EC0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my正文"/>
    <w:basedOn w:val="1"/>
    <w:qFormat/>
    <w:uiPriority w:val="0"/>
    <w:pPr>
      <w:spacing w:line="360" w:lineRule="auto"/>
      <w:ind w:firstLine="480" w:firstLineChars="200"/>
    </w:pPr>
    <w:rPr>
      <w:sz w:val="24"/>
      <w:lang w:val="zh-CN"/>
    </w:rPr>
  </w:style>
  <w:style w:type="paragraph" w:customStyle="1" w:styleId="7">
    <w:name w:val="Char Char Char1 Char Char Char Char"/>
    <w:basedOn w:val="1"/>
    <w:qFormat/>
    <w:uiPriority w:val="0"/>
    <w:rPr>
      <w:rFonts w:ascii="Tahoma" w:hAnsi="Tahoma" w:eastAsia="宋体" w:cs="Times New Roman"/>
      <w:sz w:val="24"/>
      <w:szCs w:val="20"/>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6C9DA-A9D4-4860-9C62-E3659CBC60DB}">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11141</Words>
  <Characters>7725</Characters>
  <Lines>64</Lines>
  <Paragraphs>37</Paragraphs>
  <TotalTime>23</TotalTime>
  <ScaleCrop>false</ScaleCrop>
  <LinksUpToDate>false</LinksUpToDate>
  <CharactersWithSpaces>18829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Biran</cp:lastModifiedBy>
  <cp:lastPrinted>2023-01-31T10:53:00Z</cp:lastPrinted>
  <dcterms:modified xsi:type="dcterms:W3CDTF">2025-01-20T03:14:00Z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