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202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b/>
          <w:sz w:val="36"/>
          <w:szCs w:val="36"/>
        </w:rPr>
        <w:t>年北京宣房投资管理集团有限公司</w:t>
      </w: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预算编制说明</w:t>
      </w:r>
    </w:p>
    <w:p/>
    <w:p/>
    <w:p/>
    <w:p/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目录</w:t>
      </w:r>
    </w:p>
    <w:p>
      <w:pPr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第一部分、202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年部门预算情况说明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空表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空表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空表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空表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空表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表十二、专项转移支付预算表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空表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>
      <w:pPr>
        <w:rPr>
          <w:sz w:val="32"/>
          <w:szCs w:val="32"/>
        </w:rPr>
      </w:pPr>
    </w:p>
    <w:p/>
    <w:p/>
    <w:p>
      <w:pPr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</w:p>
    <w:p>
      <w:pPr>
        <w:ind w:firstLine="1265" w:firstLineChars="350"/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第一部分  202</w:t>
      </w: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年部门预算情况说明</w:t>
      </w:r>
    </w:p>
    <w:p>
      <w:pPr>
        <w:ind w:firstLine="945" w:firstLineChars="450"/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一、部门主要职责及机构设置情况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（一）部门机构设置、职责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北京宣房投资管理集团有限公司（简称宣房集团）主要承担西城南部直管公房管理、修缮、防汛、供暖、电梯运行等公共服务职能，从事房地产开发、工程修缮、物业服务以及老旧小区综合整治、房屋解危腾退、文保区房屋保护性修缮等政府民生工程，承担政府交办的应急抢险任务。集团下辖北京宣房房屋经营有限公司、北京宣房楼宇设备有限公司、北京宣房大德置业投资有限公司、北京轩方装饰工程有限责任公司、北京宣房建筑工程有限责任公司、北京宣房大厚投资管理有限责任公司、北京宣房物业管理有限公司、北京宣房正阳经济贸易有限公司、北京市红义物业管理有限公司、北京宣房拆迁有限责任公司10个全资子公司。在职员工648人。共管理直管公房182万平方米、老旧危改小区及其他物业小区近100万平方米，负责房屋供暖面积254.32万平方米，管理锅炉房29处、锅炉73台、电梯85部、高层楼房二次供水22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（二）人员</w:t>
      </w:r>
      <w:r>
        <w:rPr>
          <w:sz w:val="28"/>
          <w:szCs w:val="28"/>
        </w:rPr>
        <w:t>构成情况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 w:color="FFFFFF"/>
          <w:shd w:val="clear" w:color="auto" w:fill="FFFFFF"/>
        </w:rPr>
        <w:t>截止2024年12月底，宣房集团从业人员777人（在岗职工598人，劳务派遣137人，聘用退休44人），不在岗职工1人，离退休人员1854人，共计职工人数为2632人。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年部门预算收支及增减变化情况说明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（一）收入预算说明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年收入预算12,518.851255万元。其中：财政拨款万元。相比较于202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年预算收入14,313.378165万元，</w:t>
      </w:r>
      <w:r>
        <w:rPr>
          <w:rFonts w:hint="eastAsia"/>
          <w:sz w:val="28"/>
          <w:szCs w:val="28"/>
          <w:lang w:val="en-US" w:eastAsia="zh-CN"/>
        </w:rPr>
        <w:t>减少1794.52691</w:t>
      </w:r>
      <w:r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  <w:lang w:val="en-US" w:eastAsia="zh-CN"/>
        </w:rPr>
        <w:t>减少</w:t>
      </w:r>
      <w:r>
        <w:rPr>
          <w:rFonts w:hint="eastAsia"/>
          <w:sz w:val="28"/>
          <w:szCs w:val="28"/>
        </w:rPr>
        <w:t>比例</w:t>
      </w:r>
      <w:r>
        <w:rPr>
          <w:rFonts w:hint="eastAsia"/>
          <w:sz w:val="28"/>
          <w:szCs w:val="28"/>
          <w:lang w:val="en-US" w:eastAsia="zh-CN"/>
        </w:rPr>
        <w:t>14.33</w:t>
      </w:r>
      <w:r>
        <w:rPr>
          <w:rFonts w:hint="eastAsia"/>
          <w:sz w:val="28"/>
          <w:szCs w:val="28"/>
        </w:rPr>
        <w:t>%。主要</w:t>
      </w:r>
      <w:r>
        <w:rPr>
          <w:rFonts w:hint="eastAsia"/>
          <w:sz w:val="28"/>
          <w:szCs w:val="28"/>
          <w:lang w:val="en-US" w:eastAsia="zh-CN"/>
        </w:rPr>
        <w:t>减少</w:t>
      </w:r>
      <w:r>
        <w:rPr>
          <w:rFonts w:hint="eastAsia"/>
          <w:sz w:val="28"/>
          <w:szCs w:val="28"/>
        </w:rPr>
        <w:t>原因为本年度</w:t>
      </w:r>
      <w:r>
        <w:rPr>
          <w:rFonts w:hint="eastAsia"/>
          <w:sz w:val="28"/>
          <w:szCs w:val="28"/>
          <w:lang w:val="en-US" w:eastAsia="zh-CN"/>
        </w:rPr>
        <w:t>预算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val="en-US" w:eastAsia="zh-CN"/>
        </w:rPr>
        <w:t>均为项目尾款</w:t>
      </w:r>
      <w:r>
        <w:rPr>
          <w:sz w:val="28"/>
          <w:szCs w:val="28"/>
        </w:rPr>
        <w:t>，故导致我单位本年预算</w:t>
      </w:r>
      <w:r>
        <w:rPr>
          <w:rFonts w:hint="eastAsia"/>
          <w:sz w:val="28"/>
          <w:szCs w:val="28"/>
          <w:lang w:val="en-US" w:eastAsia="zh-CN"/>
        </w:rPr>
        <w:t>减少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（二）支出预算说明</w:t>
      </w:r>
    </w:p>
    <w:p>
      <w:pPr>
        <w:ind w:firstLine="560" w:firstLineChars="200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北京宣房投资管理集团有限公司总支出安排12,518.851255万元。其中：预算内资金安排12,518.851255万元，财政专户资金安排0万元，其他资金安</w:t>
      </w:r>
      <w:r>
        <w:rPr>
          <w:rFonts w:hint="eastAsia" w:ascii="宋体" w:hAnsi="宋体" w:eastAsia="宋体" w:cs="宋体"/>
          <w:sz w:val="28"/>
          <w:szCs w:val="28"/>
        </w:rPr>
        <w:t>排0万</w:t>
      </w:r>
      <w:r>
        <w:rPr>
          <w:rFonts w:hint="eastAsia"/>
          <w:sz w:val="28"/>
          <w:szCs w:val="28"/>
        </w:rPr>
        <w:t>元，市级提前下达专项转移支付项目资金安排0万元。</w:t>
      </w:r>
      <w:r>
        <w:rPr>
          <w:rFonts w:hint="eastAsia"/>
          <w:sz w:val="28"/>
          <w:szCs w:val="28"/>
          <w:lang w:val="en-US" w:eastAsia="zh-CN"/>
        </w:rPr>
        <w:t>相较与2023年总支出安排减少1794.52691</w:t>
      </w:r>
      <w:r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  <w:lang w:val="en-US" w:eastAsia="zh-CN"/>
        </w:rPr>
        <w:t>减少</w:t>
      </w:r>
      <w:r>
        <w:rPr>
          <w:rFonts w:hint="eastAsia"/>
          <w:sz w:val="28"/>
          <w:szCs w:val="28"/>
        </w:rPr>
        <w:t>比例</w:t>
      </w:r>
      <w:r>
        <w:rPr>
          <w:rFonts w:hint="eastAsia"/>
          <w:sz w:val="28"/>
          <w:szCs w:val="28"/>
          <w:lang w:val="en-US" w:eastAsia="zh-CN"/>
        </w:rPr>
        <w:t>14.33</w:t>
      </w:r>
      <w:r>
        <w:rPr>
          <w:rFonts w:hint="eastAsia"/>
          <w:sz w:val="28"/>
          <w:szCs w:val="28"/>
        </w:rPr>
        <w:t>%。主要</w:t>
      </w:r>
      <w:r>
        <w:rPr>
          <w:rFonts w:hint="eastAsia"/>
          <w:sz w:val="28"/>
          <w:szCs w:val="28"/>
          <w:lang w:val="en-US" w:eastAsia="zh-CN"/>
        </w:rPr>
        <w:t>减少</w:t>
      </w:r>
      <w:r>
        <w:rPr>
          <w:rFonts w:hint="eastAsia"/>
          <w:sz w:val="28"/>
          <w:szCs w:val="28"/>
        </w:rPr>
        <w:t>原因为本年度</w:t>
      </w:r>
      <w:r>
        <w:rPr>
          <w:rFonts w:hint="eastAsia"/>
          <w:sz w:val="28"/>
          <w:szCs w:val="28"/>
          <w:lang w:val="en-US" w:eastAsia="zh-CN"/>
        </w:rPr>
        <w:t>预算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val="en-US" w:eastAsia="zh-CN"/>
        </w:rPr>
        <w:t>均为项目尾款</w:t>
      </w:r>
      <w:r>
        <w:rPr>
          <w:sz w:val="28"/>
          <w:szCs w:val="28"/>
        </w:rPr>
        <w:t>，故导致我单位本年</w:t>
      </w:r>
      <w:r>
        <w:rPr>
          <w:rFonts w:hint="eastAsia"/>
          <w:sz w:val="28"/>
          <w:szCs w:val="28"/>
          <w:lang w:val="en-US" w:eastAsia="zh-CN"/>
        </w:rPr>
        <w:t>支出</w:t>
      </w:r>
      <w:r>
        <w:rPr>
          <w:sz w:val="28"/>
          <w:szCs w:val="28"/>
        </w:rPr>
        <w:t>预算</w:t>
      </w:r>
      <w:r>
        <w:rPr>
          <w:rFonts w:hint="eastAsia"/>
          <w:sz w:val="28"/>
          <w:szCs w:val="28"/>
          <w:lang w:val="en-US" w:eastAsia="zh-CN"/>
        </w:rPr>
        <w:t>减少</w:t>
      </w:r>
      <w:r>
        <w:rPr>
          <w:rFonts w:hint="eastAsia"/>
          <w:sz w:val="28"/>
          <w:szCs w:val="28"/>
        </w:rPr>
        <w:t>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三、主要支出情况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年财政支出预算12,518.851255万元，全部为项目支出，主要项目是①西城区利用永内西街北里3号简易楼腾退建设公益性设施项目②西城区利用琉璃厂东街102号简易楼腾退建设公益性设施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项目③202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年平房翻建工程④202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年平房翻建工程⑤202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年直管公房管理费⑥2023年西城区（南）平房翻建工程其中</w:t>
      </w:r>
      <w:r>
        <w:rPr>
          <w:rFonts w:hint="eastAsia" w:ascii="宋体" w:hAnsi="宋体" w:eastAsia="宋体" w:cs="宋体"/>
          <w:sz w:val="28"/>
          <w:szCs w:val="28"/>
        </w:rPr>
        <w:t>：预算内资金安排</w:t>
      </w:r>
      <w:r>
        <w:rPr>
          <w:rFonts w:hint="eastAsia"/>
          <w:sz w:val="28"/>
          <w:szCs w:val="28"/>
        </w:rPr>
        <w:t>12,518.851255</w:t>
      </w:r>
      <w:r>
        <w:rPr>
          <w:rFonts w:hint="eastAsia" w:ascii="宋体" w:hAnsi="宋体" w:eastAsia="宋体" w:cs="宋体"/>
          <w:sz w:val="28"/>
          <w:szCs w:val="28"/>
        </w:rPr>
        <w:t>万元，财政专户资金安</w:t>
      </w:r>
      <w:r>
        <w:rPr>
          <w:rFonts w:hint="eastAsia"/>
          <w:sz w:val="28"/>
          <w:szCs w:val="28"/>
        </w:rPr>
        <w:t>排零元，市级提前下达转移支付零元，其他资金安排零元，“三公”经费支出（因公出国/境费、公务用车购置及运行费、公务接待费）零元。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四、部门“三公”经费财政拨款预算说明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（一）“三公”经费的单位范围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年安排0元，202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年安排0元，202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年相同。</w:t>
      </w:r>
    </w:p>
    <w:p>
      <w:pPr>
        <w:numPr>
          <w:ilvl w:val="0"/>
          <w:numId w:val="1"/>
        </w:num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“三公”经费预算财政拨款情况说明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年安排0元，202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年安排0元，202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年相同。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五、其他情况说明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（一）机关运行经费说明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年安排0元，202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年安排0元，202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年相同。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（二）政府采购预算说明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年安排0元，202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年安排0元，202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年相同。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（三）政府购买服务预算说明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年安排0元，202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年安排0元，202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年相同。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（四）绩效目标情况及绩效评价结果说明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年，按照预算一体化实施要求，全部项目均填报绩效目标申报表。</w:t>
      </w:r>
    </w:p>
    <w:p>
      <w:pPr>
        <w:ind w:firstLine="640" w:firstLineChars="200"/>
        <w:rPr>
          <w:rFonts w:hint="eastAsia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未进行绩效评价。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（五）国有资本经营预算财政拨款情况说明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无国有资本经营预算。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（六）国有资产占用情况说明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无国有资产占用。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六、名称解释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附件1-2：国有</w:t>
      </w:r>
      <w:r>
        <w:rPr>
          <w:rFonts w:ascii="仿宋_GB2312" w:eastAsia="仿宋_GB2312"/>
          <w:b/>
          <w:color w:val="000000"/>
          <w:sz w:val="32"/>
          <w:szCs w:val="32"/>
        </w:rPr>
        <w:t>资产占用情况说明模板：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hint="eastAsia" w:ascii="仿宋_GB2312" w:eastAsia="仿宋_GB2312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000000"/>
          <w:sz w:val="32"/>
          <w:szCs w:val="32"/>
        </w:rPr>
        <w:t>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2024部门预算：安排购置车辆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08BC9"/>
    <w:multiLevelType w:val="singleLevel"/>
    <w:tmpl w:val="0D208BC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WM2M2ZjYmVhZWNlMmViYjRjNWZhZWMwMTNiN2MifQ=="/>
  </w:docVars>
  <w:rsids>
    <w:rsidRoot w:val="00C4507A"/>
    <w:rsid w:val="0000088A"/>
    <w:rsid w:val="000030C0"/>
    <w:rsid w:val="00035779"/>
    <w:rsid w:val="00045D33"/>
    <w:rsid w:val="00060BD7"/>
    <w:rsid w:val="000633AF"/>
    <w:rsid w:val="00094DC4"/>
    <w:rsid w:val="000A5E37"/>
    <w:rsid w:val="000C43E3"/>
    <w:rsid w:val="000C5D7B"/>
    <w:rsid w:val="000E7331"/>
    <w:rsid w:val="001007CF"/>
    <w:rsid w:val="00103B9F"/>
    <w:rsid w:val="00105FC4"/>
    <w:rsid w:val="00113C73"/>
    <w:rsid w:val="00117A65"/>
    <w:rsid w:val="00131AF7"/>
    <w:rsid w:val="0014017F"/>
    <w:rsid w:val="0015009B"/>
    <w:rsid w:val="00154563"/>
    <w:rsid w:val="00166B22"/>
    <w:rsid w:val="00175940"/>
    <w:rsid w:val="001906F5"/>
    <w:rsid w:val="001A2D6C"/>
    <w:rsid w:val="001B57E9"/>
    <w:rsid w:val="001B6383"/>
    <w:rsid w:val="001C4842"/>
    <w:rsid w:val="001D26AB"/>
    <w:rsid w:val="001D4F3D"/>
    <w:rsid w:val="001F1F17"/>
    <w:rsid w:val="002017FC"/>
    <w:rsid w:val="00201ED7"/>
    <w:rsid w:val="00207218"/>
    <w:rsid w:val="00232913"/>
    <w:rsid w:val="00236A54"/>
    <w:rsid w:val="00242EBB"/>
    <w:rsid w:val="00246C8B"/>
    <w:rsid w:val="00253834"/>
    <w:rsid w:val="00257605"/>
    <w:rsid w:val="00260487"/>
    <w:rsid w:val="00260CAC"/>
    <w:rsid w:val="00266E2E"/>
    <w:rsid w:val="0027139A"/>
    <w:rsid w:val="00272206"/>
    <w:rsid w:val="002A328B"/>
    <w:rsid w:val="002B069B"/>
    <w:rsid w:val="002C4837"/>
    <w:rsid w:val="002C6CD2"/>
    <w:rsid w:val="002D7182"/>
    <w:rsid w:val="002F7323"/>
    <w:rsid w:val="00310F78"/>
    <w:rsid w:val="0031367B"/>
    <w:rsid w:val="003372C4"/>
    <w:rsid w:val="003554A6"/>
    <w:rsid w:val="00355A77"/>
    <w:rsid w:val="003620E7"/>
    <w:rsid w:val="00373626"/>
    <w:rsid w:val="0038744F"/>
    <w:rsid w:val="00390D09"/>
    <w:rsid w:val="00393217"/>
    <w:rsid w:val="003A0DAF"/>
    <w:rsid w:val="003A370D"/>
    <w:rsid w:val="003A5A10"/>
    <w:rsid w:val="003C3D10"/>
    <w:rsid w:val="003D157D"/>
    <w:rsid w:val="003D2EAB"/>
    <w:rsid w:val="003D7196"/>
    <w:rsid w:val="003D73E0"/>
    <w:rsid w:val="003E21C5"/>
    <w:rsid w:val="003F208B"/>
    <w:rsid w:val="003F2915"/>
    <w:rsid w:val="003F7F6F"/>
    <w:rsid w:val="004178A6"/>
    <w:rsid w:val="0046526C"/>
    <w:rsid w:val="004732A4"/>
    <w:rsid w:val="004801AB"/>
    <w:rsid w:val="00483138"/>
    <w:rsid w:val="004A3176"/>
    <w:rsid w:val="004A376F"/>
    <w:rsid w:val="004A4CF2"/>
    <w:rsid w:val="004C3E78"/>
    <w:rsid w:val="004C5AF1"/>
    <w:rsid w:val="004D1730"/>
    <w:rsid w:val="004D43AC"/>
    <w:rsid w:val="004D534E"/>
    <w:rsid w:val="004F42EE"/>
    <w:rsid w:val="004F4FC4"/>
    <w:rsid w:val="0050043F"/>
    <w:rsid w:val="005068BD"/>
    <w:rsid w:val="0053198F"/>
    <w:rsid w:val="00535774"/>
    <w:rsid w:val="00543ACF"/>
    <w:rsid w:val="005474C3"/>
    <w:rsid w:val="00561DB8"/>
    <w:rsid w:val="00573E03"/>
    <w:rsid w:val="005761D3"/>
    <w:rsid w:val="0058107E"/>
    <w:rsid w:val="00595F6A"/>
    <w:rsid w:val="00596DE9"/>
    <w:rsid w:val="005B45CD"/>
    <w:rsid w:val="005B49B4"/>
    <w:rsid w:val="005B7E51"/>
    <w:rsid w:val="005C7D9B"/>
    <w:rsid w:val="005D30F1"/>
    <w:rsid w:val="005E4D90"/>
    <w:rsid w:val="005E62D8"/>
    <w:rsid w:val="005E695F"/>
    <w:rsid w:val="005F3AE9"/>
    <w:rsid w:val="00607694"/>
    <w:rsid w:val="006105EA"/>
    <w:rsid w:val="00616DF2"/>
    <w:rsid w:val="00625914"/>
    <w:rsid w:val="00627D7E"/>
    <w:rsid w:val="00650DC8"/>
    <w:rsid w:val="0066317A"/>
    <w:rsid w:val="006671D5"/>
    <w:rsid w:val="00673BB6"/>
    <w:rsid w:val="006846CE"/>
    <w:rsid w:val="00687EDC"/>
    <w:rsid w:val="00693FC2"/>
    <w:rsid w:val="00695111"/>
    <w:rsid w:val="006A07A2"/>
    <w:rsid w:val="006B7406"/>
    <w:rsid w:val="006C2F25"/>
    <w:rsid w:val="006E21D1"/>
    <w:rsid w:val="006E5E5D"/>
    <w:rsid w:val="006F204D"/>
    <w:rsid w:val="006F38C2"/>
    <w:rsid w:val="00701C6C"/>
    <w:rsid w:val="00705110"/>
    <w:rsid w:val="0073315D"/>
    <w:rsid w:val="00750333"/>
    <w:rsid w:val="0075419C"/>
    <w:rsid w:val="0076136E"/>
    <w:rsid w:val="00772DAE"/>
    <w:rsid w:val="007813ED"/>
    <w:rsid w:val="00784A75"/>
    <w:rsid w:val="00792934"/>
    <w:rsid w:val="007A51D0"/>
    <w:rsid w:val="007B564D"/>
    <w:rsid w:val="007C6470"/>
    <w:rsid w:val="007D1FA1"/>
    <w:rsid w:val="007E024A"/>
    <w:rsid w:val="007E46E2"/>
    <w:rsid w:val="007E5F31"/>
    <w:rsid w:val="007F15AF"/>
    <w:rsid w:val="007F3A17"/>
    <w:rsid w:val="008121D1"/>
    <w:rsid w:val="00814B0A"/>
    <w:rsid w:val="008173FF"/>
    <w:rsid w:val="0083167F"/>
    <w:rsid w:val="0083252A"/>
    <w:rsid w:val="008457A4"/>
    <w:rsid w:val="008459CF"/>
    <w:rsid w:val="008617D8"/>
    <w:rsid w:val="0086469C"/>
    <w:rsid w:val="008918B2"/>
    <w:rsid w:val="00894CBB"/>
    <w:rsid w:val="008B0138"/>
    <w:rsid w:val="008B543D"/>
    <w:rsid w:val="008D6DC4"/>
    <w:rsid w:val="008F063A"/>
    <w:rsid w:val="009013D6"/>
    <w:rsid w:val="0090173F"/>
    <w:rsid w:val="009071CB"/>
    <w:rsid w:val="00907841"/>
    <w:rsid w:val="00910E87"/>
    <w:rsid w:val="0091296C"/>
    <w:rsid w:val="00922832"/>
    <w:rsid w:val="00922C55"/>
    <w:rsid w:val="009444A3"/>
    <w:rsid w:val="0094694F"/>
    <w:rsid w:val="00961F08"/>
    <w:rsid w:val="009637F8"/>
    <w:rsid w:val="00965F20"/>
    <w:rsid w:val="00966B1E"/>
    <w:rsid w:val="009A2E80"/>
    <w:rsid w:val="009A6716"/>
    <w:rsid w:val="009A6DB1"/>
    <w:rsid w:val="009B10C4"/>
    <w:rsid w:val="009B41EA"/>
    <w:rsid w:val="009C6423"/>
    <w:rsid w:val="009D1E32"/>
    <w:rsid w:val="00A07493"/>
    <w:rsid w:val="00A07C1F"/>
    <w:rsid w:val="00A1438B"/>
    <w:rsid w:val="00A23C9A"/>
    <w:rsid w:val="00A53B92"/>
    <w:rsid w:val="00A54A66"/>
    <w:rsid w:val="00A67893"/>
    <w:rsid w:val="00A67F0B"/>
    <w:rsid w:val="00A72B6E"/>
    <w:rsid w:val="00A8166A"/>
    <w:rsid w:val="00A8271C"/>
    <w:rsid w:val="00A86669"/>
    <w:rsid w:val="00AA3029"/>
    <w:rsid w:val="00AA34BE"/>
    <w:rsid w:val="00AA395B"/>
    <w:rsid w:val="00AC44F8"/>
    <w:rsid w:val="00AC63E2"/>
    <w:rsid w:val="00AD00D7"/>
    <w:rsid w:val="00AE6BB1"/>
    <w:rsid w:val="00AF19B0"/>
    <w:rsid w:val="00AF4B9D"/>
    <w:rsid w:val="00B01162"/>
    <w:rsid w:val="00B042DF"/>
    <w:rsid w:val="00B05C84"/>
    <w:rsid w:val="00B1350F"/>
    <w:rsid w:val="00B24C84"/>
    <w:rsid w:val="00B31F1B"/>
    <w:rsid w:val="00B415E4"/>
    <w:rsid w:val="00B44EC3"/>
    <w:rsid w:val="00B544D3"/>
    <w:rsid w:val="00B549D4"/>
    <w:rsid w:val="00B55116"/>
    <w:rsid w:val="00B560EC"/>
    <w:rsid w:val="00B66A0C"/>
    <w:rsid w:val="00B7643D"/>
    <w:rsid w:val="00B878A3"/>
    <w:rsid w:val="00B919B9"/>
    <w:rsid w:val="00B92059"/>
    <w:rsid w:val="00BB7887"/>
    <w:rsid w:val="00BD1F48"/>
    <w:rsid w:val="00BE6158"/>
    <w:rsid w:val="00BE72EF"/>
    <w:rsid w:val="00BF4BD5"/>
    <w:rsid w:val="00C02F79"/>
    <w:rsid w:val="00C05061"/>
    <w:rsid w:val="00C05C2F"/>
    <w:rsid w:val="00C11903"/>
    <w:rsid w:val="00C14DF5"/>
    <w:rsid w:val="00C4507A"/>
    <w:rsid w:val="00C54117"/>
    <w:rsid w:val="00C668FD"/>
    <w:rsid w:val="00C77BC4"/>
    <w:rsid w:val="00C831C2"/>
    <w:rsid w:val="00C97CDE"/>
    <w:rsid w:val="00CA0E3F"/>
    <w:rsid w:val="00CA4403"/>
    <w:rsid w:val="00CB1BB2"/>
    <w:rsid w:val="00CB5FF1"/>
    <w:rsid w:val="00CC6A63"/>
    <w:rsid w:val="00CD218D"/>
    <w:rsid w:val="00CF458D"/>
    <w:rsid w:val="00D0530C"/>
    <w:rsid w:val="00D139C3"/>
    <w:rsid w:val="00D21BA2"/>
    <w:rsid w:val="00D23364"/>
    <w:rsid w:val="00D236CE"/>
    <w:rsid w:val="00D25ED7"/>
    <w:rsid w:val="00D27688"/>
    <w:rsid w:val="00D30A0E"/>
    <w:rsid w:val="00D37357"/>
    <w:rsid w:val="00D37718"/>
    <w:rsid w:val="00D423F0"/>
    <w:rsid w:val="00D4520E"/>
    <w:rsid w:val="00D60535"/>
    <w:rsid w:val="00D60B14"/>
    <w:rsid w:val="00D6254E"/>
    <w:rsid w:val="00D67805"/>
    <w:rsid w:val="00D76520"/>
    <w:rsid w:val="00DA58FF"/>
    <w:rsid w:val="00DA66B7"/>
    <w:rsid w:val="00DC1C3B"/>
    <w:rsid w:val="00DC6E44"/>
    <w:rsid w:val="00DD6068"/>
    <w:rsid w:val="00DD6E58"/>
    <w:rsid w:val="00DE79F0"/>
    <w:rsid w:val="00DF1BFB"/>
    <w:rsid w:val="00DF3901"/>
    <w:rsid w:val="00E138EA"/>
    <w:rsid w:val="00E4356D"/>
    <w:rsid w:val="00E43828"/>
    <w:rsid w:val="00E54E70"/>
    <w:rsid w:val="00E63A28"/>
    <w:rsid w:val="00E65597"/>
    <w:rsid w:val="00E720A4"/>
    <w:rsid w:val="00E86DA9"/>
    <w:rsid w:val="00E87834"/>
    <w:rsid w:val="00E87E82"/>
    <w:rsid w:val="00EB30FC"/>
    <w:rsid w:val="00EC4C05"/>
    <w:rsid w:val="00EC543B"/>
    <w:rsid w:val="00EE3FA0"/>
    <w:rsid w:val="00EF07B1"/>
    <w:rsid w:val="00EF257F"/>
    <w:rsid w:val="00F03BFF"/>
    <w:rsid w:val="00F115D5"/>
    <w:rsid w:val="00F13271"/>
    <w:rsid w:val="00F32F3E"/>
    <w:rsid w:val="00F47835"/>
    <w:rsid w:val="00F47F7A"/>
    <w:rsid w:val="00F51A50"/>
    <w:rsid w:val="00F55F11"/>
    <w:rsid w:val="00F63B16"/>
    <w:rsid w:val="00F849BC"/>
    <w:rsid w:val="00F85775"/>
    <w:rsid w:val="00F904FE"/>
    <w:rsid w:val="00F9129A"/>
    <w:rsid w:val="00FB615A"/>
    <w:rsid w:val="00FE030E"/>
    <w:rsid w:val="00FE0739"/>
    <w:rsid w:val="00FE4041"/>
    <w:rsid w:val="00FE4A35"/>
    <w:rsid w:val="043445F5"/>
    <w:rsid w:val="07E6312F"/>
    <w:rsid w:val="0826725F"/>
    <w:rsid w:val="0866239C"/>
    <w:rsid w:val="0925770E"/>
    <w:rsid w:val="0B7A3277"/>
    <w:rsid w:val="1079429A"/>
    <w:rsid w:val="122C63BC"/>
    <w:rsid w:val="135E0022"/>
    <w:rsid w:val="15486653"/>
    <w:rsid w:val="164E3D34"/>
    <w:rsid w:val="183028D1"/>
    <w:rsid w:val="18F23B67"/>
    <w:rsid w:val="1BE01B56"/>
    <w:rsid w:val="1D01302D"/>
    <w:rsid w:val="1DE030FD"/>
    <w:rsid w:val="1F4D4288"/>
    <w:rsid w:val="253E16F3"/>
    <w:rsid w:val="264D3BE6"/>
    <w:rsid w:val="27201D62"/>
    <w:rsid w:val="27706003"/>
    <w:rsid w:val="2E022AD3"/>
    <w:rsid w:val="307256A6"/>
    <w:rsid w:val="30793CC0"/>
    <w:rsid w:val="33A31D35"/>
    <w:rsid w:val="3C526341"/>
    <w:rsid w:val="3E0F4083"/>
    <w:rsid w:val="44B94350"/>
    <w:rsid w:val="47AA3F6C"/>
    <w:rsid w:val="49163239"/>
    <w:rsid w:val="49656C92"/>
    <w:rsid w:val="4E604FB7"/>
    <w:rsid w:val="507271EF"/>
    <w:rsid w:val="512E39E7"/>
    <w:rsid w:val="51982514"/>
    <w:rsid w:val="52152A14"/>
    <w:rsid w:val="53035795"/>
    <w:rsid w:val="55587B3B"/>
    <w:rsid w:val="596040BD"/>
    <w:rsid w:val="5C8A0DC8"/>
    <w:rsid w:val="5CAA14BA"/>
    <w:rsid w:val="65A367F3"/>
    <w:rsid w:val="65A96CAA"/>
    <w:rsid w:val="667C42A1"/>
    <w:rsid w:val="667E25EE"/>
    <w:rsid w:val="681523CA"/>
    <w:rsid w:val="69870175"/>
    <w:rsid w:val="6D6E3EDA"/>
    <w:rsid w:val="6F9A6D5B"/>
    <w:rsid w:val="701D01BA"/>
    <w:rsid w:val="71371D99"/>
    <w:rsid w:val="713E5BA2"/>
    <w:rsid w:val="72A526E9"/>
    <w:rsid w:val="74AB4191"/>
    <w:rsid w:val="79881B8C"/>
    <w:rsid w:val="7C955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spacing w:after="0" w:line="240" w:lineRule="auto"/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spacing w:after="0" w:line="240" w:lineRule="auto"/>
      <w:ind w:left="100" w:leftChars="2500"/>
    </w:pPr>
  </w:style>
  <w:style w:type="paragraph" w:styleId="6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after="0" w:line="240" w:lineRule="auto"/>
    </w:pPr>
  </w:style>
  <w:style w:type="paragraph" w:styleId="10">
    <w:name w:val="toc 2"/>
    <w:basedOn w:val="1"/>
    <w:next w:val="1"/>
    <w:unhideWhenUsed/>
    <w:qFormat/>
    <w:uiPriority w:val="39"/>
    <w:pPr>
      <w:spacing w:after="0" w:line="240" w:lineRule="auto"/>
      <w:ind w:left="420" w:leftChars="200"/>
    </w:pPr>
  </w:style>
  <w:style w:type="paragraph" w:styleId="11">
    <w:name w:val="Title"/>
    <w:basedOn w:val="1"/>
    <w:next w:val="1"/>
    <w:link w:val="33"/>
    <w:qFormat/>
    <w:uiPriority w:val="0"/>
    <w:pPr>
      <w:spacing w:before="240" w:after="60" w:line="240" w:lineRule="auto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semiHidden/>
    <w:unhideWhenUsed/>
    <w:qFormat/>
    <w:uiPriority w:val="99"/>
    <w:rPr>
      <w:color w:val="800080"/>
      <w:u w:val="single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批注文字 Char"/>
    <w:basedOn w:val="15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basedOn w:val="23"/>
    <w:link w:val="1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Char"/>
    <w:basedOn w:val="15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6">
    <w:name w:val="List Paragraph"/>
    <w:basedOn w:val="1"/>
    <w:qFormat/>
    <w:uiPriority w:val="34"/>
    <w:pPr>
      <w:spacing w:after="0"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27">
    <w:name w:val="网格型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日期 Char"/>
    <w:basedOn w:val="15"/>
    <w:link w:val="5"/>
    <w:semiHidden/>
    <w:qFormat/>
    <w:uiPriority w:val="99"/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9FFCC" w:fill="FFFFFF"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33">
    <w:name w:val="标题 Char"/>
    <w:basedOn w:val="15"/>
    <w:link w:val="11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2B00-C40F-4FA5-9E34-2B7A38058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</Words>
  <Characters>1517</Characters>
  <Lines>12</Lines>
  <Paragraphs>3</Paragraphs>
  <TotalTime>0</TotalTime>
  <ScaleCrop>false</ScaleCrop>
  <LinksUpToDate>false</LinksUpToDate>
  <CharactersWithSpaces>1779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2019-02-19T06:24:00Z</dcterms:created>
  <dc:creator>刘亚卿</dc:creator>
  <cp:lastModifiedBy>胡砚燕</cp:lastModifiedBy>
  <cp:lastPrinted>2024-01-31T06:29:00Z</cp:lastPrinted>
  <dcterms:modified xsi:type="dcterms:W3CDTF">2025-01-17T03:00:52Z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8D1DDE3C9FE74839958ABE6EA133F078_13</vt:lpwstr>
  </property>
</Properties>
</file>