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北京市西城区</w:t>
      </w:r>
      <w:r>
        <w:rPr>
          <w:rFonts w:hint="eastAsia" w:ascii="宋体" w:hAnsi="宋体"/>
          <w:b/>
          <w:sz w:val="44"/>
          <w:szCs w:val="44"/>
          <w:lang w:eastAsia="zh-CN"/>
        </w:rPr>
        <w:t>房屋管理</w:t>
      </w:r>
      <w:r>
        <w:rPr>
          <w:rFonts w:hint="eastAsia" w:ascii="宋体" w:hAnsi="宋体"/>
          <w:b/>
          <w:sz w:val="44"/>
          <w:szCs w:val="44"/>
        </w:rPr>
        <w:t>局</w:t>
      </w:r>
      <w:r>
        <w:rPr>
          <w:rFonts w:hint="eastAsia" w:ascii="宋体" w:hAnsi="宋体"/>
          <w:b/>
          <w:sz w:val="44"/>
          <w:szCs w:val="44"/>
          <w:lang w:eastAsia="zh-CN"/>
        </w:rPr>
        <w:t>2025年</w:t>
      </w:r>
      <w:r>
        <w:rPr>
          <w:rFonts w:hint="eastAsia" w:ascii="宋体" w:hAnsi="宋体"/>
          <w:b/>
          <w:sz w:val="44"/>
          <w:szCs w:val="44"/>
        </w:rPr>
        <w:t>部门预算</w:t>
      </w: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公开目录</w:t>
      </w:r>
    </w:p>
    <w:p>
      <w:pPr>
        <w:rPr>
          <w:rFonts w:hint="eastAsia"/>
          <w:lang w:val="en-US" w:eastAsia="zh-CN"/>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lang w:eastAsia="zh-CN"/>
        </w:rPr>
        <w:t>2025年</w:t>
      </w:r>
      <w:r>
        <w:rPr>
          <w:rFonts w:ascii="仿宋_GB2312" w:eastAsia="仿宋_GB2312"/>
          <w:color w:val="000000"/>
          <w:sz w:val="32"/>
          <w:szCs w:val="32"/>
        </w:rPr>
        <w:t>部门预算情况说明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部门预算收支及增减变化情况说明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lang w:eastAsia="zh-CN"/>
        </w:rPr>
        <w:t>2025年</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800" w:firstLineChars="250"/>
        <w:jc w:val="left"/>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表四、项目支出表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表五、财政拨款收支总体情况表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表六、一般公共预算支出情况表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表七、一般公共预算基本支出情况表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表九、国有资本经营预算财政拨款支出表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表十、一般公共预算“三公”经费支出情况表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表十一、政府购买服务预算表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表十二、上级转移支付细化明细表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表十三、项目支出绩效目标申报表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表十四、部门整体支出绩效目标申报表</w:t>
      </w:r>
    </w:p>
    <w:p>
      <w:pPr>
        <w:autoSpaceDE w:val="0"/>
        <w:autoSpaceDN w:val="0"/>
        <w:adjustRightInd w:val="0"/>
        <w:spacing w:line="560" w:lineRule="exact"/>
        <w:ind w:firstLine="800" w:firstLineChars="250"/>
        <w:jc w:val="left"/>
        <w:rPr>
          <w:rFonts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ind w:firstLine="361" w:firstLineChars="100"/>
        <w:jc w:val="center"/>
        <w:rPr>
          <w:rFonts w:ascii="仿宋_GB2312" w:eastAsia="仿宋_GB2312"/>
          <w:color w:val="000000"/>
          <w:sz w:val="32"/>
          <w:szCs w:val="32"/>
        </w:rPr>
      </w:pPr>
      <w:r>
        <w:rPr>
          <w:rFonts w:hint="eastAsia" w:ascii="楷体" w:hAnsi="楷体" w:eastAsia="楷体" w:cs="Times New Roman"/>
          <w:b/>
          <w:sz w:val="36"/>
          <w:szCs w:val="36"/>
        </w:rPr>
        <w:t>第一部分、</w:t>
      </w:r>
      <w:r>
        <w:rPr>
          <w:rFonts w:hint="eastAsia" w:ascii="楷体" w:hAnsi="楷体" w:eastAsia="楷体" w:cs="Times New Roman"/>
          <w:b/>
          <w:sz w:val="36"/>
          <w:szCs w:val="36"/>
          <w:lang w:eastAsia="zh-CN"/>
        </w:rPr>
        <w:t>2025年</w:t>
      </w:r>
      <w:r>
        <w:rPr>
          <w:rFonts w:hint="eastAsia" w:ascii="楷体" w:hAnsi="楷体" w:eastAsia="楷体" w:cs="Times New Roman"/>
          <w:b/>
          <w:sz w:val="36"/>
          <w:szCs w:val="36"/>
        </w:rPr>
        <w:t>部门预算情况说明</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一、部门主要职责及机构设置情况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北京市西城区房屋管理局负责西城区房屋行政管理、国有土地上房屋征收、住房保障和改革等工作，内设19个科室及直属13个财政拨款的事业单位。</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主要职责</w:t>
      </w:r>
      <w:r>
        <w:rPr>
          <w:rFonts w:hint="eastAsia" w:ascii="仿宋_GB2312" w:eastAsia="仿宋_GB2312"/>
          <w:color w:val="000000"/>
          <w:sz w:val="32"/>
          <w:szCs w:val="32"/>
          <w:lang w:eastAsia="zh-CN"/>
        </w:rPr>
        <w:t>：</w:t>
      </w:r>
      <w:r>
        <w:rPr>
          <w:rFonts w:hint="eastAsia" w:ascii="仿宋_GB2312" w:eastAsia="仿宋_GB2312"/>
          <w:color w:val="000000"/>
          <w:sz w:val="32"/>
          <w:szCs w:val="32"/>
        </w:rPr>
        <w:t xml:space="preserve">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⑴贯彻执行国家有关房屋管理、房屋征收、住房保障和住房制度改革的法律、法规、规章、政策和北京市的有关规定。</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⑵负责本区房屋征收和拆迁工作。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⑶监督、指导、督促直管公房经营管理和房屋修缮工作，负责牵头组织直管公房转租转借、改变使用用途等情况的联合执法；负责直管公房的产权管理工作；负责直管公房相关工作的统计分析和规划。</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⑷负责本区房屋市场管理工作，承担本区房屋经纪活动监督管理的责任。</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⑸负责本区物业服务的监督、指导工作。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⑹负责本区住房制度改革管理工作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⑺负责本区保障性住房资格审核、分配等管理工作；指导街道住房保障业务工作。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⑻负责本区房屋落实政策工作。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⑼负责本区房屋租赁管理工作。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⑽负责管理权限内房屋行政执法工作，依法调处各类房屋纠纷。</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⑾承办区政府和上级业务指导部门交办的其他事项。</w:t>
      </w:r>
    </w:p>
    <w:p>
      <w:pPr>
        <w:numPr>
          <w:ilvl w:val="0"/>
          <w:numId w:val="1"/>
        </w:num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人员</w:t>
      </w:r>
      <w:r>
        <w:rPr>
          <w:rFonts w:ascii="仿宋_GB2312" w:eastAsia="仿宋_GB2312"/>
          <w:color w:val="000000"/>
          <w:sz w:val="32"/>
          <w:szCs w:val="32"/>
        </w:rPr>
        <w:t>构成情况</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北京市西城区房屋管理局单位行政编制80人;事业编制136人；实际在职人员</w:t>
      </w:r>
      <w:r>
        <w:rPr>
          <w:rFonts w:hint="eastAsia" w:ascii="仿宋_GB2312" w:eastAsia="仿宋_GB2312"/>
          <w:color w:val="000000"/>
          <w:sz w:val="32"/>
          <w:szCs w:val="32"/>
          <w:lang w:val="en-US" w:eastAsia="zh-CN"/>
        </w:rPr>
        <w:t>193</w:t>
      </w:r>
      <w:r>
        <w:rPr>
          <w:rFonts w:hint="eastAsia" w:ascii="仿宋_GB2312" w:eastAsia="仿宋_GB2312"/>
          <w:color w:val="000000"/>
          <w:sz w:val="32"/>
          <w:szCs w:val="32"/>
        </w:rPr>
        <w:t>人。</w:t>
      </w:r>
    </w:p>
    <w:p>
      <w:pPr>
        <w:numPr>
          <w:ilvl w:val="0"/>
          <w:numId w:val="0"/>
        </w:num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离退休人员</w:t>
      </w:r>
      <w:r>
        <w:rPr>
          <w:rFonts w:hint="eastAsia" w:ascii="仿宋_GB2312" w:eastAsia="仿宋_GB2312"/>
          <w:color w:val="000000"/>
          <w:sz w:val="32"/>
          <w:szCs w:val="32"/>
          <w:lang w:val="en-US" w:eastAsia="zh-CN"/>
        </w:rPr>
        <w:t>311</w:t>
      </w:r>
      <w:r>
        <w:rPr>
          <w:rFonts w:hint="eastAsia" w:ascii="仿宋_GB2312" w:eastAsia="仿宋_GB2312"/>
          <w:color w:val="000000"/>
          <w:sz w:val="32"/>
          <w:szCs w:val="32"/>
        </w:rPr>
        <w:t>人，其中：离休</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人，退休</w:t>
      </w:r>
      <w:r>
        <w:rPr>
          <w:rFonts w:hint="eastAsia" w:ascii="仿宋_GB2312" w:eastAsia="仿宋_GB2312"/>
          <w:color w:val="000000"/>
          <w:sz w:val="32"/>
          <w:szCs w:val="32"/>
          <w:lang w:val="en-US" w:eastAsia="zh-CN"/>
        </w:rPr>
        <w:t>307</w:t>
      </w:r>
      <w:r>
        <w:rPr>
          <w:rFonts w:hint="eastAsia" w:ascii="仿宋_GB2312" w:eastAsia="仿宋_GB2312"/>
          <w:color w:val="000000"/>
          <w:sz w:val="32"/>
          <w:szCs w:val="32"/>
        </w:rPr>
        <w:t>人。</w:t>
      </w:r>
    </w:p>
    <w:p>
      <w:pPr>
        <w:spacing w:line="560" w:lineRule="exact"/>
        <w:ind w:firstLine="800" w:firstLineChars="250"/>
        <w:rPr>
          <w:rFonts w:hint="eastAsia" w:ascii="黑体" w:hAnsi="黑体" w:eastAsia="黑体" w:cs="黑体"/>
          <w:color w:val="000000"/>
          <w:sz w:val="32"/>
          <w:szCs w:val="32"/>
        </w:rPr>
      </w:pPr>
      <w:r>
        <w:rPr>
          <w:rFonts w:hint="eastAsia" w:ascii="黑体" w:hAnsi="黑体" w:eastAsia="黑体" w:cs="黑体"/>
          <w:color w:val="000000"/>
          <w:sz w:val="32"/>
          <w:szCs w:val="32"/>
        </w:rPr>
        <w:t>二、</w:t>
      </w:r>
      <w:r>
        <w:rPr>
          <w:rFonts w:hint="eastAsia" w:ascii="黑体" w:hAnsi="黑体" w:eastAsia="黑体" w:cs="黑体"/>
          <w:color w:val="000000"/>
          <w:sz w:val="32"/>
          <w:szCs w:val="32"/>
          <w:lang w:eastAsia="zh-CN"/>
        </w:rPr>
        <w:t>2025年</w:t>
      </w:r>
      <w:r>
        <w:rPr>
          <w:rFonts w:hint="eastAsia" w:ascii="黑体" w:hAnsi="黑体" w:eastAsia="黑体" w:cs="黑体"/>
          <w:color w:val="000000"/>
          <w:sz w:val="32"/>
          <w:szCs w:val="32"/>
        </w:rPr>
        <w:t>部门预算收支及增减变化情况说明</w:t>
      </w:r>
    </w:p>
    <w:p>
      <w:pPr>
        <w:spacing w:line="560" w:lineRule="exact"/>
        <w:ind w:firstLine="800" w:firstLineChars="25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2025年</w:t>
      </w:r>
      <w:r>
        <w:rPr>
          <w:rFonts w:hint="eastAsia" w:ascii="仿宋_GB2312" w:eastAsia="仿宋_GB2312"/>
          <w:color w:val="000000"/>
          <w:sz w:val="32"/>
          <w:szCs w:val="32"/>
        </w:rPr>
        <w:t>部门预算</w:t>
      </w:r>
      <w:r>
        <w:rPr>
          <w:rFonts w:hint="eastAsia" w:ascii="仿宋_GB2312" w:eastAsia="仿宋_GB2312"/>
          <w:color w:val="000000"/>
          <w:sz w:val="32"/>
          <w:szCs w:val="32"/>
          <w:lang w:eastAsia="zh-CN"/>
        </w:rPr>
        <w:t>收入33,197.705234</w:t>
      </w:r>
      <w:r>
        <w:rPr>
          <w:rFonts w:hint="eastAsia" w:ascii="仿宋_GB2312" w:eastAsia="仿宋_GB2312"/>
          <w:color w:val="000000"/>
          <w:sz w:val="32"/>
          <w:szCs w:val="32"/>
          <w:lang w:val="en-US" w:eastAsia="zh-CN"/>
        </w:rPr>
        <w:t>万</w:t>
      </w:r>
      <w:r>
        <w:rPr>
          <w:rFonts w:hint="eastAsia" w:ascii="仿宋_GB2312" w:eastAsia="仿宋_GB2312"/>
          <w:color w:val="000000"/>
          <w:sz w:val="32"/>
          <w:szCs w:val="32"/>
        </w:rPr>
        <w:t>元，比</w:t>
      </w:r>
      <w:r>
        <w:rPr>
          <w:rFonts w:hint="eastAsia" w:ascii="仿宋_GB2312" w:eastAsia="仿宋_GB2312"/>
          <w:color w:val="000000"/>
          <w:sz w:val="32"/>
          <w:szCs w:val="32"/>
          <w:lang w:eastAsia="zh-CN"/>
        </w:rPr>
        <w:t>2024</w:t>
      </w:r>
      <w:r>
        <w:rPr>
          <w:rFonts w:hint="eastAsia" w:ascii="仿宋_GB2312" w:eastAsia="仿宋_GB2312"/>
          <w:color w:val="000000"/>
          <w:sz w:val="32"/>
          <w:szCs w:val="32"/>
        </w:rPr>
        <w:t>年部门预算收</w:t>
      </w:r>
      <w:r>
        <w:rPr>
          <w:rFonts w:hint="eastAsia" w:ascii="仿宋_GB2312" w:eastAsia="仿宋_GB2312"/>
          <w:color w:val="000000"/>
          <w:sz w:val="32"/>
          <w:szCs w:val="32"/>
          <w:lang w:eastAsia="zh-CN"/>
        </w:rPr>
        <w:t>入34661</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684851</w:t>
      </w:r>
      <w:r>
        <w:rPr>
          <w:rFonts w:hint="eastAsia" w:ascii="仿宋_GB2312" w:eastAsia="仿宋_GB2312"/>
          <w:color w:val="000000"/>
          <w:sz w:val="32"/>
          <w:szCs w:val="32"/>
        </w:rPr>
        <w:t>元</w:t>
      </w:r>
      <w:r>
        <w:rPr>
          <w:rFonts w:hint="eastAsia" w:ascii="仿宋_GB2312" w:eastAsia="仿宋_GB2312"/>
          <w:color w:val="000000"/>
          <w:sz w:val="32"/>
          <w:szCs w:val="32"/>
          <w:lang w:val="en-US" w:eastAsia="zh-CN"/>
        </w:rPr>
        <w:t>减少1463.979617万</w:t>
      </w:r>
      <w:r>
        <w:rPr>
          <w:rFonts w:hint="eastAsia" w:ascii="仿宋_GB2312" w:eastAsia="仿宋_GB2312"/>
          <w:color w:val="000000"/>
          <w:sz w:val="32"/>
          <w:szCs w:val="32"/>
        </w:rPr>
        <w:t>元,</w:t>
      </w:r>
      <w:r>
        <w:rPr>
          <w:rFonts w:hint="eastAsia" w:ascii="仿宋_GB2312" w:eastAsia="仿宋_GB2312"/>
          <w:color w:val="000000"/>
          <w:sz w:val="32"/>
          <w:szCs w:val="32"/>
          <w:lang w:val="en-US" w:eastAsia="zh-CN"/>
        </w:rPr>
        <w:t>减少4.22</w:t>
      </w:r>
      <w:r>
        <w:rPr>
          <w:rFonts w:hint="eastAsia" w:ascii="仿宋_GB2312" w:eastAsia="仿宋_GB2312"/>
          <w:color w:val="000000"/>
          <w:sz w:val="32"/>
          <w:szCs w:val="32"/>
        </w:rPr>
        <w:t>%</w:t>
      </w:r>
      <w:r>
        <w:rPr>
          <w:rFonts w:hint="eastAsia" w:ascii="仿宋_GB2312" w:eastAsia="仿宋_GB2312"/>
          <w:color w:val="000000"/>
          <w:sz w:val="32"/>
          <w:szCs w:val="32"/>
          <w:lang w:eastAsia="zh-CN"/>
        </w:rPr>
        <w:t>。主要</w:t>
      </w:r>
      <w:r>
        <w:rPr>
          <w:rFonts w:hint="eastAsia" w:ascii="仿宋_GB2312" w:eastAsia="仿宋_GB2312"/>
          <w:color w:val="000000"/>
          <w:sz w:val="32"/>
          <w:szCs w:val="32"/>
          <w:lang w:val="en-US" w:eastAsia="zh-CN"/>
        </w:rPr>
        <w:t>原因</w:t>
      </w:r>
      <w:r>
        <w:rPr>
          <w:rFonts w:hint="eastAsia" w:ascii="仿宋_GB2312" w:eastAsia="仿宋_GB2312"/>
          <w:color w:val="000000"/>
          <w:sz w:val="32"/>
          <w:szCs w:val="32"/>
          <w:lang w:eastAsia="zh-CN"/>
        </w:rPr>
        <w:t>是保障性住房租金补贴</w:t>
      </w:r>
      <w:r>
        <w:rPr>
          <w:rFonts w:hint="eastAsia" w:ascii="仿宋_GB2312" w:eastAsia="仿宋_GB2312"/>
          <w:color w:val="000000"/>
          <w:sz w:val="32"/>
          <w:szCs w:val="32"/>
          <w:lang w:val="en-US" w:eastAsia="zh-CN"/>
        </w:rPr>
        <w:t>预算收入</w:t>
      </w:r>
      <w:r>
        <w:rPr>
          <w:rFonts w:hint="eastAsia" w:ascii="仿宋_GB2312" w:eastAsia="仿宋_GB2312"/>
          <w:color w:val="000000"/>
          <w:sz w:val="32"/>
          <w:szCs w:val="32"/>
          <w:lang w:eastAsia="zh-CN"/>
        </w:rPr>
        <w:t>较上年</w:t>
      </w:r>
      <w:r>
        <w:rPr>
          <w:rFonts w:hint="eastAsia" w:ascii="仿宋_GB2312" w:eastAsia="仿宋_GB2312"/>
          <w:color w:val="000000"/>
          <w:sz w:val="32"/>
          <w:szCs w:val="32"/>
          <w:lang w:val="en-US" w:eastAsia="zh-CN"/>
        </w:rPr>
        <w:t>减少</w:t>
      </w:r>
      <w:r>
        <w:rPr>
          <w:rFonts w:hint="eastAsia" w:ascii="仿宋_GB2312" w:eastAsia="仿宋_GB2312"/>
          <w:color w:val="000000"/>
          <w:sz w:val="32"/>
          <w:szCs w:val="32"/>
          <w:lang w:eastAsia="zh-CN"/>
        </w:rPr>
        <w:t>。</w:t>
      </w:r>
    </w:p>
    <w:p>
      <w:pPr>
        <w:ind w:firstLine="640" w:firstLineChars="200"/>
        <w:rPr>
          <w:rFonts w:ascii="仿宋" w:hAnsi="仿宋" w:eastAsia="仿宋"/>
          <w:sz w:val="32"/>
          <w:szCs w:val="32"/>
        </w:rPr>
      </w:pPr>
      <w:r>
        <w:rPr>
          <w:rFonts w:hint="eastAsia" w:ascii="仿宋_GB2312" w:eastAsia="仿宋_GB2312"/>
          <w:color w:val="000000"/>
          <w:sz w:val="32"/>
          <w:szCs w:val="32"/>
          <w:lang w:val="en-US" w:eastAsia="zh-CN"/>
        </w:rPr>
        <w:t>2025年</w:t>
      </w:r>
      <w:r>
        <w:rPr>
          <w:rFonts w:hint="eastAsia" w:ascii="仿宋_GB2312" w:eastAsia="仿宋_GB2312"/>
          <w:color w:val="000000"/>
          <w:sz w:val="32"/>
          <w:szCs w:val="32"/>
        </w:rPr>
        <w:t>部门预算</w:t>
      </w:r>
      <w:r>
        <w:rPr>
          <w:rFonts w:hint="eastAsia" w:ascii="仿宋_GB2312" w:eastAsia="仿宋_GB2312"/>
          <w:color w:val="000000"/>
          <w:sz w:val="32"/>
          <w:szCs w:val="32"/>
          <w:lang w:eastAsia="zh-CN"/>
        </w:rPr>
        <w:t>支出33,197.705234</w:t>
      </w:r>
      <w:r>
        <w:rPr>
          <w:rFonts w:hint="eastAsia" w:ascii="仿宋_GB2312" w:eastAsia="仿宋_GB2312"/>
          <w:color w:val="000000"/>
          <w:sz w:val="32"/>
          <w:szCs w:val="32"/>
          <w:lang w:val="en-US" w:eastAsia="zh-CN"/>
        </w:rPr>
        <w:t>万</w:t>
      </w:r>
      <w:r>
        <w:rPr>
          <w:rFonts w:hint="eastAsia" w:ascii="仿宋_GB2312" w:eastAsia="仿宋_GB2312"/>
          <w:color w:val="000000"/>
          <w:sz w:val="32"/>
          <w:szCs w:val="32"/>
        </w:rPr>
        <w:t>元</w:t>
      </w:r>
      <w:r>
        <w:rPr>
          <w:rFonts w:hint="eastAsia" w:ascii="仿宋_GB2312" w:eastAsia="仿宋_GB2312"/>
          <w:color w:val="000000"/>
          <w:sz w:val="32"/>
          <w:szCs w:val="32"/>
          <w:lang w:eastAsia="zh-CN"/>
        </w:rPr>
        <w:t>，</w:t>
      </w:r>
      <w:r>
        <w:rPr>
          <w:rFonts w:hint="eastAsia" w:ascii="仿宋" w:hAnsi="仿宋" w:eastAsia="仿宋"/>
          <w:sz w:val="32"/>
          <w:szCs w:val="32"/>
        </w:rPr>
        <w:t>按用途划分：</w:t>
      </w:r>
    </w:p>
    <w:p>
      <w:pPr>
        <w:spacing w:line="56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lang w:val="en-US" w:eastAsia="zh-CN"/>
        </w:rPr>
        <w:t>1、基本支出预算7,519.371023万元，占总支出预算的22.65%,比2024年6938.142827元增加581.228196元，增加8.38%,</w:t>
      </w:r>
      <w:r>
        <w:rPr>
          <w:rFonts w:hint="eastAsia" w:ascii="仿宋_GB2312" w:eastAsia="仿宋_GB2312"/>
          <w:color w:val="000000"/>
          <w:sz w:val="32"/>
          <w:szCs w:val="32"/>
          <w:highlight w:val="none"/>
          <w:lang w:val="en-US" w:eastAsia="zh-CN"/>
        </w:rPr>
        <w:t>主要原因是人员增加及标准调整。</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项目支出预算25,678.334211</w:t>
      </w:r>
      <w:r>
        <w:rPr>
          <w:rFonts w:hint="eastAsia" w:ascii="仿宋_GB2312" w:eastAsia="仿宋_GB2312"/>
          <w:color w:val="000000"/>
          <w:sz w:val="32"/>
          <w:szCs w:val="32"/>
          <w:lang w:val="en-US" w:eastAsia="zh-CN"/>
        </w:rPr>
        <w:t>元，占总支出预算的77.35%。比2024年27,723.542024万元减少2045.207813元，减少7.3%,</w:t>
      </w:r>
      <w:r>
        <w:rPr>
          <w:rFonts w:hint="eastAsia" w:ascii="仿宋_GB2312" w:eastAsia="仿宋_GB2312"/>
          <w:color w:val="000000"/>
          <w:sz w:val="32"/>
          <w:szCs w:val="32"/>
          <w:lang w:eastAsia="zh-CN"/>
        </w:rPr>
        <w:t>支出</w:t>
      </w:r>
      <w:r>
        <w:rPr>
          <w:rFonts w:hint="eastAsia" w:ascii="仿宋_GB2312" w:eastAsia="仿宋_GB2312"/>
          <w:color w:val="000000"/>
          <w:sz w:val="32"/>
          <w:szCs w:val="32"/>
          <w:lang w:val="en-US" w:eastAsia="zh-CN"/>
        </w:rPr>
        <w:t>减少</w:t>
      </w:r>
      <w:r>
        <w:rPr>
          <w:rFonts w:hint="eastAsia" w:ascii="仿宋_GB2312" w:eastAsia="仿宋_GB2312"/>
          <w:color w:val="000000"/>
          <w:sz w:val="32"/>
          <w:szCs w:val="32"/>
        </w:rPr>
        <w:t>的主要原因</w:t>
      </w:r>
      <w:r>
        <w:rPr>
          <w:rFonts w:hint="eastAsia" w:ascii="仿宋_GB2312" w:eastAsia="仿宋_GB2312"/>
          <w:color w:val="000000"/>
          <w:sz w:val="32"/>
          <w:szCs w:val="32"/>
          <w:lang w:eastAsia="zh-CN"/>
        </w:rPr>
        <w:t>是保障性住房租金补贴</w:t>
      </w:r>
      <w:r>
        <w:rPr>
          <w:rFonts w:hint="eastAsia" w:ascii="仿宋_GB2312" w:eastAsia="仿宋_GB2312"/>
          <w:color w:val="000000"/>
          <w:sz w:val="32"/>
          <w:szCs w:val="32"/>
          <w:lang w:val="en-US" w:eastAsia="zh-CN"/>
        </w:rPr>
        <w:t>较上年需求减少</w:t>
      </w:r>
      <w:r>
        <w:rPr>
          <w:rFonts w:hint="eastAsia" w:ascii="仿宋_GB2312" w:eastAsia="仿宋_GB2312"/>
          <w:color w:val="000000"/>
          <w:sz w:val="32"/>
          <w:szCs w:val="32"/>
        </w:rPr>
        <w:t>。</w:t>
      </w:r>
    </w:p>
    <w:p>
      <w:pPr>
        <w:numPr>
          <w:ilvl w:val="0"/>
          <w:numId w:val="2"/>
        </w:numPr>
        <w:spacing w:line="560" w:lineRule="exact"/>
        <w:ind w:firstLine="800" w:firstLineChars="25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主要支出情况</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（一）基本支出主要包括在职、离退休人员支出、个人和家庭补助支出、公用支出。</w:t>
      </w:r>
    </w:p>
    <w:p>
      <w:pPr>
        <w:numPr>
          <w:ilvl w:val="0"/>
          <w:numId w:val="0"/>
        </w:num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（二）项目支出主要包括保障性住房租金补贴</w:t>
      </w:r>
      <w:r>
        <w:rPr>
          <w:rFonts w:hint="eastAsia" w:ascii="仿宋_GB2312" w:eastAsia="仿宋_GB2312"/>
          <w:color w:val="000000"/>
          <w:sz w:val="32"/>
          <w:szCs w:val="32"/>
          <w:lang w:eastAsia="zh-CN"/>
        </w:rPr>
        <w:t>、保障性住房后期管理经费、</w:t>
      </w:r>
      <w:r>
        <w:rPr>
          <w:rFonts w:hint="eastAsia" w:ascii="仿宋_GB2312" w:eastAsia="仿宋_GB2312"/>
          <w:color w:val="000000"/>
          <w:sz w:val="32"/>
          <w:szCs w:val="32"/>
        </w:rPr>
        <w:t>房屋抢修抢险工程款</w:t>
      </w:r>
      <w:r>
        <w:rPr>
          <w:rFonts w:hint="eastAsia" w:ascii="仿宋_GB2312" w:eastAsia="仿宋_GB2312"/>
          <w:color w:val="000000"/>
          <w:sz w:val="32"/>
          <w:szCs w:val="32"/>
          <w:lang w:eastAsia="zh-CN"/>
        </w:rPr>
        <w:t>、西城区选调（培）生人才住房租金、</w:t>
      </w:r>
      <w:r>
        <w:rPr>
          <w:rFonts w:hint="eastAsia" w:ascii="仿宋_GB2312" w:eastAsia="仿宋_GB2312"/>
          <w:color w:val="000000"/>
          <w:sz w:val="32"/>
          <w:szCs w:val="32"/>
          <w:lang w:val="en-US" w:eastAsia="zh-CN"/>
        </w:rPr>
        <w:t>房屋安全检查及评估经费、房产实测绘成果审核服务经费</w:t>
      </w:r>
      <w:r>
        <w:rPr>
          <w:rFonts w:hint="eastAsia" w:ascii="仿宋_GB2312" w:eastAsia="仿宋_GB2312"/>
          <w:color w:val="000000"/>
          <w:sz w:val="32"/>
          <w:szCs w:val="32"/>
          <w:lang w:eastAsia="zh-CN"/>
        </w:rPr>
        <w:t>等。</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四、部门“三公”经费财政拨款预算说明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numPr>
          <w:ilvl w:val="0"/>
          <w:numId w:val="0"/>
        </w:num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北京市西城区房屋管理局为全额拨款行政机关，部门预算中因公出国（境）费、公务接待费、公务用车购置及运行维护费的支出单位包括1个所属单位，即北京市西城区房屋管理局。</w:t>
      </w:r>
    </w:p>
    <w:p>
      <w:pPr>
        <w:numPr>
          <w:ilvl w:val="0"/>
          <w:numId w:val="0"/>
        </w:numPr>
        <w:spacing w:line="560" w:lineRule="exact"/>
        <w:ind w:leftChars="200" w:firstLine="320" w:firstLineChars="100"/>
        <w:rPr>
          <w:rFonts w:hint="eastAsia" w:ascii="仿宋_GB2312" w:eastAsia="仿宋_GB2312"/>
          <w:color w:val="000000"/>
          <w:sz w:val="32"/>
          <w:szCs w:val="32"/>
        </w:rPr>
      </w:pPr>
      <w:r>
        <w:rPr>
          <w:rFonts w:hint="eastAsia" w:ascii="仿宋_GB2312" w:eastAsia="仿宋_GB2312"/>
          <w:color w:val="000000"/>
          <w:sz w:val="32"/>
          <w:szCs w:val="32"/>
          <w:lang w:eastAsia="zh-CN"/>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2025年</w:t>
      </w:r>
      <w:r>
        <w:rPr>
          <w:rFonts w:hint="eastAsia" w:ascii="仿宋_GB2312" w:eastAsia="仿宋_GB2312"/>
          <w:color w:val="000000"/>
          <w:sz w:val="32"/>
          <w:szCs w:val="32"/>
        </w:rPr>
        <w:t xml:space="preserve"> “三公”经费财政预算数2.398789</w:t>
      </w:r>
      <w:r>
        <w:rPr>
          <w:rFonts w:hint="eastAsia" w:ascii="仿宋_GB2312" w:eastAsia="仿宋_GB2312"/>
          <w:color w:val="000000"/>
          <w:sz w:val="32"/>
          <w:szCs w:val="32"/>
          <w:lang w:val="en-US" w:eastAsia="zh-CN"/>
        </w:rPr>
        <w:t>万</w:t>
      </w:r>
      <w:r>
        <w:rPr>
          <w:rFonts w:hint="eastAsia" w:ascii="仿宋_GB2312" w:eastAsia="仿宋_GB2312"/>
          <w:color w:val="000000"/>
          <w:sz w:val="32"/>
          <w:szCs w:val="32"/>
        </w:rPr>
        <w:t>元，</w:t>
      </w:r>
      <w:r>
        <w:rPr>
          <w:rFonts w:hint="eastAsia" w:ascii="仿宋_GB2312" w:eastAsia="仿宋_GB2312"/>
          <w:color w:val="000000"/>
          <w:sz w:val="32"/>
          <w:szCs w:val="32"/>
          <w:lang w:val="en-US" w:eastAsia="zh-CN"/>
        </w:rPr>
        <w:t>比2024</w:t>
      </w:r>
      <w:r>
        <w:rPr>
          <w:rFonts w:hint="eastAsia" w:ascii="仿宋_GB2312" w:eastAsia="仿宋_GB2312"/>
          <w:color w:val="000000"/>
          <w:sz w:val="32"/>
          <w:szCs w:val="32"/>
        </w:rPr>
        <w:t>年“三公”经费</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w:t>
      </w:r>
      <w:r>
        <w:rPr>
          <w:rFonts w:hint="eastAsia" w:ascii="仿宋_GB2312" w:eastAsia="仿宋_GB2312"/>
          <w:color w:val="000000"/>
          <w:sz w:val="32"/>
          <w:szCs w:val="32"/>
          <w:lang w:val="en-US" w:eastAsia="zh-CN"/>
        </w:rPr>
        <w:t>数减少0.0575万元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其中：</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因公出国（境）费</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2025年</w:t>
      </w:r>
      <w:r>
        <w:rPr>
          <w:rFonts w:hint="eastAsia" w:ascii="仿宋_GB2312" w:eastAsia="仿宋_GB2312"/>
          <w:color w:val="000000"/>
          <w:sz w:val="32"/>
          <w:szCs w:val="32"/>
        </w:rPr>
        <w:t>财政预算数0元，与</w:t>
      </w:r>
      <w:r>
        <w:rPr>
          <w:rFonts w:hint="eastAsia" w:ascii="仿宋_GB2312" w:eastAsia="仿宋_GB2312"/>
          <w:color w:val="000000"/>
          <w:sz w:val="32"/>
          <w:szCs w:val="32"/>
          <w:lang w:eastAsia="zh-CN"/>
        </w:rPr>
        <w:t>2024</w:t>
      </w:r>
      <w:r>
        <w:rPr>
          <w:rFonts w:hint="eastAsia" w:ascii="仿宋_GB2312" w:eastAsia="仿宋_GB2312"/>
          <w:color w:val="000000"/>
          <w:sz w:val="32"/>
          <w:szCs w:val="32"/>
        </w:rPr>
        <w:t>年</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预算一致。</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公务接待费</w:t>
      </w:r>
    </w:p>
    <w:p>
      <w:pPr>
        <w:numPr>
          <w:ilvl w:val="0"/>
          <w:numId w:val="0"/>
        </w:num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2025年</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预算2.398789</w:t>
      </w:r>
      <w:r>
        <w:rPr>
          <w:rFonts w:hint="eastAsia" w:ascii="仿宋_GB2312" w:eastAsia="仿宋_GB2312"/>
          <w:color w:val="000000"/>
          <w:sz w:val="32"/>
          <w:szCs w:val="32"/>
          <w:lang w:val="en-US" w:eastAsia="zh-CN"/>
        </w:rPr>
        <w:t>万</w:t>
      </w:r>
      <w:r>
        <w:rPr>
          <w:rFonts w:hint="eastAsia" w:ascii="仿宋_GB2312" w:eastAsia="仿宋_GB2312"/>
          <w:color w:val="000000"/>
          <w:sz w:val="32"/>
          <w:szCs w:val="32"/>
        </w:rPr>
        <w:t>元，</w:t>
      </w:r>
      <w:r>
        <w:rPr>
          <w:rFonts w:hint="eastAsia" w:ascii="仿宋_GB2312" w:eastAsia="仿宋_GB2312"/>
          <w:color w:val="000000"/>
          <w:sz w:val="32"/>
          <w:szCs w:val="32"/>
          <w:lang w:val="en-US" w:eastAsia="zh-CN"/>
        </w:rPr>
        <w:t>比2024</w:t>
      </w:r>
      <w:r>
        <w:rPr>
          <w:rFonts w:hint="eastAsia" w:ascii="仿宋_GB2312" w:eastAsia="仿宋_GB2312"/>
          <w:color w:val="000000"/>
          <w:sz w:val="32"/>
          <w:szCs w:val="32"/>
        </w:rPr>
        <w:t>年“三公”经费</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w:t>
      </w:r>
      <w:r>
        <w:rPr>
          <w:rFonts w:hint="eastAsia" w:ascii="仿宋_GB2312" w:eastAsia="仿宋_GB2312"/>
          <w:color w:val="000000"/>
          <w:sz w:val="32"/>
          <w:szCs w:val="32"/>
          <w:lang w:val="en-US" w:eastAsia="zh-CN"/>
        </w:rPr>
        <w:t>数减少0.0575万元。</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公务用车购置及运行维护费</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2025年</w:t>
      </w:r>
      <w:r>
        <w:rPr>
          <w:rFonts w:hint="eastAsia" w:ascii="仿宋_GB2312" w:eastAsia="仿宋_GB2312"/>
          <w:color w:val="000000"/>
          <w:sz w:val="32"/>
          <w:szCs w:val="32"/>
        </w:rPr>
        <w:t>财政预算数0元，与</w:t>
      </w:r>
      <w:r>
        <w:rPr>
          <w:rFonts w:hint="eastAsia" w:ascii="仿宋_GB2312" w:eastAsia="仿宋_GB2312"/>
          <w:color w:val="000000"/>
          <w:sz w:val="32"/>
          <w:szCs w:val="32"/>
          <w:lang w:eastAsia="zh-CN"/>
        </w:rPr>
        <w:t>2024</w:t>
      </w:r>
      <w:r>
        <w:rPr>
          <w:rFonts w:hint="eastAsia" w:ascii="仿宋_GB2312" w:eastAsia="仿宋_GB2312"/>
          <w:color w:val="000000"/>
          <w:sz w:val="32"/>
          <w:szCs w:val="32"/>
        </w:rPr>
        <w:t>年</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预算一致。</w:t>
      </w:r>
      <w:r>
        <w:rPr>
          <w:rFonts w:hint="eastAsia" w:ascii="仿宋_GB2312" w:eastAsia="仿宋_GB2312"/>
          <w:color w:val="000000"/>
          <w:sz w:val="32"/>
          <w:szCs w:val="32"/>
          <w:lang w:eastAsia="zh-CN"/>
        </w:rPr>
        <w:t>因</w:t>
      </w:r>
      <w:r>
        <w:rPr>
          <w:rFonts w:hint="eastAsia" w:ascii="仿宋_GB2312" w:eastAsia="仿宋_GB2312"/>
          <w:color w:val="000000"/>
          <w:sz w:val="32"/>
          <w:szCs w:val="32"/>
        </w:rPr>
        <w:t>公务用车已移交，</w:t>
      </w:r>
      <w:r>
        <w:rPr>
          <w:rFonts w:hint="eastAsia" w:ascii="仿宋_GB2312" w:eastAsia="仿宋_GB2312"/>
          <w:color w:val="000000"/>
          <w:sz w:val="32"/>
          <w:szCs w:val="32"/>
          <w:lang w:val="en-US" w:eastAsia="zh-CN"/>
        </w:rPr>
        <w:t>2025年</w:t>
      </w:r>
      <w:r>
        <w:rPr>
          <w:rFonts w:hint="eastAsia" w:ascii="仿宋_GB2312" w:eastAsia="仿宋_GB2312"/>
          <w:color w:val="000000"/>
          <w:sz w:val="32"/>
          <w:szCs w:val="32"/>
        </w:rPr>
        <w:t>预算没有安排公车购置及运行维护费。</w:t>
      </w:r>
    </w:p>
    <w:p>
      <w:pPr>
        <w:numPr>
          <w:ilvl w:val="0"/>
          <w:numId w:val="2"/>
        </w:numPr>
        <w:spacing w:line="560" w:lineRule="exact"/>
        <w:ind w:left="0" w:leftChars="0" w:firstLine="800" w:firstLineChars="250"/>
        <w:rPr>
          <w:rFonts w:hint="eastAsia" w:ascii="黑体" w:hAnsi="黑体" w:eastAsia="黑体" w:cs="黑体"/>
          <w:color w:val="000000"/>
          <w:sz w:val="32"/>
          <w:szCs w:val="32"/>
        </w:rPr>
      </w:pPr>
      <w:r>
        <w:rPr>
          <w:rFonts w:hint="eastAsia" w:ascii="黑体" w:hAnsi="黑体" w:eastAsia="黑体" w:cs="黑体"/>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2025年</w:t>
      </w:r>
      <w:r>
        <w:rPr>
          <w:rFonts w:hint="eastAsia" w:ascii="仿宋_GB2312" w:eastAsia="仿宋_GB2312"/>
          <w:color w:val="000000"/>
          <w:sz w:val="32"/>
          <w:szCs w:val="32"/>
        </w:rPr>
        <w:t>，</w:t>
      </w:r>
      <w:r>
        <w:rPr>
          <w:rFonts w:hint="eastAsia" w:ascii="仿宋_GB2312" w:eastAsia="仿宋_GB2312"/>
          <w:color w:val="000000"/>
          <w:sz w:val="32"/>
          <w:szCs w:val="32"/>
          <w:lang w:eastAsia="zh-CN"/>
        </w:rPr>
        <w:t>北京市西城区房屋管理局</w:t>
      </w:r>
      <w:r>
        <w:rPr>
          <w:rFonts w:hint="eastAsia" w:ascii="仿宋_GB2312" w:eastAsia="仿宋_GB2312"/>
          <w:color w:val="000000"/>
          <w:sz w:val="32"/>
          <w:szCs w:val="32"/>
        </w:rPr>
        <w:t>机关运行经费财政拨款预算</w:t>
      </w:r>
      <w:r>
        <w:rPr>
          <w:rFonts w:hint="eastAsia" w:ascii="仿宋_GB2312" w:eastAsia="仿宋_GB2312"/>
          <w:color w:val="000000"/>
          <w:sz w:val="32"/>
          <w:szCs w:val="32"/>
          <w:lang w:val="en-US" w:eastAsia="zh-CN"/>
        </w:rPr>
        <w:t>358.4031万</w:t>
      </w:r>
      <w:r>
        <w:rPr>
          <w:rFonts w:hint="eastAsia" w:ascii="仿宋_GB2312" w:eastAsia="仿宋_GB2312"/>
          <w:color w:val="000000"/>
          <w:sz w:val="32"/>
          <w:szCs w:val="32"/>
        </w:rPr>
        <w:t>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2025年</w:t>
      </w:r>
      <w:r>
        <w:rPr>
          <w:rFonts w:hint="eastAsia" w:ascii="仿宋_GB2312" w:hAnsi="仿宋_GB2312" w:eastAsia="仿宋_GB2312" w:cs="仿宋_GB2312"/>
          <w:color w:val="000000"/>
          <w:sz w:val="32"/>
          <w:szCs w:val="32"/>
        </w:rPr>
        <w:t>涉及政府采购项目</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个，预算资金293.563800</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（三）政府购买服务预算说明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2025年</w:t>
      </w:r>
      <w:r>
        <w:rPr>
          <w:rFonts w:hint="eastAsia" w:ascii="仿宋_GB2312" w:hAnsi="仿宋_GB2312" w:eastAsia="仿宋_GB2312" w:cs="仿宋_GB2312"/>
          <w:color w:val="000000"/>
          <w:sz w:val="32"/>
          <w:szCs w:val="32"/>
        </w:rPr>
        <w:t>政府购买服务项目</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个，预算资金328.368100</w:t>
      </w:r>
      <w:r>
        <w:rPr>
          <w:rFonts w:hint="eastAsia" w:ascii="仿宋_GB2312" w:hAnsi="仿宋_GB2312" w:eastAsia="仿宋_GB2312" w:cs="仿宋_GB2312"/>
          <w:color w:val="000000"/>
          <w:sz w:val="32"/>
          <w:szCs w:val="32"/>
          <w:lang w:val="en-US" w:eastAsia="zh-CN"/>
        </w:rPr>
        <w:t>万</w:t>
      </w:r>
      <w:r>
        <w:rPr>
          <w:rFonts w:hint="eastAsia" w:ascii="仿宋_GB2312" w:hAnsi="仿宋_GB2312" w:eastAsia="仿宋_GB2312" w:cs="仿宋_GB2312"/>
          <w:color w:val="000000"/>
          <w:sz w:val="32"/>
          <w:szCs w:val="32"/>
        </w:rPr>
        <w:t>元。</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（四）绩效目标情况及绩效评价结果说明</w:t>
      </w:r>
    </w:p>
    <w:p>
      <w:pPr>
        <w:spacing w:line="560" w:lineRule="exact"/>
        <w:ind w:firstLine="645"/>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填报绩效目标的预算项目</w:t>
      </w:r>
      <w:r>
        <w:rPr>
          <w:rFonts w:hint="eastAsia" w:ascii="仿宋_GB2312" w:hAnsi="仿宋_GB2312" w:eastAsia="仿宋_GB2312" w:cs="仿宋_GB2312"/>
          <w:color w:val="000000"/>
          <w:sz w:val="32"/>
          <w:szCs w:val="32"/>
          <w:highlight w:val="none"/>
          <w:lang w:val="en-US" w:eastAsia="zh-CN"/>
        </w:rPr>
        <w:t>28</w:t>
      </w:r>
      <w:r>
        <w:rPr>
          <w:rFonts w:hint="eastAsia" w:ascii="仿宋_GB2312" w:hAnsi="仿宋_GB2312" w:eastAsia="仿宋_GB2312" w:cs="仿宋_GB2312"/>
          <w:color w:val="000000"/>
          <w:sz w:val="32"/>
          <w:szCs w:val="32"/>
          <w:highlight w:val="none"/>
        </w:rPr>
        <w:t>个</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占本部门本年预算项目的100%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lang w:eastAsia="zh-CN"/>
        </w:rPr>
        <w:t>2024</w:t>
      </w:r>
      <w:r>
        <w:rPr>
          <w:rFonts w:hint="eastAsia" w:ascii="仿宋_GB2312" w:hAnsi="仿宋_GB2312" w:eastAsia="仿宋_GB2312" w:cs="仿宋_GB2312"/>
          <w:color w:val="000000"/>
          <w:sz w:val="32"/>
          <w:szCs w:val="32"/>
        </w:rPr>
        <w:t>年北京市西城区房屋管理局组织开展202</w:t>
      </w:r>
      <w:r>
        <w:rPr>
          <w:rFonts w:hint="eastAsia" w:ascii="仿宋_GB2312" w:hAnsi="仿宋_GB2312" w:eastAsia="仿宋_GB2312" w:cs="仿宋_GB2312"/>
          <w:color w:val="000000"/>
          <w:sz w:val="32"/>
          <w:szCs w:val="32"/>
          <w:lang w:val="en-US" w:eastAsia="zh-CN"/>
        </w:rPr>
        <w:t>3</w:t>
      </w:r>
      <w:bookmarkStart w:id="0" w:name="_GoBack"/>
      <w:bookmarkEnd w:id="0"/>
      <w:r>
        <w:rPr>
          <w:rFonts w:hint="eastAsia" w:ascii="仿宋_GB2312" w:hAnsi="仿宋_GB2312" w:eastAsia="仿宋_GB2312" w:cs="仿宋_GB2312"/>
          <w:color w:val="000000"/>
          <w:sz w:val="32"/>
          <w:szCs w:val="32"/>
        </w:rPr>
        <w:t>年度全年部门整体支出单位自评和</w:t>
      </w:r>
      <w:r>
        <w:rPr>
          <w:rFonts w:hint="eastAsia" w:ascii="仿宋_GB2312" w:hAnsi="仿宋_GB2312" w:eastAsia="仿宋_GB2312" w:cs="仿宋_GB2312"/>
          <w:color w:val="000000"/>
          <w:sz w:val="32"/>
          <w:szCs w:val="32"/>
          <w:lang w:eastAsia="zh-CN"/>
        </w:rPr>
        <w:t>2024</w:t>
      </w:r>
      <w:r>
        <w:rPr>
          <w:rFonts w:hint="eastAsia" w:ascii="仿宋_GB2312" w:hAnsi="仿宋_GB2312" w:eastAsia="仿宋_GB2312" w:cs="仿宋_GB2312"/>
          <w:color w:val="000000"/>
          <w:sz w:val="32"/>
          <w:szCs w:val="32"/>
        </w:rPr>
        <w:t>年半年绩效运行监控</w:t>
      </w:r>
      <w:r>
        <w:rPr>
          <w:rFonts w:hint="eastAsia" w:ascii="仿宋_GB2312" w:hAnsi="仿宋_GB2312" w:eastAsia="仿宋_GB2312" w:cs="仿宋_GB2312"/>
          <w:color w:val="000000"/>
          <w:sz w:val="32"/>
          <w:szCs w:val="32"/>
          <w:lang w:val="en-US" w:eastAsia="zh-CN"/>
        </w:rPr>
        <w:t>工作，对预算批复的项目绩效目标完成情况进行自我评价，评价结果良好，对发现的问题及时纠正。</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（五）国有资本经营预算财政拨款情况说明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北京市西城区</w:t>
      </w:r>
      <w:r>
        <w:rPr>
          <w:rFonts w:hint="eastAsia" w:ascii="仿宋_GB2312" w:hAnsi="仿宋_GB2312" w:eastAsia="仿宋_GB2312" w:cs="仿宋_GB2312"/>
          <w:sz w:val="32"/>
          <w:szCs w:val="32"/>
          <w:lang w:eastAsia="zh-CN"/>
        </w:rPr>
        <w:t>房屋管理</w:t>
      </w:r>
      <w:r>
        <w:rPr>
          <w:rFonts w:hint="eastAsia" w:ascii="仿宋_GB2312" w:hAnsi="仿宋_GB2312" w:eastAsia="仿宋_GB2312" w:cs="仿宋_GB2312"/>
          <w:sz w:val="32"/>
          <w:szCs w:val="32"/>
        </w:rPr>
        <w:t>局无国有资本经营预算拨款收支。</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（六）国有资产占用情况说明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截止</w:t>
      </w:r>
      <w:r>
        <w:rPr>
          <w:rFonts w:hint="eastAsia" w:ascii="仿宋_GB2312" w:eastAsia="仿宋_GB2312"/>
          <w:color w:val="000000"/>
          <w:sz w:val="32"/>
          <w:szCs w:val="32"/>
          <w:lang w:eastAsia="zh-CN"/>
        </w:rPr>
        <w:t>2024</w:t>
      </w:r>
      <w:r>
        <w:rPr>
          <w:rFonts w:hint="eastAsia" w:ascii="仿宋_GB2312" w:eastAsia="仿宋_GB2312"/>
          <w:color w:val="000000"/>
          <w:sz w:val="32"/>
          <w:szCs w:val="32"/>
        </w:rPr>
        <w:t>年底，本部门固定资产总额</w:t>
      </w:r>
      <w:r>
        <w:rPr>
          <w:rFonts w:hint="eastAsia" w:ascii="仿宋_GB2312" w:eastAsia="仿宋_GB2312"/>
          <w:color w:val="000000"/>
          <w:sz w:val="32"/>
          <w:szCs w:val="32"/>
          <w:lang w:val="en-US" w:eastAsia="zh-CN"/>
        </w:rPr>
        <w:t>1006.71</w:t>
      </w:r>
      <w:r>
        <w:rPr>
          <w:rFonts w:hint="eastAsia" w:ascii="仿宋_GB2312" w:eastAsia="仿宋_GB2312"/>
          <w:color w:val="000000"/>
          <w:sz w:val="32"/>
          <w:szCs w:val="32"/>
        </w:rPr>
        <w:t>万元，其中：车辆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万元；单位价值50万元以上的通用设备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万元，单位价值100万元以上的专用设备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2025</w:t>
      </w:r>
      <w:r>
        <w:rPr>
          <w:rFonts w:hint="eastAsia" w:ascii="仿宋_GB2312" w:eastAsia="仿宋_GB2312"/>
          <w:color w:val="000000"/>
          <w:sz w:val="32"/>
          <w:szCs w:val="32"/>
        </w:rPr>
        <w:t>部门预算：安排购置车辆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万元；安排购置单位价值50万元以上的通用设备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万元，安排购置单位价值100万元以上的专用设备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60" w:lineRule="exact"/>
        <w:ind w:firstLine="640" w:firstLineChars="200"/>
        <w:rPr>
          <w:rFonts w:ascii="仿宋_GB2312" w:eastAsia="仿宋_GB2312"/>
          <w:color w:val="000000"/>
          <w:sz w:val="32"/>
          <w:szCs w:val="32"/>
        </w:rPr>
      </w:pPr>
      <w:r>
        <w:rPr>
          <w:rFonts w:hint="eastAsia" w:ascii="黑体" w:hAnsi="黑体" w:eastAsia="黑体" w:cs="黑体"/>
          <w:color w:val="000000"/>
          <w:sz w:val="32"/>
          <w:szCs w:val="32"/>
        </w:rPr>
        <w:t>六、名称解释</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基本支出：指为保障机构正常运转、完成日常工作任务而发生的人员支出和公用支出。</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项目支出：指在基本支出之外为完成特定行政任务或事业发展目标所发生的支出。</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机关运行经费是指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Pr>
        <w:autoSpaceDE w:val="0"/>
        <w:autoSpaceDN w:val="0"/>
        <w:adjustRightInd w:val="0"/>
        <w:spacing w:line="560" w:lineRule="exact"/>
        <w:ind w:firstLine="800" w:firstLineChars="250"/>
        <w:jc w:val="left"/>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76FB"/>
    <w:multiLevelType w:val="singleLevel"/>
    <w:tmpl w:val="049A76FB"/>
    <w:lvl w:ilvl="0" w:tentative="0">
      <w:start w:val="2"/>
      <w:numFmt w:val="chineseCounting"/>
      <w:suff w:val="nothing"/>
      <w:lvlText w:val="（%1）"/>
      <w:lvlJc w:val="left"/>
      <w:rPr>
        <w:rFonts w:hint="eastAsia"/>
      </w:rPr>
    </w:lvl>
  </w:abstractNum>
  <w:abstractNum w:abstractNumId="1">
    <w:nsid w:val="41DB0358"/>
    <w:multiLevelType w:val="singleLevel"/>
    <w:tmpl w:val="41DB035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0298C"/>
    <w:rsid w:val="00083695"/>
    <w:rsid w:val="0077587E"/>
    <w:rsid w:val="008B3A79"/>
    <w:rsid w:val="00B61D4C"/>
    <w:rsid w:val="00CB2254"/>
    <w:rsid w:val="00F86CF8"/>
    <w:rsid w:val="01195328"/>
    <w:rsid w:val="01626B61"/>
    <w:rsid w:val="01B879DA"/>
    <w:rsid w:val="01BD49B8"/>
    <w:rsid w:val="01D30055"/>
    <w:rsid w:val="01EA4735"/>
    <w:rsid w:val="02104659"/>
    <w:rsid w:val="022C7BD8"/>
    <w:rsid w:val="02380E15"/>
    <w:rsid w:val="024F5B72"/>
    <w:rsid w:val="029142F0"/>
    <w:rsid w:val="02AD078F"/>
    <w:rsid w:val="02F940CE"/>
    <w:rsid w:val="031B624E"/>
    <w:rsid w:val="0345483B"/>
    <w:rsid w:val="034C3BE3"/>
    <w:rsid w:val="0365643B"/>
    <w:rsid w:val="037D3F8E"/>
    <w:rsid w:val="03865F30"/>
    <w:rsid w:val="03CA1B90"/>
    <w:rsid w:val="03D8318B"/>
    <w:rsid w:val="03E93F3F"/>
    <w:rsid w:val="03EC55F1"/>
    <w:rsid w:val="03F744D7"/>
    <w:rsid w:val="03FC4405"/>
    <w:rsid w:val="042F1C1A"/>
    <w:rsid w:val="0436223C"/>
    <w:rsid w:val="04451868"/>
    <w:rsid w:val="044A44A0"/>
    <w:rsid w:val="045166C9"/>
    <w:rsid w:val="04986979"/>
    <w:rsid w:val="04CC2E3D"/>
    <w:rsid w:val="04D03755"/>
    <w:rsid w:val="04D42B2F"/>
    <w:rsid w:val="04F002B6"/>
    <w:rsid w:val="054B6A7E"/>
    <w:rsid w:val="055E25D3"/>
    <w:rsid w:val="05613E7E"/>
    <w:rsid w:val="05792474"/>
    <w:rsid w:val="05B27CD7"/>
    <w:rsid w:val="05B3533C"/>
    <w:rsid w:val="05DA587B"/>
    <w:rsid w:val="05E0039C"/>
    <w:rsid w:val="06120CDC"/>
    <w:rsid w:val="061E4A43"/>
    <w:rsid w:val="062245B7"/>
    <w:rsid w:val="0635359D"/>
    <w:rsid w:val="06534C05"/>
    <w:rsid w:val="066521A3"/>
    <w:rsid w:val="06743171"/>
    <w:rsid w:val="067610B7"/>
    <w:rsid w:val="067C469D"/>
    <w:rsid w:val="06BB1756"/>
    <w:rsid w:val="06C73155"/>
    <w:rsid w:val="06CB41BE"/>
    <w:rsid w:val="06F86133"/>
    <w:rsid w:val="07085B8A"/>
    <w:rsid w:val="071A3F9D"/>
    <w:rsid w:val="071D0F86"/>
    <w:rsid w:val="07405990"/>
    <w:rsid w:val="07B267AA"/>
    <w:rsid w:val="07CB17FF"/>
    <w:rsid w:val="07ED1436"/>
    <w:rsid w:val="07FA3C63"/>
    <w:rsid w:val="080E4F32"/>
    <w:rsid w:val="081E50D9"/>
    <w:rsid w:val="08365310"/>
    <w:rsid w:val="083E4F03"/>
    <w:rsid w:val="084835A8"/>
    <w:rsid w:val="086606D8"/>
    <w:rsid w:val="0892510B"/>
    <w:rsid w:val="089D0C1E"/>
    <w:rsid w:val="08C37B43"/>
    <w:rsid w:val="08E22F9D"/>
    <w:rsid w:val="08EB7F41"/>
    <w:rsid w:val="09090091"/>
    <w:rsid w:val="095A0961"/>
    <w:rsid w:val="09720BA2"/>
    <w:rsid w:val="09BC6946"/>
    <w:rsid w:val="09BD3182"/>
    <w:rsid w:val="09CC6C6E"/>
    <w:rsid w:val="09CF1858"/>
    <w:rsid w:val="09EB5BA5"/>
    <w:rsid w:val="0A1F6D6F"/>
    <w:rsid w:val="0A495A0B"/>
    <w:rsid w:val="0A8506E4"/>
    <w:rsid w:val="0A883EAA"/>
    <w:rsid w:val="0A944892"/>
    <w:rsid w:val="0A9B26B1"/>
    <w:rsid w:val="0AD82904"/>
    <w:rsid w:val="0ADE4790"/>
    <w:rsid w:val="0AEA60B0"/>
    <w:rsid w:val="0AFB7201"/>
    <w:rsid w:val="0B262541"/>
    <w:rsid w:val="0B262C2A"/>
    <w:rsid w:val="0B2828DF"/>
    <w:rsid w:val="0B3669C5"/>
    <w:rsid w:val="0B37306B"/>
    <w:rsid w:val="0B550C82"/>
    <w:rsid w:val="0BCB3066"/>
    <w:rsid w:val="0BF71607"/>
    <w:rsid w:val="0BF77D93"/>
    <w:rsid w:val="0C0957AC"/>
    <w:rsid w:val="0C2328E4"/>
    <w:rsid w:val="0C6C2D8F"/>
    <w:rsid w:val="0CC17CEF"/>
    <w:rsid w:val="0CD27283"/>
    <w:rsid w:val="0CDD4AB3"/>
    <w:rsid w:val="0D8B479F"/>
    <w:rsid w:val="0E244D75"/>
    <w:rsid w:val="0E2D4BC6"/>
    <w:rsid w:val="0E34726A"/>
    <w:rsid w:val="0E4C4D2C"/>
    <w:rsid w:val="0E6A07D7"/>
    <w:rsid w:val="0E9D27F2"/>
    <w:rsid w:val="0F017AEB"/>
    <w:rsid w:val="0F06245F"/>
    <w:rsid w:val="0F1A1296"/>
    <w:rsid w:val="0F1A581E"/>
    <w:rsid w:val="0F8E23D7"/>
    <w:rsid w:val="0F8E2C4D"/>
    <w:rsid w:val="0FCF13C8"/>
    <w:rsid w:val="1012666C"/>
    <w:rsid w:val="10156EE5"/>
    <w:rsid w:val="10563C65"/>
    <w:rsid w:val="10665CD1"/>
    <w:rsid w:val="108B61A5"/>
    <w:rsid w:val="10C37E42"/>
    <w:rsid w:val="10DF3789"/>
    <w:rsid w:val="11336D11"/>
    <w:rsid w:val="11382545"/>
    <w:rsid w:val="11624ABE"/>
    <w:rsid w:val="11957437"/>
    <w:rsid w:val="11A1086F"/>
    <w:rsid w:val="11B300DA"/>
    <w:rsid w:val="121602AA"/>
    <w:rsid w:val="12233EAF"/>
    <w:rsid w:val="122472A5"/>
    <w:rsid w:val="12520B57"/>
    <w:rsid w:val="12610A93"/>
    <w:rsid w:val="12834A32"/>
    <w:rsid w:val="12D26C28"/>
    <w:rsid w:val="12E20CEA"/>
    <w:rsid w:val="12EF1412"/>
    <w:rsid w:val="130E6E3D"/>
    <w:rsid w:val="13191AC2"/>
    <w:rsid w:val="135C1B28"/>
    <w:rsid w:val="13D3010F"/>
    <w:rsid w:val="14037550"/>
    <w:rsid w:val="140571D7"/>
    <w:rsid w:val="14133B23"/>
    <w:rsid w:val="14321C86"/>
    <w:rsid w:val="145C0278"/>
    <w:rsid w:val="145D719F"/>
    <w:rsid w:val="1498723A"/>
    <w:rsid w:val="14D302C8"/>
    <w:rsid w:val="150F41A7"/>
    <w:rsid w:val="151058AA"/>
    <w:rsid w:val="15427663"/>
    <w:rsid w:val="15572ACC"/>
    <w:rsid w:val="155D33AB"/>
    <w:rsid w:val="15780DCB"/>
    <w:rsid w:val="158C1D47"/>
    <w:rsid w:val="159B661A"/>
    <w:rsid w:val="15AB1ED2"/>
    <w:rsid w:val="15D77FE5"/>
    <w:rsid w:val="15EB7C7D"/>
    <w:rsid w:val="16145FF2"/>
    <w:rsid w:val="1617557C"/>
    <w:rsid w:val="161A22AB"/>
    <w:rsid w:val="16400408"/>
    <w:rsid w:val="164D0D7B"/>
    <w:rsid w:val="16575CCE"/>
    <w:rsid w:val="165F7BBB"/>
    <w:rsid w:val="16641C79"/>
    <w:rsid w:val="16874369"/>
    <w:rsid w:val="168A45D4"/>
    <w:rsid w:val="16A14317"/>
    <w:rsid w:val="16B47383"/>
    <w:rsid w:val="16BC09D9"/>
    <w:rsid w:val="16BE701D"/>
    <w:rsid w:val="16D70C74"/>
    <w:rsid w:val="16FC39C2"/>
    <w:rsid w:val="1734117D"/>
    <w:rsid w:val="17346D77"/>
    <w:rsid w:val="17502D9B"/>
    <w:rsid w:val="175E70F2"/>
    <w:rsid w:val="1771442B"/>
    <w:rsid w:val="17941136"/>
    <w:rsid w:val="17DC55B4"/>
    <w:rsid w:val="181B1EC7"/>
    <w:rsid w:val="18210E41"/>
    <w:rsid w:val="1855021E"/>
    <w:rsid w:val="186E6B28"/>
    <w:rsid w:val="189D38D2"/>
    <w:rsid w:val="18CD297D"/>
    <w:rsid w:val="18E817B2"/>
    <w:rsid w:val="19055E8A"/>
    <w:rsid w:val="19463409"/>
    <w:rsid w:val="197F3752"/>
    <w:rsid w:val="1994333E"/>
    <w:rsid w:val="19B65158"/>
    <w:rsid w:val="19D84667"/>
    <w:rsid w:val="1A176D2B"/>
    <w:rsid w:val="1A1F2608"/>
    <w:rsid w:val="1A452ED1"/>
    <w:rsid w:val="1A5450F9"/>
    <w:rsid w:val="1AAD74F0"/>
    <w:rsid w:val="1AB122A1"/>
    <w:rsid w:val="1ABD629C"/>
    <w:rsid w:val="1AE55DD3"/>
    <w:rsid w:val="1AF02188"/>
    <w:rsid w:val="1B015ED0"/>
    <w:rsid w:val="1B165B76"/>
    <w:rsid w:val="1B22573C"/>
    <w:rsid w:val="1B285428"/>
    <w:rsid w:val="1B730C80"/>
    <w:rsid w:val="1B751E0A"/>
    <w:rsid w:val="1B92280F"/>
    <w:rsid w:val="1B9C054E"/>
    <w:rsid w:val="1C05399D"/>
    <w:rsid w:val="1C1563F5"/>
    <w:rsid w:val="1C2F2457"/>
    <w:rsid w:val="1C443EA5"/>
    <w:rsid w:val="1C9C68B5"/>
    <w:rsid w:val="1CCF05E7"/>
    <w:rsid w:val="1CF57A94"/>
    <w:rsid w:val="1D097BC2"/>
    <w:rsid w:val="1D0B7F35"/>
    <w:rsid w:val="1D0C5941"/>
    <w:rsid w:val="1D1B7F2C"/>
    <w:rsid w:val="1D1E2AD0"/>
    <w:rsid w:val="1D560F7C"/>
    <w:rsid w:val="1D6D47CE"/>
    <w:rsid w:val="1D7446FD"/>
    <w:rsid w:val="1D7B734F"/>
    <w:rsid w:val="1D8D6960"/>
    <w:rsid w:val="1DD0449B"/>
    <w:rsid w:val="1DD1200C"/>
    <w:rsid w:val="1E164B42"/>
    <w:rsid w:val="1E17430B"/>
    <w:rsid w:val="1E4826DC"/>
    <w:rsid w:val="1E4C3E58"/>
    <w:rsid w:val="1EB85C42"/>
    <w:rsid w:val="1EF60628"/>
    <w:rsid w:val="1EF865B6"/>
    <w:rsid w:val="1EFA30C9"/>
    <w:rsid w:val="1EFE32FB"/>
    <w:rsid w:val="1F042E60"/>
    <w:rsid w:val="1F757F83"/>
    <w:rsid w:val="1FE25B5E"/>
    <w:rsid w:val="1FEB4A18"/>
    <w:rsid w:val="201277E3"/>
    <w:rsid w:val="201F5280"/>
    <w:rsid w:val="205208BB"/>
    <w:rsid w:val="20D213FB"/>
    <w:rsid w:val="20ED1322"/>
    <w:rsid w:val="20F17A41"/>
    <w:rsid w:val="212036D1"/>
    <w:rsid w:val="21564975"/>
    <w:rsid w:val="217A20AD"/>
    <w:rsid w:val="218A076B"/>
    <w:rsid w:val="21A15EBB"/>
    <w:rsid w:val="21F06F51"/>
    <w:rsid w:val="22136DFC"/>
    <w:rsid w:val="2220362F"/>
    <w:rsid w:val="224108E0"/>
    <w:rsid w:val="22473E97"/>
    <w:rsid w:val="22667C7B"/>
    <w:rsid w:val="22684031"/>
    <w:rsid w:val="22D16D62"/>
    <w:rsid w:val="230E6E18"/>
    <w:rsid w:val="231F294C"/>
    <w:rsid w:val="23605971"/>
    <w:rsid w:val="2372194E"/>
    <w:rsid w:val="23721EC1"/>
    <w:rsid w:val="23A661EE"/>
    <w:rsid w:val="23AE0171"/>
    <w:rsid w:val="23D03046"/>
    <w:rsid w:val="23FB4ADC"/>
    <w:rsid w:val="241254BE"/>
    <w:rsid w:val="242549D0"/>
    <w:rsid w:val="24377CE8"/>
    <w:rsid w:val="24712329"/>
    <w:rsid w:val="24791CAE"/>
    <w:rsid w:val="24A274B2"/>
    <w:rsid w:val="24C82EDB"/>
    <w:rsid w:val="24DE063D"/>
    <w:rsid w:val="24E35F91"/>
    <w:rsid w:val="25372911"/>
    <w:rsid w:val="25725AD7"/>
    <w:rsid w:val="25747DD2"/>
    <w:rsid w:val="257A6248"/>
    <w:rsid w:val="257D50CA"/>
    <w:rsid w:val="25E115D9"/>
    <w:rsid w:val="2608272A"/>
    <w:rsid w:val="2623430C"/>
    <w:rsid w:val="26526546"/>
    <w:rsid w:val="266E38FD"/>
    <w:rsid w:val="2681720D"/>
    <w:rsid w:val="26921730"/>
    <w:rsid w:val="26A5121B"/>
    <w:rsid w:val="26AA1A87"/>
    <w:rsid w:val="26BE4E69"/>
    <w:rsid w:val="26D86CF3"/>
    <w:rsid w:val="26D93817"/>
    <w:rsid w:val="26DB71FD"/>
    <w:rsid w:val="26FD1D86"/>
    <w:rsid w:val="27B256DA"/>
    <w:rsid w:val="27D66EC8"/>
    <w:rsid w:val="27F8412D"/>
    <w:rsid w:val="28102F1E"/>
    <w:rsid w:val="285C358F"/>
    <w:rsid w:val="287C6994"/>
    <w:rsid w:val="28C466BB"/>
    <w:rsid w:val="28F926B4"/>
    <w:rsid w:val="29054945"/>
    <w:rsid w:val="29217F89"/>
    <w:rsid w:val="292D15E4"/>
    <w:rsid w:val="29394511"/>
    <w:rsid w:val="29DD72BE"/>
    <w:rsid w:val="29F74B7C"/>
    <w:rsid w:val="2A350E57"/>
    <w:rsid w:val="2A4319C6"/>
    <w:rsid w:val="2A491A4A"/>
    <w:rsid w:val="2A5F514D"/>
    <w:rsid w:val="2A673D0D"/>
    <w:rsid w:val="2A9C7D8F"/>
    <w:rsid w:val="2ABF2685"/>
    <w:rsid w:val="2ACE4033"/>
    <w:rsid w:val="2AE96258"/>
    <w:rsid w:val="2AFA1F29"/>
    <w:rsid w:val="2AFB3CC4"/>
    <w:rsid w:val="2B260990"/>
    <w:rsid w:val="2B342AC6"/>
    <w:rsid w:val="2B680150"/>
    <w:rsid w:val="2BDF5999"/>
    <w:rsid w:val="2BE4721D"/>
    <w:rsid w:val="2CF64B82"/>
    <w:rsid w:val="2D4D0664"/>
    <w:rsid w:val="2D734168"/>
    <w:rsid w:val="2DC36D5E"/>
    <w:rsid w:val="2DE833D6"/>
    <w:rsid w:val="2E1F1125"/>
    <w:rsid w:val="2E3377E7"/>
    <w:rsid w:val="2E3767A1"/>
    <w:rsid w:val="2E3C76BE"/>
    <w:rsid w:val="2E47410C"/>
    <w:rsid w:val="2E506492"/>
    <w:rsid w:val="2E585EB8"/>
    <w:rsid w:val="2E5C582A"/>
    <w:rsid w:val="2E66355F"/>
    <w:rsid w:val="2E765B09"/>
    <w:rsid w:val="2E831070"/>
    <w:rsid w:val="2E883A7E"/>
    <w:rsid w:val="2E91701B"/>
    <w:rsid w:val="2EAA5E58"/>
    <w:rsid w:val="2EAD6D08"/>
    <w:rsid w:val="2ED826A9"/>
    <w:rsid w:val="2EF62ECE"/>
    <w:rsid w:val="2F112CB6"/>
    <w:rsid w:val="2F2C18C9"/>
    <w:rsid w:val="2F3C5BA8"/>
    <w:rsid w:val="2F4D4D43"/>
    <w:rsid w:val="2F5E44BF"/>
    <w:rsid w:val="2F753721"/>
    <w:rsid w:val="2F797BCE"/>
    <w:rsid w:val="2F7B156D"/>
    <w:rsid w:val="2F7F4043"/>
    <w:rsid w:val="2F8F1ACF"/>
    <w:rsid w:val="2FAC20D9"/>
    <w:rsid w:val="2FE84238"/>
    <w:rsid w:val="2FEB7CA3"/>
    <w:rsid w:val="302A4EF9"/>
    <w:rsid w:val="30330757"/>
    <w:rsid w:val="304301A3"/>
    <w:rsid w:val="304567C1"/>
    <w:rsid w:val="3053272E"/>
    <w:rsid w:val="305659A8"/>
    <w:rsid w:val="306B3837"/>
    <w:rsid w:val="309B3890"/>
    <w:rsid w:val="30BC1FC2"/>
    <w:rsid w:val="30BC5033"/>
    <w:rsid w:val="30E23CAC"/>
    <w:rsid w:val="312C12C2"/>
    <w:rsid w:val="317C236F"/>
    <w:rsid w:val="317D471F"/>
    <w:rsid w:val="31CD755D"/>
    <w:rsid w:val="320B237D"/>
    <w:rsid w:val="322C4B26"/>
    <w:rsid w:val="323D00A4"/>
    <w:rsid w:val="323E390F"/>
    <w:rsid w:val="326551B9"/>
    <w:rsid w:val="32913483"/>
    <w:rsid w:val="32970680"/>
    <w:rsid w:val="32D46693"/>
    <w:rsid w:val="32D62CA5"/>
    <w:rsid w:val="32D659BF"/>
    <w:rsid w:val="32E50FD9"/>
    <w:rsid w:val="32E8366D"/>
    <w:rsid w:val="331136EA"/>
    <w:rsid w:val="33655828"/>
    <w:rsid w:val="336A67BB"/>
    <w:rsid w:val="33AE46A7"/>
    <w:rsid w:val="33BE17EB"/>
    <w:rsid w:val="33EF6AE0"/>
    <w:rsid w:val="33FA76C0"/>
    <w:rsid w:val="343C1F65"/>
    <w:rsid w:val="343D257C"/>
    <w:rsid w:val="345F6FB1"/>
    <w:rsid w:val="34823946"/>
    <w:rsid w:val="34F3649B"/>
    <w:rsid w:val="34F97609"/>
    <w:rsid w:val="34FE7423"/>
    <w:rsid w:val="352758FC"/>
    <w:rsid w:val="352B67FF"/>
    <w:rsid w:val="35616251"/>
    <w:rsid w:val="357B533B"/>
    <w:rsid w:val="35886B38"/>
    <w:rsid w:val="35A77865"/>
    <w:rsid w:val="35BE1A05"/>
    <w:rsid w:val="35D317F3"/>
    <w:rsid w:val="35D70B09"/>
    <w:rsid w:val="35F442AF"/>
    <w:rsid w:val="35F93CE5"/>
    <w:rsid w:val="360C40FB"/>
    <w:rsid w:val="361372D4"/>
    <w:rsid w:val="361F3DF2"/>
    <w:rsid w:val="36217D60"/>
    <w:rsid w:val="36B8083A"/>
    <w:rsid w:val="36DE347A"/>
    <w:rsid w:val="36E13A11"/>
    <w:rsid w:val="3715253E"/>
    <w:rsid w:val="37323A64"/>
    <w:rsid w:val="376F638C"/>
    <w:rsid w:val="37830CD6"/>
    <w:rsid w:val="37874FE7"/>
    <w:rsid w:val="37A11AA6"/>
    <w:rsid w:val="37AC128D"/>
    <w:rsid w:val="37B7293B"/>
    <w:rsid w:val="37DB5EFA"/>
    <w:rsid w:val="37F75178"/>
    <w:rsid w:val="38105188"/>
    <w:rsid w:val="382A02F2"/>
    <w:rsid w:val="383C1D30"/>
    <w:rsid w:val="388541E8"/>
    <w:rsid w:val="38B95AE3"/>
    <w:rsid w:val="38C60602"/>
    <w:rsid w:val="38CA755B"/>
    <w:rsid w:val="38FF0114"/>
    <w:rsid w:val="39280726"/>
    <w:rsid w:val="394B7AAA"/>
    <w:rsid w:val="396310D8"/>
    <w:rsid w:val="396A4810"/>
    <w:rsid w:val="397A0357"/>
    <w:rsid w:val="39B82188"/>
    <w:rsid w:val="39E41E1D"/>
    <w:rsid w:val="39E87D6F"/>
    <w:rsid w:val="3A377A42"/>
    <w:rsid w:val="3A3E5515"/>
    <w:rsid w:val="3A57342D"/>
    <w:rsid w:val="3A5D0435"/>
    <w:rsid w:val="3A5F5355"/>
    <w:rsid w:val="3A677307"/>
    <w:rsid w:val="3AAC188F"/>
    <w:rsid w:val="3AEC5E36"/>
    <w:rsid w:val="3AEE7752"/>
    <w:rsid w:val="3B0E093D"/>
    <w:rsid w:val="3B263803"/>
    <w:rsid w:val="3B2C220F"/>
    <w:rsid w:val="3B7F20CF"/>
    <w:rsid w:val="3BBB52E8"/>
    <w:rsid w:val="3C0B5F31"/>
    <w:rsid w:val="3C261C16"/>
    <w:rsid w:val="3C2D35B6"/>
    <w:rsid w:val="3C465570"/>
    <w:rsid w:val="3C7E1E8A"/>
    <w:rsid w:val="3C87365D"/>
    <w:rsid w:val="3CE61821"/>
    <w:rsid w:val="3D1B591A"/>
    <w:rsid w:val="3D2F2D35"/>
    <w:rsid w:val="3D305DA3"/>
    <w:rsid w:val="3D393CD1"/>
    <w:rsid w:val="3D766A22"/>
    <w:rsid w:val="3D9379E4"/>
    <w:rsid w:val="3D98622B"/>
    <w:rsid w:val="3DBB1838"/>
    <w:rsid w:val="3DEA3457"/>
    <w:rsid w:val="3DFD2252"/>
    <w:rsid w:val="3E0E15C0"/>
    <w:rsid w:val="3E2E28FE"/>
    <w:rsid w:val="3E310C56"/>
    <w:rsid w:val="3E41125F"/>
    <w:rsid w:val="3E447E6E"/>
    <w:rsid w:val="3E651458"/>
    <w:rsid w:val="3E6711F1"/>
    <w:rsid w:val="3E990A34"/>
    <w:rsid w:val="3E9A2F71"/>
    <w:rsid w:val="3EA152B5"/>
    <w:rsid w:val="3EDF50EF"/>
    <w:rsid w:val="3EE515B7"/>
    <w:rsid w:val="3F16661A"/>
    <w:rsid w:val="3F2637C4"/>
    <w:rsid w:val="3F410BB2"/>
    <w:rsid w:val="3F4E4733"/>
    <w:rsid w:val="3F815BE8"/>
    <w:rsid w:val="3F83648B"/>
    <w:rsid w:val="3F9914D1"/>
    <w:rsid w:val="3FA05456"/>
    <w:rsid w:val="3FDF4CE2"/>
    <w:rsid w:val="3FE74E8D"/>
    <w:rsid w:val="402813EB"/>
    <w:rsid w:val="40346BD6"/>
    <w:rsid w:val="404557B0"/>
    <w:rsid w:val="40563BC5"/>
    <w:rsid w:val="407F240E"/>
    <w:rsid w:val="409C4F59"/>
    <w:rsid w:val="40BD2EF0"/>
    <w:rsid w:val="40FD7EC7"/>
    <w:rsid w:val="41167004"/>
    <w:rsid w:val="41230079"/>
    <w:rsid w:val="41285E54"/>
    <w:rsid w:val="41315DD0"/>
    <w:rsid w:val="414F03C3"/>
    <w:rsid w:val="41CC1EAD"/>
    <w:rsid w:val="41D711E1"/>
    <w:rsid w:val="41F00AA5"/>
    <w:rsid w:val="41F45072"/>
    <w:rsid w:val="420817A4"/>
    <w:rsid w:val="42242588"/>
    <w:rsid w:val="422B4849"/>
    <w:rsid w:val="4238679E"/>
    <w:rsid w:val="42395447"/>
    <w:rsid w:val="4240509B"/>
    <w:rsid w:val="42446385"/>
    <w:rsid w:val="425626E2"/>
    <w:rsid w:val="42A92C83"/>
    <w:rsid w:val="42AA6F1B"/>
    <w:rsid w:val="42AF3FD3"/>
    <w:rsid w:val="42C84DB6"/>
    <w:rsid w:val="42C86E1B"/>
    <w:rsid w:val="43410E25"/>
    <w:rsid w:val="434905D4"/>
    <w:rsid w:val="43661CE2"/>
    <w:rsid w:val="438925AD"/>
    <w:rsid w:val="43CF164C"/>
    <w:rsid w:val="440A7863"/>
    <w:rsid w:val="442F21B2"/>
    <w:rsid w:val="444E5AA9"/>
    <w:rsid w:val="44864E0F"/>
    <w:rsid w:val="45183488"/>
    <w:rsid w:val="458629C8"/>
    <w:rsid w:val="45882AEC"/>
    <w:rsid w:val="45D03241"/>
    <w:rsid w:val="45D82429"/>
    <w:rsid w:val="45DC0E7B"/>
    <w:rsid w:val="45FE1FC5"/>
    <w:rsid w:val="460F4225"/>
    <w:rsid w:val="46102E28"/>
    <w:rsid w:val="46165B5F"/>
    <w:rsid w:val="46752EA2"/>
    <w:rsid w:val="468F3B99"/>
    <w:rsid w:val="46D401CE"/>
    <w:rsid w:val="46F82953"/>
    <w:rsid w:val="47236FEF"/>
    <w:rsid w:val="472D676C"/>
    <w:rsid w:val="47566BB1"/>
    <w:rsid w:val="47931AE8"/>
    <w:rsid w:val="47A9270E"/>
    <w:rsid w:val="47FA219C"/>
    <w:rsid w:val="47FB7166"/>
    <w:rsid w:val="48007473"/>
    <w:rsid w:val="481D0943"/>
    <w:rsid w:val="48310E81"/>
    <w:rsid w:val="4848213F"/>
    <w:rsid w:val="484B1F41"/>
    <w:rsid w:val="484D3C23"/>
    <w:rsid w:val="489D1978"/>
    <w:rsid w:val="48FD418B"/>
    <w:rsid w:val="4929176C"/>
    <w:rsid w:val="49295B68"/>
    <w:rsid w:val="493600B7"/>
    <w:rsid w:val="4950750C"/>
    <w:rsid w:val="49545AB9"/>
    <w:rsid w:val="496D3A43"/>
    <w:rsid w:val="49A522CB"/>
    <w:rsid w:val="49C231FD"/>
    <w:rsid w:val="49C61611"/>
    <w:rsid w:val="49D24514"/>
    <w:rsid w:val="49E35949"/>
    <w:rsid w:val="49E93782"/>
    <w:rsid w:val="49F04DD1"/>
    <w:rsid w:val="4A0C70F9"/>
    <w:rsid w:val="4A4F5715"/>
    <w:rsid w:val="4A674010"/>
    <w:rsid w:val="4A6B3E89"/>
    <w:rsid w:val="4A7B268B"/>
    <w:rsid w:val="4A9F2F3C"/>
    <w:rsid w:val="4ACB7DE7"/>
    <w:rsid w:val="4B197575"/>
    <w:rsid w:val="4B2B7FB8"/>
    <w:rsid w:val="4B2D44C2"/>
    <w:rsid w:val="4BB34DFC"/>
    <w:rsid w:val="4BBD2EA3"/>
    <w:rsid w:val="4BDD7FCF"/>
    <w:rsid w:val="4C572920"/>
    <w:rsid w:val="4C65451B"/>
    <w:rsid w:val="4C7954CA"/>
    <w:rsid w:val="4CBC279C"/>
    <w:rsid w:val="4CE916DC"/>
    <w:rsid w:val="4CEB1F57"/>
    <w:rsid w:val="4D332DE5"/>
    <w:rsid w:val="4D5909A7"/>
    <w:rsid w:val="4D5956B4"/>
    <w:rsid w:val="4D637022"/>
    <w:rsid w:val="4D741515"/>
    <w:rsid w:val="4D8974A2"/>
    <w:rsid w:val="4D977021"/>
    <w:rsid w:val="4D9933F9"/>
    <w:rsid w:val="4DA47C12"/>
    <w:rsid w:val="4DCC3419"/>
    <w:rsid w:val="4DCD2E28"/>
    <w:rsid w:val="4DCF24DD"/>
    <w:rsid w:val="4DF06627"/>
    <w:rsid w:val="4E011D72"/>
    <w:rsid w:val="4E33262D"/>
    <w:rsid w:val="4E4170FA"/>
    <w:rsid w:val="4E7C7B72"/>
    <w:rsid w:val="4E827DA9"/>
    <w:rsid w:val="4EAA70AE"/>
    <w:rsid w:val="4EE8070B"/>
    <w:rsid w:val="4EE83B91"/>
    <w:rsid w:val="4F012885"/>
    <w:rsid w:val="4F094113"/>
    <w:rsid w:val="4F1F4A25"/>
    <w:rsid w:val="4F2B7E08"/>
    <w:rsid w:val="4F451A04"/>
    <w:rsid w:val="4F506DAD"/>
    <w:rsid w:val="4F554439"/>
    <w:rsid w:val="4F630602"/>
    <w:rsid w:val="4F7A05F6"/>
    <w:rsid w:val="4F7A5DAB"/>
    <w:rsid w:val="4FEB2441"/>
    <w:rsid w:val="4FF52C3B"/>
    <w:rsid w:val="4FFD6E64"/>
    <w:rsid w:val="502C384D"/>
    <w:rsid w:val="5031757A"/>
    <w:rsid w:val="504845F5"/>
    <w:rsid w:val="505A37E3"/>
    <w:rsid w:val="505B1F5E"/>
    <w:rsid w:val="50840608"/>
    <w:rsid w:val="508F5B2F"/>
    <w:rsid w:val="509649EB"/>
    <w:rsid w:val="509D1D52"/>
    <w:rsid w:val="50A97E3A"/>
    <w:rsid w:val="50D00C95"/>
    <w:rsid w:val="515A5B04"/>
    <w:rsid w:val="5162537D"/>
    <w:rsid w:val="518A5BF0"/>
    <w:rsid w:val="523D6448"/>
    <w:rsid w:val="5254766B"/>
    <w:rsid w:val="52C60EDA"/>
    <w:rsid w:val="52DB2C8C"/>
    <w:rsid w:val="52F937F1"/>
    <w:rsid w:val="53407E8C"/>
    <w:rsid w:val="53445144"/>
    <w:rsid w:val="534B0CA2"/>
    <w:rsid w:val="53736DB9"/>
    <w:rsid w:val="53896822"/>
    <w:rsid w:val="538A2768"/>
    <w:rsid w:val="53A73346"/>
    <w:rsid w:val="53DD6AD9"/>
    <w:rsid w:val="543B6246"/>
    <w:rsid w:val="544B1E97"/>
    <w:rsid w:val="544C26C6"/>
    <w:rsid w:val="5476544B"/>
    <w:rsid w:val="54836227"/>
    <w:rsid w:val="548C249C"/>
    <w:rsid w:val="54B52AE9"/>
    <w:rsid w:val="54B54705"/>
    <w:rsid w:val="54BB1F8E"/>
    <w:rsid w:val="54C94083"/>
    <w:rsid w:val="54CD275D"/>
    <w:rsid w:val="54DC3CB3"/>
    <w:rsid w:val="54E06E39"/>
    <w:rsid w:val="54E12D05"/>
    <w:rsid w:val="55544DD8"/>
    <w:rsid w:val="55CD4D9B"/>
    <w:rsid w:val="55DB1C75"/>
    <w:rsid w:val="55E71947"/>
    <w:rsid w:val="56257A13"/>
    <w:rsid w:val="56511C91"/>
    <w:rsid w:val="56690540"/>
    <w:rsid w:val="566963F3"/>
    <w:rsid w:val="567E56CC"/>
    <w:rsid w:val="568C3F6E"/>
    <w:rsid w:val="56C00D1E"/>
    <w:rsid w:val="56D65DC0"/>
    <w:rsid w:val="56EC7FA8"/>
    <w:rsid w:val="57023020"/>
    <w:rsid w:val="57310023"/>
    <w:rsid w:val="573E5DAD"/>
    <w:rsid w:val="575C3AAC"/>
    <w:rsid w:val="57753207"/>
    <w:rsid w:val="579B1CC0"/>
    <w:rsid w:val="57B26A13"/>
    <w:rsid w:val="57B75944"/>
    <w:rsid w:val="57D34FED"/>
    <w:rsid w:val="58496231"/>
    <w:rsid w:val="585513F0"/>
    <w:rsid w:val="5860148A"/>
    <w:rsid w:val="58693A26"/>
    <w:rsid w:val="586D6D3A"/>
    <w:rsid w:val="58786A16"/>
    <w:rsid w:val="58AD7BB8"/>
    <w:rsid w:val="58F67AD0"/>
    <w:rsid w:val="58FC1C3E"/>
    <w:rsid w:val="591F221A"/>
    <w:rsid w:val="59304629"/>
    <w:rsid w:val="594354E5"/>
    <w:rsid w:val="594D3E9F"/>
    <w:rsid w:val="59574F34"/>
    <w:rsid w:val="59600AB2"/>
    <w:rsid w:val="5974225D"/>
    <w:rsid w:val="599B36C2"/>
    <w:rsid w:val="59A216D0"/>
    <w:rsid w:val="59AA0B9C"/>
    <w:rsid w:val="59AD021D"/>
    <w:rsid w:val="59CC55EE"/>
    <w:rsid w:val="59F54029"/>
    <w:rsid w:val="59F6294E"/>
    <w:rsid w:val="5A3D5A04"/>
    <w:rsid w:val="5A797840"/>
    <w:rsid w:val="5A8E7E56"/>
    <w:rsid w:val="5AB95AC5"/>
    <w:rsid w:val="5AD07E71"/>
    <w:rsid w:val="5B8F0A36"/>
    <w:rsid w:val="5BE5103E"/>
    <w:rsid w:val="5BFA2262"/>
    <w:rsid w:val="5C717EEC"/>
    <w:rsid w:val="5D0F2502"/>
    <w:rsid w:val="5D1E314E"/>
    <w:rsid w:val="5D6569EA"/>
    <w:rsid w:val="5D661F55"/>
    <w:rsid w:val="5D941B8A"/>
    <w:rsid w:val="5E126083"/>
    <w:rsid w:val="5E237B1B"/>
    <w:rsid w:val="5E96404D"/>
    <w:rsid w:val="5EA31ADE"/>
    <w:rsid w:val="5EA603D4"/>
    <w:rsid w:val="5ED229A2"/>
    <w:rsid w:val="5EEB565E"/>
    <w:rsid w:val="5EEE6FC9"/>
    <w:rsid w:val="5EFB5884"/>
    <w:rsid w:val="5F94245B"/>
    <w:rsid w:val="5FB04D19"/>
    <w:rsid w:val="5FF15584"/>
    <w:rsid w:val="600300E6"/>
    <w:rsid w:val="601C6818"/>
    <w:rsid w:val="607E49CB"/>
    <w:rsid w:val="60E15135"/>
    <w:rsid w:val="6121738D"/>
    <w:rsid w:val="618261B1"/>
    <w:rsid w:val="619874C0"/>
    <w:rsid w:val="61CF729D"/>
    <w:rsid w:val="61F81F22"/>
    <w:rsid w:val="62415EA9"/>
    <w:rsid w:val="626B2375"/>
    <w:rsid w:val="62773F1B"/>
    <w:rsid w:val="627C7891"/>
    <w:rsid w:val="62E90ECD"/>
    <w:rsid w:val="62FD6F3D"/>
    <w:rsid w:val="63205EB7"/>
    <w:rsid w:val="632410C8"/>
    <w:rsid w:val="633859C5"/>
    <w:rsid w:val="633B029E"/>
    <w:rsid w:val="63543B1E"/>
    <w:rsid w:val="63704014"/>
    <w:rsid w:val="63763F39"/>
    <w:rsid w:val="63AF6E06"/>
    <w:rsid w:val="63D8660A"/>
    <w:rsid w:val="63E43CF3"/>
    <w:rsid w:val="640161E0"/>
    <w:rsid w:val="642D0E8A"/>
    <w:rsid w:val="64657D65"/>
    <w:rsid w:val="647A3652"/>
    <w:rsid w:val="648750F3"/>
    <w:rsid w:val="64EB1624"/>
    <w:rsid w:val="64F01247"/>
    <w:rsid w:val="651039B4"/>
    <w:rsid w:val="651A1FA4"/>
    <w:rsid w:val="651F0E2E"/>
    <w:rsid w:val="652324FD"/>
    <w:rsid w:val="65782C76"/>
    <w:rsid w:val="65AE5BEF"/>
    <w:rsid w:val="65C145A5"/>
    <w:rsid w:val="65DE53A1"/>
    <w:rsid w:val="65FA755D"/>
    <w:rsid w:val="661B21B3"/>
    <w:rsid w:val="66322DCB"/>
    <w:rsid w:val="6658089E"/>
    <w:rsid w:val="66721006"/>
    <w:rsid w:val="667E1284"/>
    <w:rsid w:val="66802F4B"/>
    <w:rsid w:val="66AC62EC"/>
    <w:rsid w:val="66C27812"/>
    <w:rsid w:val="66D77DAF"/>
    <w:rsid w:val="66D83375"/>
    <w:rsid w:val="66F27AA2"/>
    <w:rsid w:val="66F64A47"/>
    <w:rsid w:val="67157D90"/>
    <w:rsid w:val="671D5F6F"/>
    <w:rsid w:val="67235DC1"/>
    <w:rsid w:val="676529C6"/>
    <w:rsid w:val="67732599"/>
    <w:rsid w:val="67A15C19"/>
    <w:rsid w:val="67D00C1C"/>
    <w:rsid w:val="67D908F1"/>
    <w:rsid w:val="68021CD6"/>
    <w:rsid w:val="68051630"/>
    <w:rsid w:val="680560E1"/>
    <w:rsid w:val="68130BE0"/>
    <w:rsid w:val="681A7782"/>
    <w:rsid w:val="68457DF6"/>
    <w:rsid w:val="685C2EA1"/>
    <w:rsid w:val="687A0DD6"/>
    <w:rsid w:val="68856B99"/>
    <w:rsid w:val="688A4049"/>
    <w:rsid w:val="688B30AD"/>
    <w:rsid w:val="6893345D"/>
    <w:rsid w:val="68BA16A4"/>
    <w:rsid w:val="68C93F0B"/>
    <w:rsid w:val="69181460"/>
    <w:rsid w:val="69582243"/>
    <w:rsid w:val="69D63A79"/>
    <w:rsid w:val="69F23C17"/>
    <w:rsid w:val="6A0520EC"/>
    <w:rsid w:val="6A712352"/>
    <w:rsid w:val="6A890ECF"/>
    <w:rsid w:val="6AEF311F"/>
    <w:rsid w:val="6B371B3B"/>
    <w:rsid w:val="6B4C6ABD"/>
    <w:rsid w:val="6B50070F"/>
    <w:rsid w:val="6B7452B1"/>
    <w:rsid w:val="6B951E2D"/>
    <w:rsid w:val="6BAF0094"/>
    <w:rsid w:val="6BF960D6"/>
    <w:rsid w:val="6BFB7681"/>
    <w:rsid w:val="6C061226"/>
    <w:rsid w:val="6C113C9C"/>
    <w:rsid w:val="6C260132"/>
    <w:rsid w:val="6C382F80"/>
    <w:rsid w:val="6C3B65B6"/>
    <w:rsid w:val="6C3C6A60"/>
    <w:rsid w:val="6C464AAD"/>
    <w:rsid w:val="6C517E3C"/>
    <w:rsid w:val="6C5F0569"/>
    <w:rsid w:val="6C6418C5"/>
    <w:rsid w:val="6C7A2DED"/>
    <w:rsid w:val="6CB539B5"/>
    <w:rsid w:val="6CE4379A"/>
    <w:rsid w:val="6CEF2F9C"/>
    <w:rsid w:val="6CF125F4"/>
    <w:rsid w:val="6CF7663E"/>
    <w:rsid w:val="6D176354"/>
    <w:rsid w:val="6D2C44AB"/>
    <w:rsid w:val="6D4B16DA"/>
    <w:rsid w:val="6D847382"/>
    <w:rsid w:val="6DB32114"/>
    <w:rsid w:val="6DBD3958"/>
    <w:rsid w:val="6DE773ED"/>
    <w:rsid w:val="6DF65416"/>
    <w:rsid w:val="6E6556E8"/>
    <w:rsid w:val="6E670682"/>
    <w:rsid w:val="6E6E28BC"/>
    <w:rsid w:val="6E9E409C"/>
    <w:rsid w:val="6ED10E05"/>
    <w:rsid w:val="6EDC4C32"/>
    <w:rsid w:val="6F391A4B"/>
    <w:rsid w:val="6F832599"/>
    <w:rsid w:val="6F850D32"/>
    <w:rsid w:val="6FA51C1A"/>
    <w:rsid w:val="6FA633CE"/>
    <w:rsid w:val="6FC8382D"/>
    <w:rsid w:val="6FCC151C"/>
    <w:rsid w:val="6FDF41DF"/>
    <w:rsid w:val="6FE6396B"/>
    <w:rsid w:val="70261E0B"/>
    <w:rsid w:val="708A70D3"/>
    <w:rsid w:val="70A52A52"/>
    <w:rsid w:val="70BB496C"/>
    <w:rsid w:val="711749DF"/>
    <w:rsid w:val="711B7B48"/>
    <w:rsid w:val="71315BAB"/>
    <w:rsid w:val="71341E4B"/>
    <w:rsid w:val="715F3216"/>
    <w:rsid w:val="71AF3C8A"/>
    <w:rsid w:val="71C71AD2"/>
    <w:rsid w:val="71DD26B6"/>
    <w:rsid w:val="722B67EC"/>
    <w:rsid w:val="722C4B40"/>
    <w:rsid w:val="7259392D"/>
    <w:rsid w:val="72743722"/>
    <w:rsid w:val="72772E6E"/>
    <w:rsid w:val="72B73206"/>
    <w:rsid w:val="72B90800"/>
    <w:rsid w:val="72BE6BC2"/>
    <w:rsid w:val="72E23FC0"/>
    <w:rsid w:val="72E500EF"/>
    <w:rsid w:val="73204F8E"/>
    <w:rsid w:val="733113A6"/>
    <w:rsid w:val="73AE523B"/>
    <w:rsid w:val="73B9124E"/>
    <w:rsid w:val="73D82969"/>
    <w:rsid w:val="741A6E02"/>
    <w:rsid w:val="745268CE"/>
    <w:rsid w:val="747844C9"/>
    <w:rsid w:val="74893C9D"/>
    <w:rsid w:val="748C4007"/>
    <w:rsid w:val="74B424CB"/>
    <w:rsid w:val="74ED3C90"/>
    <w:rsid w:val="752F7539"/>
    <w:rsid w:val="7537643D"/>
    <w:rsid w:val="758135D3"/>
    <w:rsid w:val="75A52782"/>
    <w:rsid w:val="75C30C5F"/>
    <w:rsid w:val="75C95E31"/>
    <w:rsid w:val="75DA1BE0"/>
    <w:rsid w:val="75DA5FED"/>
    <w:rsid w:val="760408E4"/>
    <w:rsid w:val="76147855"/>
    <w:rsid w:val="762B2812"/>
    <w:rsid w:val="766243BD"/>
    <w:rsid w:val="766801AB"/>
    <w:rsid w:val="767B6CBD"/>
    <w:rsid w:val="76806392"/>
    <w:rsid w:val="76864E28"/>
    <w:rsid w:val="770248C7"/>
    <w:rsid w:val="77241FE8"/>
    <w:rsid w:val="773850A0"/>
    <w:rsid w:val="77843E57"/>
    <w:rsid w:val="77977253"/>
    <w:rsid w:val="77A86902"/>
    <w:rsid w:val="77B434A8"/>
    <w:rsid w:val="77BF4D00"/>
    <w:rsid w:val="77CA49F9"/>
    <w:rsid w:val="77DE3929"/>
    <w:rsid w:val="77EB2F19"/>
    <w:rsid w:val="77F31FDF"/>
    <w:rsid w:val="780E6DD3"/>
    <w:rsid w:val="78143009"/>
    <w:rsid w:val="78162CFB"/>
    <w:rsid w:val="785D6852"/>
    <w:rsid w:val="78893C75"/>
    <w:rsid w:val="78FC132F"/>
    <w:rsid w:val="79245F6F"/>
    <w:rsid w:val="79450733"/>
    <w:rsid w:val="794C3DEA"/>
    <w:rsid w:val="79A57138"/>
    <w:rsid w:val="79BA3698"/>
    <w:rsid w:val="79D134C8"/>
    <w:rsid w:val="7A10352D"/>
    <w:rsid w:val="7A1A769D"/>
    <w:rsid w:val="7B0D6630"/>
    <w:rsid w:val="7B1C0296"/>
    <w:rsid w:val="7B25690A"/>
    <w:rsid w:val="7B923992"/>
    <w:rsid w:val="7BB9026F"/>
    <w:rsid w:val="7BCB11EB"/>
    <w:rsid w:val="7C1019FB"/>
    <w:rsid w:val="7C2457FA"/>
    <w:rsid w:val="7C3F1B5F"/>
    <w:rsid w:val="7C434DF1"/>
    <w:rsid w:val="7C4F0164"/>
    <w:rsid w:val="7C6303A9"/>
    <w:rsid w:val="7C9776EF"/>
    <w:rsid w:val="7CB04660"/>
    <w:rsid w:val="7CEF00F9"/>
    <w:rsid w:val="7D50298C"/>
    <w:rsid w:val="7D7D1309"/>
    <w:rsid w:val="7D8B565E"/>
    <w:rsid w:val="7D9E4922"/>
    <w:rsid w:val="7DC25752"/>
    <w:rsid w:val="7DCF2014"/>
    <w:rsid w:val="7DD06C0B"/>
    <w:rsid w:val="7DE9777B"/>
    <w:rsid w:val="7E1B73B4"/>
    <w:rsid w:val="7E3C4C40"/>
    <w:rsid w:val="7E6A4E43"/>
    <w:rsid w:val="7E8F4D80"/>
    <w:rsid w:val="7E96658F"/>
    <w:rsid w:val="7EAE4F6D"/>
    <w:rsid w:val="7EBD3B0B"/>
    <w:rsid w:val="7EE1376A"/>
    <w:rsid w:val="7F0175AB"/>
    <w:rsid w:val="7F2856E6"/>
    <w:rsid w:val="7F361612"/>
    <w:rsid w:val="7F375925"/>
    <w:rsid w:val="7F4F7630"/>
    <w:rsid w:val="7F972E71"/>
    <w:rsid w:val="7FC31173"/>
    <w:rsid w:val="7FD91508"/>
    <w:rsid w:val="7FFC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2024-01-30T03:19:00Z</dcterms:created>
  <dc:creator>刘雪瑶</dc:creator>
  <cp:lastModifiedBy>松子</cp:lastModifiedBy>
  <cp:lastPrinted>2025-01-21T01:11:00Z</cp:lastPrinted>
  <dcterms:modified xsi:type="dcterms:W3CDTF">2025-01-21T06:27:38Z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