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北京市西城人力资源和社会保障局（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汇总</w:t>
      </w:r>
      <w:r>
        <w:rPr>
          <w:rFonts w:hint="eastAsia" w:ascii="宋体" w:hAnsi="宋体" w:cs="宋体"/>
          <w:b/>
          <w:bCs/>
          <w:sz w:val="44"/>
          <w:szCs w:val="44"/>
        </w:rPr>
        <w:t>）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2025</w:t>
      </w:r>
      <w:r>
        <w:rPr>
          <w:rFonts w:hint="eastAsia" w:ascii="宋体" w:hAnsi="宋体" w:cs="宋体"/>
          <w:b/>
          <w:bCs/>
          <w:sz w:val="44"/>
          <w:szCs w:val="44"/>
        </w:rPr>
        <w:t>年部门预算公开目录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（二）人员构成情况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（三）本预算年度的主要工作任务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部门预算收支及增减变化情况说明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（一）收入预算说明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（二）支出预算说明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四、部门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经费财政拨款预算说明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经费的单位范围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经费预算财政拨款情况说明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五、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年政府基金政府性基金预算财政拨款收入支出说明</w:t>
      </w:r>
    </w:p>
    <w:p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六、其他情况说明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（一）机关运行经费说明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（二）政府采购预算说明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（六）国有资产占用情况说明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（七）重点行政事业性收费情况说明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七、名称解释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pStyle w:val="2"/>
      </w:pPr>
    </w:p>
    <w:p>
      <w:pPr>
        <w:rPr>
          <w:rFonts w:ascii="仿宋_GB2312" w:hAnsi="楷体" w:eastAsia="仿宋_GB2312"/>
          <w:sz w:val="32"/>
          <w:szCs w:val="32"/>
        </w:rPr>
      </w:pPr>
    </w:p>
    <w:p>
      <w:pPr>
        <w:rPr>
          <w:rFonts w:ascii="仿宋_GB2312" w:hAnsi="楷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7753"/>
    <w:rsid w:val="06DE7E56"/>
    <w:rsid w:val="39FB3B75"/>
    <w:rsid w:val="53761531"/>
    <w:rsid w:val="582A76B6"/>
    <w:rsid w:val="585C0E1F"/>
    <w:rsid w:val="604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2024-01-31T03:07:00Z</dcterms:created>
  <dc:creator>于冬梅</dc:creator>
  <cp:lastModifiedBy>冀乃靖</cp:lastModifiedBy>
  <dcterms:modified xsi:type="dcterms:W3CDTF">2025-01-21T06:21:18Z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