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CED3F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北京市西城人力资源和社会保障局（本级）</w:t>
      </w:r>
    </w:p>
    <w:p w14:paraId="7D7869CC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年部门预算</w:t>
      </w:r>
    </w:p>
    <w:p w14:paraId="101790E1">
      <w:pPr>
        <w:jc w:val="center"/>
        <w:rPr>
          <w:rFonts w:ascii="宋体"/>
          <w:b/>
          <w:bCs/>
          <w:sz w:val="44"/>
          <w:szCs w:val="44"/>
        </w:rPr>
      </w:pPr>
    </w:p>
    <w:p w14:paraId="4C3CED67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目录</w:t>
      </w:r>
    </w:p>
    <w:p w14:paraId="5D3264D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8DC3F3D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第一部分、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年部门预算情况说明</w:t>
      </w:r>
    </w:p>
    <w:p w14:paraId="328B7051"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一、部门主要职责及机构设置情况</w:t>
      </w:r>
    </w:p>
    <w:p w14:paraId="3E7501F4">
      <w:pPr>
        <w:spacing w:line="560" w:lineRule="exact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（一）部门机构设置、职责</w:t>
      </w:r>
    </w:p>
    <w:p w14:paraId="1E1B9C46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（二）人员构成情况</w:t>
      </w:r>
    </w:p>
    <w:p w14:paraId="653E951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（三）本预算年度的主要工作任务</w:t>
      </w:r>
    </w:p>
    <w:p w14:paraId="7CE178CB"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年部门预算收支及增减变化情况说明</w:t>
      </w:r>
    </w:p>
    <w:p w14:paraId="00F77499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（一）收入预算说明</w:t>
      </w:r>
    </w:p>
    <w:p w14:paraId="61021408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（二）支出预算说明</w:t>
      </w:r>
    </w:p>
    <w:p w14:paraId="39F3D4A0"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三、主要支出情况</w:t>
      </w:r>
    </w:p>
    <w:p w14:paraId="6AB9254D"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四、部门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经费财政拨款预算说明</w:t>
      </w:r>
    </w:p>
    <w:p w14:paraId="5EC468B8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经费的单位范围</w:t>
      </w:r>
    </w:p>
    <w:p w14:paraId="72F9D81A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经费预算财政拨款情况说明</w:t>
      </w:r>
    </w:p>
    <w:p w14:paraId="6229E499"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五、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年政府基金政府性基金预算财政拨款收入支出说明</w:t>
      </w:r>
    </w:p>
    <w:p w14:paraId="6E9B25A3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六、其他情况说明</w:t>
      </w:r>
    </w:p>
    <w:p w14:paraId="752675A5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（一）机关运行经费说明</w:t>
      </w:r>
    </w:p>
    <w:p w14:paraId="6B752428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（二）政府采购预算说明</w:t>
      </w:r>
    </w:p>
    <w:p w14:paraId="7BF1C3B0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（三）政府购买服务预算说明</w:t>
      </w:r>
    </w:p>
    <w:p w14:paraId="7318B8A4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（四）绩效目标情况及绩效评价结果说明</w:t>
      </w:r>
    </w:p>
    <w:p w14:paraId="7EC229DB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（五）国有资本经营预算财政拨款情况说明</w:t>
      </w:r>
    </w:p>
    <w:p w14:paraId="1815EBE0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（六）国有资产占用情况说明</w:t>
      </w:r>
    </w:p>
    <w:p w14:paraId="63EE6BA7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（七）重点行政事业性收费情况说明</w:t>
      </w:r>
    </w:p>
    <w:p w14:paraId="0754097C"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七、名称解释</w:t>
      </w:r>
    </w:p>
    <w:p w14:paraId="70B97D63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第二部分、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年部门预算表</w:t>
      </w:r>
    </w:p>
    <w:p w14:paraId="7346AD23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49584CB0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 w14:paraId="07313662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 w14:paraId="635D9710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 w14:paraId="3A59FBD8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 w14:paraId="035E37B5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 w14:paraId="37B6A697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 w14:paraId="4F8B5761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 w14:paraId="703E636D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 w14:paraId="2F20B577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 w14:paraId="5F39138D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 w14:paraId="4E1FF86B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表十二、专项转移支付预算表</w:t>
      </w:r>
    </w:p>
    <w:p w14:paraId="78320FF2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 w14:paraId="66728501"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 w14:paraId="451A8F2D">
      <w:pPr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526ECEE2">
      <w:pPr>
        <w:pStyle w:val="2"/>
      </w:pPr>
    </w:p>
    <w:p w14:paraId="0B0405D4">
      <w:pPr>
        <w:rPr>
          <w:rFonts w:ascii="仿宋_GB2312" w:hAnsi="楷体" w:eastAsia="仿宋_GB2312"/>
          <w:sz w:val="32"/>
          <w:szCs w:val="32"/>
        </w:rPr>
      </w:pPr>
    </w:p>
    <w:p w14:paraId="49D48DEE">
      <w:pPr>
        <w:rPr>
          <w:rFonts w:ascii="仿宋_GB2312" w:hAnsi="楷体" w:eastAsia="仿宋_GB2312"/>
          <w:sz w:val="32"/>
          <w:szCs w:val="32"/>
        </w:rPr>
      </w:pPr>
    </w:p>
    <w:p w14:paraId="440216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7753"/>
    <w:rsid w:val="53761531"/>
    <w:rsid w:val="585C0E1F"/>
    <w:rsid w:val="65D9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557</Characters>
  <Lines>0</Lines>
  <Paragraphs>0</Paragraphs>
  <TotalTime>2</TotalTime>
  <ScaleCrop>false</ScaleCrop>
  <LinksUpToDate>false</LinksUpToDate>
  <CharactersWithSpaces>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2024-01-31T03:07:00Z</dcterms:created>
  <dc:creator>于冬梅</dc:creator>
  <cp:lastModifiedBy>南笙芊墨溪</cp:lastModifiedBy>
  <dcterms:modified xsi:type="dcterms:W3CDTF">2025-01-20T12:57:02Z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eyJoZGlkIjoiZjFmZWIzNDg2MmIzZjExOTIzMmViNTBmYTMwYTk0ZWYiLCJ1c2VySWQiOiIyNTE5NjczODQifQ==</vt:lpwstr>
  </property>
  <property fmtid="{D5CDD505-2E9C-101B-9397-08002B2CF9AE}" pid="4" name="ICV">
    <vt:lpwstr>9D488872050E41B1B479ADB13910E3AB_12</vt:lpwstr>
  </property>
</Properties>
</file>