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【2024.</w:t>
      </w:r>
      <w:r>
        <w:rPr>
          <w:rFonts w:hint="default" w:ascii="方正小标宋简体" w:hAnsi="方正小标宋简体" w:eastAsia="方正小标宋简体" w:cs="方正小标宋简体"/>
          <w:color w:val="auto"/>
          <w:sz w:val="32"/>
          <w:szCs w:val="32"/>
          <w:highlight w:val="none"/>
          <w:lang w:val="en-US" w:eastAsia="zh-CN"/>
        </w:rPr>
        <w:t>7</w:t>
      </w:r>
      <w:r>
        <w:rPr>
          <w:rFonts w:hint="eastAsia" w:ascii="方正小标宋简体" w:hAnsi="方正小标宋简体" w:eastAsia="方正小标宋简体" w:cs="方正小标宋简体"/>
          <w:color w:val="auto"/>
          <w:sz w:val="32"/>
          <w:szCs w:val="32"/>
          <w:highlight w:val="none"/>
          <w:lang w:val="en-US" w:eastAsia="zh-CN"/>
        </w:rPr>
        <w:t>噪声法分工</w:t>
      </w:r>
      <w:r>
        <w:rPr>
          <w:rFonts w:hint="eastAsia" w:ascii="方正小标宋简体" w:hAnsi="方正小标宋简体" w:eastAsia="方正小标宋简体" w:cs="方正小标宋简体"/>
          <w:color w:val="auto"/>
          <w:sz w:val="32"/>
          <w:szCs w:val="32"/>
          <w:highlight w:val="none"/>
          <w:lang w:eastAsia="zh-CN"/>
        </w:rPr>
        <w:t>调整】</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_Toc1981015615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_Toc1981015615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_Toc1859084654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_Toc1859084654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_Toc1716261181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_Toc1716261181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_Toc1631089704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_Toc1631089704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_Toc763570746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_Toc763570746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_Toc1046440714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_Toc1046440714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_Toc1531171604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_Toc1531171604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_Toc1169203885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_Toc1169203885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_Toc114467569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_Toc114467569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_Toc1597132697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_Toc1597132697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_Toc1608572295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_Toc1608572295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_Toc873097592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_Toc873097592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_Toc1184987992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_Toc1184987992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_Toc1993366508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_Toc1993366508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_Toc1034265769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_Toc1034265769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_Toc1198219356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_Toc1198219356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_Toc1315090803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_Toc1315090803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_Toc1065874877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_Toc1065874877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_Toc68918608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_Toc68918608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_Toc343261123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_Toc343261123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_Toc1020309817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_Toc1020309817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_Toc1119823230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_Toc1119823230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_Toc697382673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_Toc697382673 \h </w:instrText>
          </w:r>
          <w:r>
            <w:fldChar w:fldCharType="separate"/>
          </w:r>
          <w:r>
            <w:t>47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_Toc2062208648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_Toc2062208648 \h </w:instrText>
          </w:r>
          <w:r>
            <w:fldChar w:fldCharType="separate"/>
          </w:r>
          <w:r>
            <w:t>50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_Toc1333093317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_Toc1333093317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_Toc312584811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_Toc312584811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_Toc277302333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_Toc277302333 \h </w:instrText>
          </w:r>
          <w:r>
            <w:fldChar w:fldCharType="separate"/>
          </w:r>
          <w:r>
            <w:t>61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_Toc226560937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_Toc226560937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_Toc1974241014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_Toc1974241014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_Toc1180295235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_Toc1180295235 \h </w:instrText>
          </w:r>
          <w:r>
            <w:fldChar w:fldCharType="separate"/>
          </w:r>
          <w:r>
            <w:t>72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_Toc450128508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_Toc450128508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_Toc1807772981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_Toc1807772981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_Toc891896242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_Toc891896242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_Toc18906041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_Toc18906041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_Toc1291379037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_Toc1291379037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_Toc1655466988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_Toc1655466988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_Toc1065346755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_Toc1065346755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_Toc675066993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_Toc675066993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_Toc677187225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_Toc677187225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_Toc1179814324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_Toc1179814324 \h </w:instrText>
          </w:r>
          <w:r>
            <w:fldChar w:fldCharType="separate"/>
          </w:r>
          <w:r>
            <w:t>88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_Toc124716043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_Toc124716043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_Toc138275872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_Toc138275872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_Toc2052911917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_Toc2052911917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_Toc1309704035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_Toc1309704035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_Toc2131642380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_Toc2131642380 \h </w:instrText>
          </w:r>
          <w:r>
            <w:fldChar w:fldCharType="separate"/>
          </w:r>
          <w:r>
            <w:t>95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_Toc939694038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_Toc939694038 \h </w:instrText>
          </w:r>
          <w:r>
            <w:fldChar w:fldCharType="separate"/>
          </w:r>
          <w:r>
            <w:t>97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_Toc360439743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_Toc360439743 \h </w:instrText>
          </w:r>
          <w:r>
            <w:fldChar w:fldCharType="separate"/>
          </w:r>
          <w:r>
            <w:t>97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_Toc1299249536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_Toc1299249536 \h </w:instrText>
          </w:r>
          <w:r>
            <w:fldChar w:fldCharType="separate"/>
          </w:r>
          <w:r>
            <w:t>99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_Toc2005568916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_Toc2005568916 \h </w:instrText>
          </w:r>
          <w:r>
            <w:fldChar w:fldCharType="separate"/>
          </w:r>
          <w:r>
            <w:t>102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_Toc429358351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_Toc429358351 \h </w:instrText>
          </w:r>
          <w:r>
            <w:fldChar w:fldCharType="separate"/>
          </w:r>
          <w:r>
            <w:t>102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_Toc1642510659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_Toc1642510659 \h </w:instrText>
          </w:r>
          <w:r>
            <w:fldChar w:fldCharType="separate"/>
          </w:r>
          <w:r>
            <w:t>105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_Toc878395085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_Toc878395085 \h </w:instrText>
          </w:r>
          <w:r>
            <w:fldChar w:fldCharType="separate"/>
          </w:r>
          <w:r>
            <w:t>106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_Toc1549181582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_Toc1549181582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_Toc192409684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_Toc192409684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_Toc793120085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_Toc793120085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_Toc734791251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_Toc734791251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_Toc504994495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_Toc504994495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_Toc1070422418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_Toc1070422418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_Toc961352188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_Toc961352188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_Toc331751861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_Toc331751861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_Toc103234006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_Toc103234006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_Toc1411480696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_Toc1411480696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_Toc2139524843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_Toc2139524843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_Toc995130248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_Toc995130248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_Toc1430386737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_Toc1430386737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_Toc1283420232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_Toc1283420232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_Toc503113588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_Toc503113588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_Toc348249845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_Toc348249845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_Toc1958487226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_Toc1958487226 \h </w:instrText>
          </w:r>
          <w:r>
            <w:fldChar w:fldCharType="separate"/>
          </w:r>
          <w:r>
            <w:t>119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_Toc1180300814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_Toc1180300814 \h </w:instrText>
          </w:r>
          <w:r>
            <w:fldChar w:fldCharType="separate"/>
          </w:r>
          <w:r>
            <w:t>119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_Toc1528064169 </w:instrText>
          </w:r>
          <w:r>
            <w:rPr>
              <w:highlight w:val="none"/>
            </w:rPr>
            <w:fldChar w:fldCharType="separate"/>
          </w:r>
          <w:r>
            <w:rPr>
              <w:rFonts w:hint="eastAsia"/>
              <w:szCs w:val="21"/>
            </w:rPr>
            <w:t>生态环境管理方面4项</w:t>
          </w:r>
          <w:r>
            <w:tab/>
          </w:r>
          <w:r>
            <w:fldChar w:fldCharType="begin"/>
          </w:r>
          <w:r>
            <w:instrText xml:space="preserve"> PAGEREF _Toc1528064169 \h </w:instrText>
          </w:r>
          <w:r>
            <w:fldChar w:fldCharType="separate"/>
          </w:r>
          <w:r>
            <w:t>124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_Toc2083203269 </w:instrText>
          </w:r>
          <w:r>
            <w:rPr>
              <w:highlight w:val="none"/>
            </w:rPr>
            <w:fldChar w:fldCharType="separate"/>
          </w:r>
          <w:r>
            <w:rPr>
              <w:rFonts w:hint="eastAsia"/>
              <w:szCs w:val="21"/>
            </w:rPr>
            <w:t>水务管理方面20项</w:t>
          </w:r>
          <w:r>
            <w:tab/>
          </w:r>
          <w:r>
            <w:fldChar w:fldCharType="begin"/>
          </w:r>
          <w:r>
            <w:instrText xml:space="preserve"> PAGEREF _Toc2083203269 \h </w:instrText>
          </w:r>
          <w:r>
            <w:fldChar w:fldCharType="separate"/>
          </w:r>
          <w:r>
            <w:t>125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_Toc1318576686 </w:instrText>
          </w:r>
          <w:r>
            <w:rPr>
              <w:highlight w:val="none"/>
            </w:rPr>
            <w:fldChar w:fldCharType="separate"/>
          </w:r>
          <w:r>
            <w:rPr>
              <w:rFonts w:hint="eastAsia"/>
              <w:szCs w:val="21"/>
            </w:rPr>
            <w:t>农业农村管理方面1项</w:t>
          </w:r>
          <w:r>
            <w:tab/>
          </w:r>
          <w:r>
            <w:fldChar w:fldCharType="begin"/>
          </w:r>
          <w:r>
            <w:instrText xml:space="preserve"> PAGEREF _Toc1318576686 \h </w:instrText>
          </w:r>
          <w:r>
            <w:fldChar w:fldCharType="separate"/>
          </w:r>
          <w:r>
            <w:t>130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_Toc1433492438 </w:instrText>
          </w:r>
          <w:r>
            <w:rPr>
              <w:highlight w:val="none"/>
            </w:rPr>
            <w:fldChar w:fldCharType="separate"/>
          </w:r>
          <w:r>
            <w:rPr>
              <w:rFonts w:hint="eastAsia"/>
              <w:szCs w:val="21"/>
            </w:rPr>
            <w:t>卫生健康管理方面12项</w:t>
          </w:r>
          <w:r>
            <w:tab/>
          </w:r>
          <w:r>
            <w:fldChar w:fldCharType="begin"/>
          </w:r>
          <w:r>
            <w:instrText xml:space="preserve"> PAGEREF _Toc1433492438 \h </w:instrText>
          </w:r>
          <w:r>
            <w:fldChar w:fldCharType="separate"/>
          </w:r>
          <w:r>
            <w:t>130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_Toc1245423656 </w:instrText>
          </w:r>
          <w:r>
            <w:rPr>
              <w:highlight w:val="none"/>
            </w:rPr>
            <w:fldChar w:fldCharType="separate"/>
          </w:r>
          <w:r>
            <w:rPr>
              <w:rFonts w:hint="eastAsia"/>
              <w:bCs/>
              <w:szCs w:val="21"/>
              <w:lang w:eastAsia="zh-CN"/>
            </w:rPr>
            <w:t>住建部门</w:t>
          </w:r>
          <w:r>
            <w:rPr>
              <w:rFonts w:hint="eastAsia"/>
              <w:bCs/>
              <w:szCs w:val="21"/>
              <w:lang w:val="en-US" w:eastAsia="zh-CN"/>
            </w:rPr>
            <w:t>3项</w:t>
          </w:r>
          <w:r>
            <w:tab/>
          </w:r>
          <w:r>
            <w:fldChar w:fldCharType="begin"/>
          </w:r>
          <w:r>
            <w:instrText xml:space="preserve"> PAGEREF _Toc1245423656 \h </w:instrText>
          </w:r>
          <w:r>
            <w:fldChar w:fldCharType="separate"/>
          </w:r>
          <w:r>
            <w:t>132</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1981015615"/>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859084654"/>
            <w:bookmarkStart w:id="4" w:name="_Toc1944272260"/>
            <w:bookmarkStart w:id="5" w:name="_Toc110851436"/>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8"/>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10851437"/>
            <w:bookmarkStart w:id="8" w:name="_Toc1542301765"/>
            <w:bookmarkStart w:id="9" w:name="_Toc1716261181"/>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63108970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76357074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046440714"/>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8"/>
              <w:rPr>
                <w:rFonts w:hint="eastAsia" w:asciiTheme="minorEastAsia" w:hAnsiTheme="minorEastAsia" w:eastAsiaTheme="minorEastAsia"/>
                <w:color w:val="auto"/>
                <w:sz w:val="15"/>
                <w:szCs w:val="15"/>
                <w:highlight w:val="none"/>
                <w:lang w:eastAsia="zh-CN"/>
              </w:rPr>
            </w:pPr>
          </w:p>
          <w:p>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53117160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169203885"/>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14467569"/>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597132697"/>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608572295"/>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873097592"/>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8"/>
              <w:rPr>
                <w:rFonts w:hint="eastAsia"/>
                <w:color w:val="auto"/>
                <w:highlight w:val="none"/>
                <w:lang w:eastAsia="zh-CN"/>
              </w:rPr>
            </w:pPr>
          </w:p>
          <w:p>
            <w:pPr>
              <w:pStyle w:val="8"/>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8"/>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495418307"/>
            <w:bookmarkStart w:id="38" w:name="_Toc110851448"/>
            <w:bookmarkStart w:id="39" w:name="_Toc11849879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986557284"/>
            <w:bookmarkStart w:id="41" w:name="_Toc110851449"/>
            <w:bookmarkStart w:id="42" w:name="_Toc199336650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103426576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10851451"/>
            <w:bookmarkStart w:id="48" w:name="_Toc1198219356"/>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315090803"/>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06587487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10851454"/>
            <w:bookmarkStart w:id="56" w:name="_Toc54194176"/>
            <w:bookmarkStart w:id="57" w:name="_Toc68918608"/>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2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8" w:name="_Toc435705406"/>
            <w:bookmarkStart w:id="59" w:name="_Toc343261123"/>
            <w:r>
              <w:rPr>
                <w:rFonts w:hint="eastAsia" w:ascii="黑体" w:hAnsi="黑体" w:eastAsia="黑体" w:cs="黑体"/>
                <w:b w:val="0"/>
                <w:bCs w:val="0"/>
                <w:color w:val="auto"/>
                <w:highlight w:val="none"/>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1020309817"/>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62" w:name="_Toc1119823230"/>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4" w:name="_Toc697382673"/>
            <w:r>
              <w:rPr>
                <w:rFonts w:hint="eastAsia"/>
                <w:color w:val="auto"/>
                <w:sz w:val="21"/>
                <w:szCs w:val="21"/>
                <w:highlight w:val="none"/>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5" w:name="_Toc1973624040"/>
            <w:bookmarkStart w:id="66" w:name="_Toc110851455"/>
            <w:bookmarkStart w:id="67" w:name="_Toc2062208648"/>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8" w:name="_Toc110851456"/>
            <w:bookmarkStart w:id="69" w:name="_Toc1693504403"/>
            <w:bookmarkStart w:id="70" w:name="_Toc1333093317"/>
            <w:r>
              <w:rPr>
                <w:rFonts w:hint="eastAsia" w:ascii="黑体" w:hAnsi="黑体" w:eastAsia="黑体"/>
                <w:b w:val="0"/>
                <w:color w:val="auto"/>
                <w:sz w:val="36"/>
                <w:szCs w:val="36"/>
                <w:highlight w:val="none"/>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110851457"/>
            <w:bookmarkStart w:id="73" w:name="_Toc312584811"/>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【《北京市安全生产行政处罚自由裁量基准（2022年修订版）》一、（二十七）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1.对 1 处一般事故隐患未采取措施消除的，处 2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5 万元以上 7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2.对 2 处一般事故隐患未采取措施消除的，处 2 万元以上 4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7 万元以上 9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3.对重大事故隐患或者 3 处以上一般事故隐患未采取措施消除的，处 4 万元以上 5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9 万元以上 10 万元以下的罚款。</w:t>
            </w:r>
            <w:r>
              <w:rPr>
                <w:rFonts w:hint="eastAsia" w:cs="Times New Roman" w:asciiTheme="minorEastAsia" w:hAnsiTheme="minorEastAsia" w:eastAsiaTheme="minorEastAsia"/>
                <w:color w:val="auto"/>
                <w:spacing w:val="-4"/>
                <w:sz w:val="15"/>
                <w:szCs w:val="15"/>
                <w:highlight w:val="none"/>
                <w:lang w:val="en-US" w:eastAsia="zh-CN"/>
              </w:rPr>
              <w:t>】</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1968530984"/>
            <w:bookmarkStart w:id="76" w:name="_Toc277302333"/>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7" w:name="_Toc110851459"/>
            <w:bookmarkStart w:id="78" w:name="_Toc697937810"/>
            <w:bookmarkStart w:id="79" w:name="_Toc226560937"/>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10851460"/>
            <w:bookmarkStart w:id="81" w:name="_Toc1826085962"/>
            <w:bookmarkStart w:id="82" w:name="_Toc1974241014"/>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473999580"/>
            <w:bookmarkStart w:id="84" w:name="_Toc110851461"/>
            <w:bookmarkStart w:id="85" w:name="_Toc1180295235"/>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10851462"/>
            <w:bookmarkStart w:id="88" w:name="_Toc450128508"/>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636329439"/>
            <w:bookmarkStart w:id="90" w:name="_Toc1807772981"/>
            <w:bookmarkStart w:id="91" w:name="_Toc110851463"/>
            <w:bookmarkStart w:id="92"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891896242"/>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0" w:firstLine="0"/>
              <w:rPr>
                <w:rFonts w:hint="eastAsia" w:cs="Times New Roman" w:asciiTheme="minorEastAsia" w:hAnsiTheme="minorEastAsia" w:eastAsiaTheme="minorEastAsia"/>
                <w:strike w:val="0"/>
                <w:dstrike w:val="0"/>
                <w:color w:val="auto"/>
                <w:kern w:val="2"/>
                <w:sz w:val="15"/>
                <w:szCs w:val="15"/>
                <w:highlight w:val="none"/>
              </w:rPr>
            </w:pPr>
            <w:r>
              <w:rPr>
                <w:rFonts w:hint="eastAsia" w:cs="Times New Roman" w:asciiTheme="minorEastAsia" w:hAnsiTheme="minorEastAsia" w:eastAsiaTheme="minorEastAsia"/>
                <w:b w:val="0"/>
                <w:bCs w:val="0"/>
                <w:color w:val="auto"/>
                <w:sz w:val="15"/>
                <w:szCs w:val="15"/>
                <w:highlight w:val="none"/>
              </w:rPr>
              <w:t>1.未履行第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项中任一项职责的，处2万元以上3万元以下的罚款；逾期未改正的，处5万元以上7万元以下的罚款；2.未履行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项中任两项职责的，处3万元以上4万元以下的罚款；逾期未改正的，处7万元以上9万元以下的罚款；3.未履行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项中任三项以上职责的，处4万元以上5万元以下的罚款；逾期未改正的，处9万元以上10万元以下的罚款。</w:t>
            </w: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spacing w:before="77" w:line="246" w:lineRule="auto"/>
              <w:ind w:right="21" w:firstLine="0"/>
              <w:rPr>
                <w:rFonts w:hint="eastAsia" w:cs="Times New Roman"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pacing w:val="0"/>
                <w:position w:val="0"/>
                <w:sz w:val="15"/>
                <w:szCs w:val="15"/>
                <w:highlight w:val="none"/>
              </w:rPr>
              <w:t>1.</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除矿山、金属冶炼、建筑施工、运输单位和危险物品的生产、经营、储存、装卸单位以外的生产经营单位，从业人员总数为</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人或者</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人以下，未配备专职或者兼职安全生产管理人员的处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10</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w:t>
            </w:r>
            <w:r>
              <w:rPr>
                <w:rFonts w:hint="eastAsia" w:cs="Times New Roman" w:asciiTheme="minorEastAsia" w:hAnsiTheme="minorEastAsia" w:eastAsiaTheme="minorEastAsia"/>
                <w:color w:val="auto"/>
                <w:spacing w:val="0"/>
                <w:sz w:val="15"/>
                <w:szCs w:val="15"/>
                <w:highlight w:val="none"/>
                <w:lang w:eastAsia="zh-CN"/>
              </w:rPr>
              <w:t>；</w:t>
            </w:r>
          </w:p>
          <w:p>
            <w:pPr>
              <w:pStyle w:val="8"/>
              <w:spacing w:before="77" w:line="246" w:lineRule="auto"/>
              <w:ind w:right="93" w:firstLine="0"/>
              <w:rPr>
                <w:rFonts w:hint="eastAsia" w:cs="Times New Roman"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除矿山、金属冶炼、建筑施工、运输单位和危险物品的生产、经营、储存、装卸单位以外的生产经营单位，从业人员总数超过</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人，未设置安全生产管理机构或者未配备专职安全生产管理人员的，处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5</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15</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4</w:t>
            </w:r>
            <w:r>
              <w:rPr>
                <w:rFonts w:hint="eastAsia" w:cs="Times New Roman" w:asciiTheme="minorEastAsia" w:hAnsiTheme="minorEastAsia" w:eastAsiaTheme="minorEastAsia"/>
                <w:color w:val="auto"/>
                <w:spacing w:val="0"/>
                <w:sz w:val="15"/>
                <w:szCs w:val="15"/>
                <w:highlight w:val="none"/>
              </w:rPr>
              <w:t>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1.未履行第（一）项至第（七）项中任一项职责的，处1万元以上2万元以下的罚款；</w:t>
            </w:r>
          </w:p>
          <w:p>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2.未履行第（一）项至第（七）项中任两项职责的，处2万元以上3万元以下的罚款；</w:t>
            </w:r>
          </w:p>
          <w:p>
            <w:pPr>
              <w:keepNext w:val="0"/>
              <w:keepLines w:val="0"/>
              <w:widowControl/>
              <w:suppressLineNumbers w:val="0"/>
              <w:jc w:val="left"/>
              <w:rPr>
                <w:rFonts w:hint="eastAsia" w:asciiTheme="minorEastAsia" w:hAnsiTheme="minorEastAsia" w:eastAsiaTheme="minorEastAsia"/>
                <w:color w:val="auto"/>
                <w:sz w:val="15"/>
                <w:szCs w:val="15"/>
                <w:highlight w:val="none"/>
              </w:rPr>
            </w:pPr>
            <w:r>
              <w:rPr>
                <w:rFonts w:hint="eastAsia" w:cs="Times New Roman" w:asciiTheme="minorEastAsia" w:hAnsiTheme="minorEastAsia" w:eastAsiaTheme="minorEastAsia"/>
                <w:color w:val="auto"/>
                <w:kern w:val="2"/>
                <w:sz w:val="15"/>
                <w:szCs w:val="15"/>
                <w:highlight w:val="none"/>
                <w:lang w:val="en-US" w:eastAsia="zh-CN" w:bidi="ar-SA"/>
              </w:rPr>
              <w:t>3.未履行第（一）项至第（七）项中任三项以上职责的，处3万元的罚款；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1.生产经营单位未按照规定对从业人员、被派遣劳动者、实习学生进行安</w:t>
            </w:r>
            <w:r>
              <w:rPr>
                <w:rFonts w:hint="default" w:cs="宋体" w:asciiTheme="minorEastAsia" w:hAnsiTheme="minorEastAsia" w:eastAsiaTheme="minorEastAsia"/>
                <w:strike w:val="0"/>
                <w:dstrike w:val="0"/>
                <w:color w:val="auto"/>
                <w:kern w:val="0"/>
                <w:sz w:val="15"/>
                <w:szCs w:val="15"/>
                <w:highlight w:val="none"/>
                <w:lang w:val="en-US" w:eastAsia="zh-CN"/>
              </w:rPr>
              <w:t>全生产教育和培训的人数为3人以下的，处5万元以下的罚款；逾期未改正的，处10万元以上15万元以下的罚款，对其直接负责的主管人员和其他直接责任人员处2万元以上3万元以下的罚款；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1.生产经营单位未如实记录安全生产教育和培训情况的人数为5人以下</w:t>
            </w:r>
            <w:r>
              <w:rPr>
                <w:rFonts w:hint="default" w:cs="宋体" w:asciiTheme="minorEastAsia" w:hAnsiTheme="minorEastAsia" w:eastAsiaTheme="minorEastAsia"/>
                <w:strike w:val="0"/>
                <w:dstrike w:val="0"/>
                <w:color w:val="auto"/>
                <w:kern w:val="0"/>
                <w:sz w:val="15"/>
                <w:szCs w:val="15"/>
                <w:highlight w:val="none"/>
                <w:lang w:val="en-US" w:eastAsia="zh-CN"/>
              </w:rPr>
              <w:t xml:space="preserve">的，处5万元以下的罚款；逾期未改正的，并处10万元以上15万元以下的罚款，对其直接负责的主管人员和其他责任人员处2万元以上4万元以下的罚款； </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如实记录安全生产教育和培训情况人数为5人以上的，处5万元以上10万元以下的罚款；逾期未改正的，并处15万元以上20万元以下的罚款，对其直接负责的主管人员和其他责任人员处4万元以上5万元以下的罚款</w:t>
            </w:r>
            <w:r>
              <w:rPr>
                <w:rFonts w:hint="eastAsia" w:cs="宋体" w:asciiTheme="minorEastAsia" w:hAnsiTheme="minorEastAsia" w:eastAsiaTheme="minorEastAsia"/>
                <w:strike w:val="0"/>
                <w:dstrike w:val="0"/>
                <w:color w:val="auto"/>
                <w:kern w:val="0"/>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1.未在有较大危险因素的生产经营场所和有关设施、设备上设置明显的安</w:t>
            </w:r>
            <w:r>
              <w:rPr>
                <w:rFonts w:hint="default" w:cs="宋体" w:asciiTheme="minorEastAsia" w:hAnsiTheme="minorEastAsia" w:eastAsiaTheme="minorEastAsia"/>
                <w:strike w:val="0"/>
                <w:dstrike w:val="0"/>
                <w:color w:val="auto"/>
                <w:kern w:val="0"/>
                <w:sz w:val="15"/>
                <w:szCs w:val="15"/>
                <w:highlight w:val="none"/>
                <w:lang w:val="en-US" w:eastAsia="zh-CN"/>
              </w:rPr>
              <w:t xml:space="preserve">全警示标志有5处以下的，处2万元以下的罚款；逾期未改正的，处5万元以上10万元以下的罚款，对其直接负责的主管人员和其他直接责任人员处1万元以上2万元以下的罚款； </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未建立事故隐患排查治理制度，处5万元以下的罚款；逾期未改正的，并处10万元以上15万元以下的罚款，对其直接负责的主管人员和其他直接责任人员处2万元以上3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1.存在未将事故隐患排查治理情况如实记录或者未向从业人员通报情况</w:t>
            </w:r>
            <w:r>
              <w:rPr>
                <w:rFonts w:hint="default" w:cs="宋体" w:asciiTheme="minorEastAsia" w:hAnsiTheme="minorEastAsia" w:eastAsiaTheme="minorEastAsia"/>
                <w:strike w:val="0"/>
                <w:dstrike w:val="0"/>
                <w:color w:val="auto"/>
                <w:kern w:val="0"/>
                <w:sz w:val="15"/>
                <w:szCs w:val="15"/>
                <w:highlight w:val="none"/>
                <w:lang w:val="en-US" w:eastAsia="zh-CN"/>
              </w:rPr>
              <w:t>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1.生产经营单位未按照规定向从业人员如实告知作业场所和工作岗位存</w:t>
            </w:r>
            <w:r>
              <w:rPr>
                <w:rFonts w:hint="default" w:cs="宋体" w:asciiTheme="minorEastAsia" w:hAnsiTheme="minorEastAsia" w:eastAsiaTheme="minorEastAsia"/>
                <w:strike w:val="0"/>
                <w:dstrike w:val="0"/>
                <w:color w:val="auto"/>
                <w:kern w:val="0"/>
                <w:sz w:val="15"/>
                <w:szCs w:val="15"/>
                <w:highlight w:val="none"/>
                <w:lang w:val="en-US" w:eastAsia="zh-CN"/>
              </w:rPr>
              <w:t>在的危险因素、防范措施以及事故应急措施中的任一项安全生产事项的，处5万元以下的罚款；逾期未改正的，并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4"/>
            <w:bookmarkStart w:id="95" w:name="_Toc1075063771"/>
            <w:bookmarkStart w:id="96" w:name="_Toc18906041"/>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110851465"/>
            <w:bookmarkStart w:id="98" w:name="_Toc780858134"/>
            <w:bookmarkStart w:id="99" w:name="_Toc1291379037"/>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00" w:name="_Toc1495699393"/>
            <w:bookmarkStart w:id="101" w:name="_Toc110851466"/>
            <w:bookmarkStart w:id="102" w:name="_Toc1655466988"/>
            <w:r>
              <w:rPr>
                <w:rFonts w:hint="eastAsia" w:ascii="黑体" w:hAnsi="黑体" w:eastAsia="黑体"/>
                <w:b w:val="0"/>
                <w:color w:val="auto"/>
                <w:sz w:val="36"/>
                <w:szCs w:val="36"/>
                <w:highlight w:val="none"/>
              </w:rPr>
              <w:t>园林绿化管理方面</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065346755"/>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675066993"/>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1576301640"/>
            <w:bookmarkStart w:id="111" w:name="_Toc677187225"/>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7"/>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10851470"/>
            <w:bookmarkStart w:id="113" w:name="_Toc465734653"/>
            <w:bookmarkStart w:id="114" w:name="_Toc1179814324"/>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5" w:name="_Toc124716043"/>
            <w:r>
              <w:rPr>
                <w:rFonts w:hint="eastAsia" w:ascii="黑体" w:hAnsi="黑体" w:eastAsia="黑体" w:cs="黑体"/>
                <w:b w:val="0"/>
                <w:bCs w:val="0"/>
                <w:color w:val="auto"/>
                <w:highlight w:val="none"/>
              </w:rPr>
              <w:t>环境保护管理方面</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138275872"/>
            <w:r>
              <w:rPr>
                <w:rFonts w:hint="eastAsia"/>
                <w:color w:val="auto"/>
                <w:sz w:val="21"/>
                <w:szCs w:val="21"/>
                <w:highlight w:val="none"/>
              </w:rPr>
              <w:t>《中华人民共和国大气污染防治法》案由18项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2052911917"/>
            <w:r>
              <w:rPr>
                <w:rFonts w:hint="eastAsia"/>
                <w:color w:val="auto"/>
                <w:sz w:val="21"/>
                <w:szCs w:val="21"/>
                <w:highlight w:val="none"/>
              </w:rPr>
              <w:t>《北京市大气污染防治条例》案由8项</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1745180410"/>
            <w:bookmarkStart w:id="120" w:name="_Toc1309704035"/>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10851472"/>
            <w:bookmarkStart w:id="122" w:name="_Toc193344115"/>
            <w:bookmarkStart w:id="123" w:name="_Toc2131642380"/>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4" w:name="_Toc110851473"/>
            <w:bookmarkStart w:id="125"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6" w:name="_Toc939694038"/>
            <w:r>
              <w:rPr>
                <w:rFonts w:hint="eastAsia" w:ascii="黑体" w:hAnsi="黑体" w:eastAsia="黑体"/>
                <w:b w:val="0"/>
                <w:color w:val="auto"/>
                <w:sz w:val="36"/>
                <w:szCs w:val="36"/>
                <w:highlight w:val="none"/>
              </w:rPr>
              <w:t>施工现场管理方面</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10851474"/>
            <w:bookmarkStart w:id="128" w:name="_Toc1669927446"/>
            <w:bookmarkStart w:id="129" w:name="_Toc360439743"/>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854219027"/>
            <w:bookmarkStart w:id="131" w:name="_Toc110851475"/>
            <w:bookmarkStart w:id="132" w:name="_Toc1299249536"/>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3" w:name="_Toc1256403622"/>
            <w:bookmarkStart w:id="134" w:name="_Toc110851476"/>
            <w:bookmarkStart w:id="135" w:name="_Toc2005568916"/>
            <w:r>
              <w:rPr>
                <w:rFonts w:hint="eastAsia" w:ascii="黑体" w:hAnsi="黑体" w:eastAsia="黑体"/>
                <w:b w:val="0"/>
                <w:color w:val="auto"/>
                <w:sz w:val="36"/>
                <w:szCs w:val="36"/>
                <w:highlight w:val="none"/>
              </w:rPr>
              <w:t>停车场管理方面案由</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110851477"/>
            <w:bookmarkStart w:id="138" w:name="_Toc429358351"/>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557995543"/>
            <w:bookmarkStart w:id="140" w:name="_Toc110851478"/>
            <w:bookmarkStart w:id="141" w:name="_Toc1642510659"/>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67594986"/>
            <w:bookmarkStart w:id="144" w:name="_Toc878395085"/>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5" w:name="_Toc110851480"/>
            <w:bookmarkStart w:id="146" w:name="_Toc2072679585"/>
            <w:bookmarkStart w:id="147" w:name="_Toc1549181582"/>
            <w:r>
              <w:rPr>
                <w:rFonts w:hint="eastAsia" w:ascii="黑体" w:hAnsi="黑体" w:eastAsia="黑体"/>
                <w:b w:val="0"/>
                <w:color w:val="auto"/>
                <w:sz w:val="36"/>
                <w:szCs w:val="36"/>
                <w:highlight w:val="none"/>
              </w:rPr>
              <w:t>交通运输管理方面</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10851481"/>
            <w:bookmarkStart w:id="149" w:name="_Toc1833599949"/>
            <w:bookmarkStart w:id="150" w:name="_Toc192409684"/>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21789162"/>
            <w:bookmarkStart w:id="152" w:name="_Toc110851482"/>
            <w:bookmarkStart w:id="153" w:name="_Toc793120085"/>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4" w:name="_Toc110851483"/>
            <w:bookmarkStart w:id="155" w:name="_Toc360901343"/>
            <w:bookmarkStart w:id="156" w:name="_Toc734791251"/>
            <w:r>
              <w:rPr>
                <w:rFonts w:hint="eastAsia" w:ascii="黑体" w:hAnsi="黑体" w:eastAsia="黑体"/>
                <w:b w:val="0"/>
                <w:color w:val="auto"/>
                <w:sz w:val="36"/>
                <w:szCs w:val="36"/>
                <w:highlight w:val="none"/>
              </w:rPr>
              <w:t>市场监督管理（流动无照经营）方面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704954681"/>
            <w:bookmarkStart w:id="158" w:name="_Toc110851484"/>
            <w:bookmarkStart w:id="159" w:name="_Toc504994495"/>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110851485"/>
            <w:bookmarkStart w:id="162" w:name="_Toc1070422418"/>
            <w:r>
              <w:rPr>
                <w:rFonts w:hint="eastAsia" w:ascii="黑体" w:hAnsi="黑体" w:eastAsia="黑体"/>
                <w:b w:val="0"/>
                <w:color w:val="auto"/>
                <w:sz w:val="36"/>
                <w:szCs w:val="36"/>
                <w:highlight w:val="none"/>
              </w:rPr>
              <w:t>城市规划管理方面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10851486"/>
            <w:bookmarkStart w:id="164" w:name="_Toc187041735"/>
            <w:bookmarkStart w:id="165" w:name="_Toc961352188"/>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331751861"/>
            <w:r>
              <w:rPr>
                <w:rFonts w:hint="eastAsia" w:ascii="黑体" w:hAnsi="黑体" w:eastAsia="黑体"/>
                <w:b w:val="0"/>
                <w:color w:val="auto"/>
                <w:sz w:val="36"/>
                <w:szCs w:val="36"/>
                <w:highlight w:val="none"/>
              </w:rPr>
              <w:t>旅游管理（黑导游）方面</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363033362"/>
            <w:bookmarkStart w:id="171" w:name="_Toc103234006"/>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72" w:name="_Toc8089072"/>
            <w:bookmarkStart w:id="173" w:name="_Toc110851489"/>
            <w:bookmarkStart w:id="174" w:name="_Toc1411480696"/>
            <w:r>
              <w:rPr>
                <w:rFonts w:hint="eastAsia" w:ascii="黑体" w:hAnsi="黑体" w:eastAsia="黑体"/>
                <w:b w:val="0"/>
                <w:color w:val="auto"/>
                <w:sz w:val="36"/>
                <w:szCs w:val="36"/>
                <w:highlight w:val="none"/>
              </w:rPr>
              <w:t>食品安全管理方面</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110851490"/>
            <w:bookmarkStart w:id="176" w:name="_Toc948913247"/>
            <w:bookmarkStart w:id="177" w:name="_Toc2139524843"/>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8" w:name="_Toc110851491"/>
            <w:bookmarkStart w:id="179" w:name="_Toc41635676"/>
            <w:bookmarkStart w:id="180" w:name="_Toc995130248"/>
            <w:r>
              <w:rPr>
                <w:rFonts w:hint="eastAsia" w:ascii="黑体" w:hAnsi="黑体" w:eastAsia="黑体"/>
                <w:b w:val="0"/>
                <w:color w:val="auto"/>
                <w:sz w:val="36"/>
                <w:szCs w:val="36"/>
                <w:highlight w:val="none"/>
              </w:rPr>
              <w:t>能源运行管理方面</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10851492"/>
            <w:bookmarkStart w:id="182" w:name="_Toc1482088652"/>
            <w:bookmarkStart w:id="183" w:name="_Toc1430386737"/>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10851493"/>
            <w:bookmarkStart w:id="186" w:name="_Toc1283420232"/>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2142516953"/>
            <w:bookmarkStart w:id="188" w:name="_Toc110851494"/>
            <w:bookmarkStart w:id="189" w:name="_Toc503113588"/>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409668775"/>
            <w:bookmarkStart w:id="192" w:name="_Toc34824984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3" w:name="_Toc1958487226"/>
            <w:r>
              <w:rPr>
                <w:rFonts w:hint="eastAsia"/>
                <w:sz w:val="21"/>
                <w:szCs w:val="21"/>
                <w:lang w:val="en-US" w:eastAsia="zh-CN"/>
              </w:rPr>
              <w:t>《北京市优化营商环境条例》案由1项</w:t>
            </w:r>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供电企业供电可靠率低于国家有关规定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条款、处罚条款：第四十三条 供电企业应当保障供电设施的正常、稳定运行，确保供电质量符合国家规定。市城市管理部门应当加强对供电企业年供电可靠率的监督，对低于国家有关规定的，责令改正，可以处五万元以上五十万元以下罚款。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bookmarkStart w:id="219" w:name="_GoBack"/>
            <w:bookmarkEnd w:id="219"/>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4" w:name="_Toc110851497"/>
            <w:bookmarkStart w:id="195" w:name="_Toc1490732698"/>
            <w:bookmarkStart w:id="196" w:name="_Toc1180300814"/>
            <w:r>
              <w:rPr>
                <w:rFonts w:hint="eastAsia" w:asciiTheme="minorEastAsia" w:hAnsiTheme="minorEastAsia" w:eastAsiaTheme="minorEastAsia"/>
                <w:color w:val="auto"/>
                <w:sz w:val="21"/>
                <w:szCs w:val="21"/>
                <w:highlight w:val="none"/>
              </w:rPr>
              <w:t>《中华人民共和国石油天然气管道保护法》</w:t>
            </w:r>
            <w:bookmarkEnd w:id="194"/>
            <w:bookmarkEnd w:id="195"/>
            <w:bookmarkStart w:id="197" w:name="_Toc63324556"/>
            <w:bookmarkStart w:id="198" w:name="_Toc110851498"/>
            <w:r>
              <w:rPr>
                <w:rFonts w:hint="eastAsia" w:asciiTheme="minorEastAsia" w:hAnsiTheme="minorEastAsia" w:eastAsiaTheme="minorEastAsia"/>
                <w:color w:val="auto"/>
                <w:sz w:val="21"/>
                <w:szCs w:val="21"/>
                <w:highlight w:val="none"/>
              </w:rPr>
              <w:t>案由22项</w:t>
            </w:r>
            <w:bookmarkEnd w:id="196"/>
            <w:bookmarkEnd w:id="197"/>
            <w:bookmarkEnd w:id="198"/>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199" w:name="_Toc1437339030"/>
            <w:bookmarkStart w:id="200" w:name="_Toc1953583257"/>
            <w:bookmarkStart w:id="201" w:name="_Toc110851502"/>
            <w:bookmarkStart w:id="202" w:name="_Toc341845612"/>
            <w:bookmarkStart w:id="203" w:name="_Toc1528064169"/>
            <w:r>
              <w:rPr>
                <w:rFonts w:hint="eastAsia"/>
                <w:sz w:val="21"/>
                <w:szCs w:val="21"/>
              </w:rPr>
              <w:t>生态环境管理方面</w:t>
            </w:r>
            <w:bookmarkEnd w:id="199"/>
            <w:r>
              <w:rPr>
                <w:rFonts w:hint="eastAsia"/>
                <w:sz w:val="21"/>
                <w:szCs w:val="21"/>
              </w:rPr>
              <w:t>4项</w:t>
            </w:r>
            <w:bookmarkEnd w:id="200"/>
            <w:bookmarkEnd w:id="201"/>
            <w:bookmarkEnd w:id="202"/>
            <w:bookmarkEnd w:id="203"/>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20" w:lineRule="exact"/>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服装干洗和机动车维修等</w:t>
            </w:r>
            <w:r>
              <w:rPr>
                <w:rFonts w:hint="eastAsia" w:ascii="宋体" w:hAnsi="宋体" w:eastAsia="宋体" w:cs="仿宋_GB2312"/>
                <w:kern w:val="0"/>
                <w:sz w:val="15"/>
                <w:szCs w:val="15"/>
              </w:rPr>
              <w:t>项目</w:t>
            </w:r>
            <w:r>
              <w:rPr>
                <w:rFonts w:hint="eastAsia" w:ascii="宋体" w:hAnsi="宋体" w:eastAsia="宋体" w:cs="仿宋_GB2312"/>
                <w:color w:val="000000"/>
                <w:kern w:val="0"/>
                <w:sz w:val="15"/>
                <w:szCs w:val="15"/>
                <w:lang w:bidi="ar"/>
              </w:rPr>
              <w:t>，未设置异味和废气处理装置等污染防治设施并保持正常使用</w:t>
            </w:r>
          </w:p>
        </w:tc>
        <w:tc>
          <w:tcPr>
            <w:tcW w:w="2789" w:type="dxa"/>
            <w:gridSpan w:val="2"/>
            <w:noWrap w:val="0"/>
            <w:vAlign w:val="center"/>
          </w:tcPr>
          <w:p>
            <w:pPr>
              <w:spacing w:line="220" w:lineRule="exact"/>
              <w:jc w:val="lef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不正常使用异味和废气处理装置等净化设施0.2-1万元；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未安装或者安装后擅自拆除异味和废气净化设施1-2万元；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拒不改正的，责令停业整治。</w:t>
            </w:r>
          </w:p>
        </w:tc>
        <w:tc>
          <w:tcPr>
            <w:tcW w:w="2108" w:type="dxa"/>
            <w:gridSpan w:val="4"/>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20" w:lineRule="exact"/>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20" w:lineRule="exact"/>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20" w:lineRule="exact"/>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20" w:lineRule="exact"/>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《北京市环境噪声污染防治办法》违反条款：第三十条；处罚条款：第四十二条，责令改正；拒不改正的，处3万元以下罚款。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204" w:name="_Toc110851503"/>
            <w:bookmarkStart w:id="205" w:name="_Toc1112894806"/>
            <w:bookmarkStart w:id="206" w:name="_Toc1642327804"/>
            <w:bookmarkStart w:id="207" w:name="_Toc2083203269"/>
            <w:r>
              <w:rPr>
                <w:rFonts w:hint="eastAsia"/>
                <w:sz w:val="21"/>
                <w:szCs w:val="21"/>
              </w:rPr>
              <w:t>水务管理方面20项</w:t>
            </w:r>
            <w:bookmarkEnd w:id="204"/>
            <w:bookmarkEnd w:id="205"/>
            <w:bookmarkEnd w:id="206"/>
            <w:bookmarkEnd w:id="207"/>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208" w:name="_Toc110851504"/>
            <w:bookmarkStart w:id="209" w:name="_Toc473764242"/>
            <w:bookmarkStart w:id="210" w:name="_Toc1290044525"/>
            <w:bookmarkStart w:id="211" w:name="_Toc1318576686"/>
            <w:r>
              <w:rPr>
                <w:rFonts w:hint="eastAsia"/>
                <w:sz w:val="21"/>
                <w:szCs w:val="21"/>
              </w:rPr>
              <w:t>农业农村管理方面1项</w:t>
            </w:r>
            <w:bookmarkEnd w:id="208"/>
            <w:bookmarkEnd w:id="209"/>
            <w:bookmarkEnd w:id="210"/>
            <w:bookmarkEnd w:id="2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212" w:name="_Toc110851505"/>
            <w:bookmarkStart w:id="213" w:name="_Toc2011773058"/>
            <w:bookmarkStart w:id="214" w:name="_Toc589852508"/>
            <w:bookmarkStart w:id="215" w:name="_Toc1433492438"/>
            <w:r>
              <w:rPr>
                <w:rFonts w:hint="eastAsia"/>
                <w:sz w:val="21"/>
                <w:szCs w:val="21"/>
              </w:rPr>
              <w:t>卫生健康管理方面12项</w:t>
            </w:r>
            <w:bookmarkEnd w:id="212"/>
            <w:bookmarkEnd w:id="213"/>
            <w:bookmarkEnd w:id="214"/>
            <w:bookmarkEnd w:id="215"/>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未建立禁止吸烟管理制度，做好宣传教育工作且拒不改正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《北京市控制吸烟条例》违反条款：第十三条第一款第（一）项；处罚条款：第二十四条第（一）项，责令限期改正;拒不改正的，处2000元以上5000元以下罚款。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未在禁止吸烟场所设置明显的禁止吸烟标志和举报投诉电话号码标识且拒不改正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《北京市控制吸烟条例》违反条款：第十三条第一款第（二）项；处罚条款：第二十四条第（一）项，责令限期改正;拒不改正的，处2000元以上5000元以下罚款。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在禁止吸烟场所提供烟具和附有烟草广告的物品且拒不改正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《北京市控制吸烟条例》违反条款：第十三条第一款第（三）项；处罚条款：第二十四条第（一）项，责令限期改正;拒不改正的，处2000元以上5000元以下罚款。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未开展禁止吸烟检查工作，制作并留存禁止吸烟检查工作相关记录且拒不改正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《北京市控制吸烟条例》违反条款：第十三条第一款第（四）项；处罚条款：第二十四条第（一）项，责令限期改正;拒不改正的，处2000元以上5000元以下罚款。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在禁止吸烟场所内的吸烟者未予以劝阻，对不听劝阻的吸烟者未要求其离开，对不听劝阻且不离开的吸烟者未投诉举报</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《北京市控制吸烟条例》违反条款：第十三条第一款第（五）项；处罚条款：第二十四条第（二）项，给予警告，并处5000元以上1万元以下罚款。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场所内吸烟者有1人的，警告，并处5000元罚款；</w:t>
            </w:r>
          </w:p>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场所内吸烟者有2-5人的，警告，并处5000元以上（不含）8000元以下（含）罚款；</w:t>
            </w:r>
          </w:p>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场所内吸烟者有5人以上的，警告，并处8000元以上（不含）1万元以下（含）罚款。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在其他禁止吸烟场所或者排队等候队伍中吸烟</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《北京市控制吸烟条例》违反条款：第十四条；处罚条款：第二十五条第一款，责令改正，可以处50元罚款;拒不改正的，处200元罚款。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在禁止吸烟场所或者排队等候队伍中吸烟，处50元罚款；</w:t>
            </w:r>
          </w:p>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在禁止吸烟场所或者排队等候队伍中吸烟，拒不改正，处200元罚款。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在幼儿园、中小学校、少年宫、儿童福利机构等以未成年人为主要活动人群的场所吸烟</w:t>
            </w:r>
          </w:p>
        </w:tc>
        <w:tc>
          <w:tcPr>
            <w:tcW w:w="2789"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《北京市控制吸烟条例》违反条款：第十四条；处罚条款：第二十五条第一款，责令改正，给予警告，可以并处200元以上500以下罚款。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警告，可以并处200元以上（含）500元以下（含）罚款。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216" w:name="_Toc1245423656"/>
            <w:bookmarkStart w:id="217" w:name="_Toc979026322"/>
            <w:r>
              <w:rPr>
                <w:rFonts w:hint="eastAsia"/>
                <w:b/>
                <w:bCs/>
                <w:sz w:val="21"/>
                <w:szCs w:val="21"/>
                <w:lang w:eastAsia="zh-CN"/>
              </w:rPr>
              <w:t>住建部门</w:t>
            </w:r>
            <w:r>
              <w:rPr>
                <w:rFonts w:hint="eastAsia"/>
                <w:b/>
                <w:bCs/>
                <w:sz w:val="21"/>
                <w:szCs w:val="21"/>
                <w:lang w:val="en-US" w:eastAsia="zh-CN"/>
              </w:rPr>
              <w:t>3项</w:t>
            </w:r>
            <w:bookmarkEnd w:id="2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pPr>
              <w:autoSpaceDE w:val="0"/>
              <w:autoSpaceDN w:val="0"/>
              <w:adjustRightInd w:val="0"/>
              <w:spacing w:line="520" w:lineRule="exact"/>
              <w:jc w:val="center"/>
              <w:rPr>
                <w:rFonts w:hint="eastAsia"/>
                <w:sz w:val="21"/>
                <w:szCs w:val="21"/>
                <w:lang w:val="en-US" w:eastAsia="zh-CN"/>
              </w:rPr>
            </w:pPr>
          </w:p>
        </w:tc>
      </w:tr>
      <w:bookmarkEnd w:id="2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8"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center"/>
              <w:rPr>
                <w:rFonts w:hint="eastAsia" w:asciiTheme="minorEastAsia" w:hAnsiTheme="minorEastAsia" w:eastAsiaTheme="minorEastAsia" w:cstheme="minorEastAsia"/>
                <w:sz w:val="21"/>
                <w:szCs w:val="21"/>
                <w:lang w:val="en-US" w:eastAsia="zh-CN"/>
              </w:rPr>
            </w:pP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8"/>
    </w:tbl>
    <w:p>
      <w:pPr>
        <w:pStyle w:val="8"/>
      </w:pPr>
    </w:p>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微软雅黑 Light"/>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微软雅黑 Light">
    <w:panose1 w:val="020B0502040204020203"/>
    <w:charset w:val="86"/>
    <w:family w:val="auto"/>
    <w:pitch w:val="default"/>
    <w:sig w:usb0="80000287" w:usb1="2ACF0010" w:usb2="00000016" w:usb3="00000000" w:csb0="0004001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DejaVu Sans">
    <w:panose1 w:val="020B0603030804020204"/>
    <w:charset w:val="00"/>
    <w:family w:val="auto"/>
    <w:pitch w:val="default"/>
    <w:sig w:usb0="E7006EFF" w:usb1="D200FDFF" w:usb2="0A246029" w:usb3="0400200C" w:csb0="600001FF" w:csb1="DFFF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Batang">
    <w:altName w:val="方正书宋_GBK"/>
    <w:panose1 w:val="02030600000101010101"/>
    <w:charset w:val="81"/>
    <w:family w:val="roman"/>
    <w:pitch w:val="default"/>
    <w:sig w:usb0="00000000" w:usb1="00000000" w:usb2="00000030" w:usb3="00000000" w:csb0="0008009F" w:csb1="00000000"/>
  </w:font>
  <w:font w:name="Microsoft JhengHei">
    <w:altName w:val="方正书宋_GBK"/>
    <w:panose1 w:val="020B0604030504040204"/>
    <w:charset w:val="88"/>
    <w:family w:val="swiss"/>
    <w:pitch w:val="default"/>
    <w:sig w:usb0="00000000" w:usb1="00000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BC06BD"/>
    <w:rsid w:val="69FE0A5F"/>
    <w:rsid w:val="6A3D2095"/>
    <w:rsid w:val="6A4515FF"/>
    <w:rsid w:val="6A723F09"/>
    <w:rsid w:val="6A7D6FBC"/>
    <w:rsid w:val="6A860352"/>
    <w:rsid w:val="6ABF683F"/>
    <w:rsid w:val="6ABFCBE9"/>
    <w:rsid w:val="6AEC4A2D"/>
    <w:rsid w:val="6AF57D44"/>
    <w:rsid w:val="6B7BBC6F"/>
    <w:rsid w:val="6BBE8DC3"/>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67906"/>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11</TotalTime>
  <ScaleCrop>false</ScaleCrop>
  <LinksUpToDate>false</LinksUpToDate>
  <CharactersWithSpaces>134862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2022-09-02T02:35:00Z</dcterms:created>
  <dc:creator>张通</dc:creator>
  <cp:lastModifiedBy>UOS-PC</cp:lastModifiedBy>
  <cp:lastPrinted>2024-08-02T16:29:00Z</cp:lastPrinted>
  <dcterms:modified xsi:type="dcterms:W3CDTF">2024-08-05T14:55:37Z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0B80440A2DE09F57AAA2A066EEE69FF8</vt:lpwstr>
  </property>
</Properties>
</file>