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北京市西城区人民政府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展览路街道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办事处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年部门预算情况说明</w:t>
      </w:r>
    </w:p>
    <w:p>
      <w:pPr>
        <w:ind w:firstLine="1767" w:firstLineChars="400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一、部门主要职责及机构设置情况</w:t>
      </w:r>
    </w:p>
    <w:p>
      <w:pPr>
        <w:spacing w:line="560" w:lineRule="exact"/>
        <w:ind w:firstLine="555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（一）部门机构设置、职责</w:t>
      </w:r>
    </w:p>
    <w:p>
      <w:pPr>
        <w:spacing w:line="560" w:lineRule="exact"/>
        <w:ind w:firstLine="951" w:firstLineChars="296"/>
        <w:outlineLvl w:val="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1、街道内设机构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（1）纪律检查工作委员会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（2）综合办公室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（3）党群工作办公室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（4）平安建设办公室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（5）城市管理办公室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（6）社区建设办公室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（7）民生保障办公室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（8）党群服务中心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（9）市民服务中心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（10）全响应街区治理中心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（11）西直门地区综合服务中心</w:t>
      </w:r>
      <w:bookmarkStart w:id="2" w:name="_GoBack"/>
      <w:bookmarkEnd w:id="2"/>
    </w:p>
    <w:p>
      <w:pPr>
        <w:spacing w:line="560" w:lineRule="exact"/>
        <w:ind w:firstLine="803" w:firstLineChars="250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2、街道工委主要职责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（1）宣传和执行党的路线、方针、政策，宣传和执行党中央、市委、区委的决议，及时向区委报告辖区有关情况、反映问题、提出意见建议。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（3）履行全面从严治党主体责任，全面推进辖区党的政治建设、思想建设、组织建设、作风建设、纪律建设，把制度建设贯穿其中，组织协调反腐败工作。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（7）组织维护辖区安全稳定，协调推动社会治安综合治理，承担民兵预备役、征兵、民防工作。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（8）承办区委交办的其他事项。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3、街道办事处主要职责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（1）贯彻执行法律、法规、规章和市、区政府的决策部署，依法管理基层公共事务。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（2）承担辖区市容环境卫生、绿化美化的管理工作，推进街巷长、河长制工作，组织、协调城市管理综合执法和环境秩序综合治理工作，推进城市精细化管理。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（3）协助依法履行安全生产、消防安全、食品安全、环境保护、劳动保障、流动人口及出租房屋监督管理工作，承担辖区应急、防汛和防灾减灾工作。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（4）参与制定并组织实施社区建设规划和公共服务设施规划，组织辖区单位、居民和志愿者队伍为社区发展服务。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（5）负责社区居民委员会建设，指导社区居民委员会工作，培育、发展社区社会组织，指导、监督社区业主委员会。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（6）推进居民自治，动员社会力量参与社区治理，推动形成社区共治合力。向上级政府反映社情民意。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（7）组织开展群众性文化、体育、科普活动，开展法治宣传和社会公德教育，推动社区公益事业发展。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（8）组织开展公共服务，落实人力社保、民政、卫生健康、教育、住房保障、便民服务等政策，维护老年人、妇女、未成年人、残疾人等合法权益。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（9）负责联系、服务辖区单位，营造良好的营商环境。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（10）承办区政府交办的其他事项。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4、纪律检查工作委员会（监察组）职责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5、安全生产工作职责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（1）落实安全生产属地管理责任，贯彻执行安全生产法律、法规、规章，建立健全安全生产“党政同责、一岗双责”的安全生产责任体系及辖区安全管理制度。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（2）推进辖区安全生产预防控制体系、隐患排查治理体系建设，协助有关部门开展辖区安全风险评估、城市安全隐患治理和企业隐患排查治理工作。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（3）对安全生产事故隐患或安全生产违法行为责令排除或改正，及时向安全生产监督管理部门和政府其他有关部门报告。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（4）建立完善辖区生产经营单位台账。监督、检查生产经营单位落实安全生产主体责任。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（5）加强和推进专职安全员队伍建设及日常管理工作。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（6）组织开展安全生产宣传教育以及安全社区建设工作。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（7）对以本街道工委、办事处名义承办的各类重大活动的安全工作承担主体责任。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（8）对本机关及所属单位的安全工作承担领导责任。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6、环境保护工作职责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（2）负责辖区大气污染防治精细化管理推进工作。配合做好日常禁煤、控车减油、治污减排、清洁降尘等大气污染防治相关任务和政策措施。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（3）开展辖区有关水污染防治工作，督促供水单位定期监测、检测和评估辖区饮用水安全状况。落实河长制工作，配合有关部门开展河湖生态环境治理与保护工作。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（4）配合做好辖区土壤污染防治工作，发现在污染地块、疑似污染地块实施开发建设活动的，及时通报区环境保护主管部门调查处理。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（6）组织开展环境保护宣传工作，普及环境保护法律法规和科学知识。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7、展览路街道党群服务中心主要职责：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担辖区基层党组织和群团组织日常事务性工作；协助推进城市基层党建工作；组织开展各类共建活动，加强党建带统战、群团组织建设；承担党建信息化建设具体工作，负责党内信息管理系统、党员E先锋等信息平台日常管理和系统维护；联系、服务、凝聚、引领辖区单位、“两新”组织、党员干部、居民群众及区域各类组织参与地区各项建设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8、展览路街道市民服务中心主要职责：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接政府部门为社区群众和单位提供的各类政务服务、劳动和社会保障及居家养老服务；负责失业、退休、工伤人员的管理与服务；协助落实优抚、低保、保障性住房、社会救助等工作；推进互联网+政务服务；综合管理办事大厅各项事务；协调有关社会服务组织、承担政府委托的社会事务等方面的管理和服务项目；负责辖区内社区服务管理人员、从业人员和社区志愿者的管理和培训工作；组织社区开展各类文体活动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9、展览路街道全响应街区治理中心主要职责：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负责街道数据分中心的运维和管理，监督辖区城市运行管理；负责辖区各类问题的发现、收集、分派等工作；综合苏丽、分析研判辖区各类事件数据；推进街道、社区各信息系统、基础数据等方面的深度融合，为街道决策提供数据基础；承担街道中心信息化建设项目具体工作；承担辖区综合执法相关的文稿、会务、档案等保障工作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10、展览路街道西直门地区综合服务中心主要职责：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负责西直门地区公建维护、市政维修、绿化养护、街景照明、道路保洁等工作的巡查，协助、监督职能部门及专业队伍开展相关工作；负责西直门地区监控系统的运行值守，及时掌握区域内各种社会动态，发现问题及时协调处理，并向区街领导和各有关部门通报；负责各作业面人员的组织或招募、培训以及核定工作任务、作业标准；在西直门地区组织各类公益性社会活动，及时了解和掌握该地区公共服务需求并积极组织实施；负责承办上级部门交办的其他各项工作。</w:t>
      </w:r>
    </w:p>
    <w:p>
      <w:pPr>
        <w:spacing w:line="560" w:lineRule="exact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 xml:space="preserve">   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（二）人员构成情况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截止至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2024年12月31日，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北京市西城区人民政府展览路街道办事处行政编制15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人；事业编制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人；行政执法专项编制60人；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实际在职人数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287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，其中行政在职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187人，事业在职100人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；长期聘用临时工</w:t>
      </w:r>
      <w:r>
        <w:rPr>
          <w:rFonts w:hint="eastAsia" w:ascii="仿宋_GB2312" w:eastAsia="仿宋_GB2312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离退休人员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326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人，其中：离休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人，退休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324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人。</w:t>
      </w:r>
    </w:p>
    <w:p>
      <w:pPr>
        <w:spacing w:line="560" w:lineRule="exac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年部门预算收支及增减变化情况说明</w:t>
      </w:r>
    </w:p>
    <w:p>
      <w:pPr>
        <w:spacing w:line="560" w:lineRule="exact"/>
        <w:ind w:firstLine="643" w:firstLineChars="200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(一)收入预算情况说明</w:t>
      </w:r>
    </w:p>
    <w:p>
      <w:pPr>
        <w:pStyle w:val="33"/>
        <w:adjustRightInd w:val="0"/>
        <w:spacing w:line="560" w:lineRule="exact"/>
        <w:ind w:firstLine="640" w:firstLineChars="200"/>
        <w:rPr>
          <w:rFonts w:ascii="仿宋_GB2312" w:eastAsia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展览路街道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收入预算41230.914712万元。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具体构成为：预算内资金安排41230.914712万元（其中：市级提前下达转移支付项目资金安排4440.617670万元），财政专户资金安排0万元，其他资金安排0万元。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收入预算较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年45972.35万元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1048.47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2.23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%，</w:t>
      </w:r>
      <w:r>
        <w:rPr>
          <w:rFonts w:hint="eastAsia" w:ascii="仿宋_GB2312" w:eastAsia="仿宋_GB2312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全面贯彻落实习近平总书记关于“艰苦奋斗、勤俭节约”和“党和政府带头过紧日子”等重要指示精神，深化落实习惯过紧日子各项措施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更加严格地控制行政成本，推进节约型政府建设。</w:t>
      </w:r>
    </w:p>
    <w:p>
      <w:pPr>
        <w:spacing w:line="560" w:lineRule="exact"/>
        <w:ind w:firstLine="643" w:firstLineChars="200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(二)支出预算情况说明</w:t>
      </w:r>
    </w:p>
    <w:p>
      <w:pPr>
        <w:spacing w:line="560" w:lineRule="exact"/>
        <w:ind w:firstLine="555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1.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年支出预算按用途划分：（1）基本支出预算10394.952610万元，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与202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年10984.9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589.96万元。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（2）项目支出预算30835.962102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年34987.44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4151.48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11.87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落实习惯过紧日子各项措施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更加严格地控制行政成本，推进节约型政府建设。</w:t>
      </w:r>
    </w:p>
    <w:p>
      <w:pPr>
        <w:spacing w:line="560" w:lineRule="exact"/>
        <w:ind w:firstLine="555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年市级提前下达专项转移支付项目资金安排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4440.6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年4302.46万元增加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138.16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万元，主要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退役安置补助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2646.76万元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环境保护等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项目经费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355.91万元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</w:t>
      </w:r>
    </w:p>
    <w:p>
      <w:pPr>
        <w:spacing w:line="560" w:lineRule="exact"/>
        <w:ind w:firstLine="555"/>
        <w:outlineLvl w:val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三、主要支出情况</w:t>
      </w:r>
    </w:p>
    <w:p>
      <w:pPr>
        <w:spacing w:line="560" w:lineRule="exact"/>
        <w:ind w:firstLine="555"/>
        <w:rPr>
          <w:rFonts w:ascii="楷体_GB2312" w:hAnsi="宋体" w:eastAsia="楷体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7531"/>
      <w:bookmarkStart w:id="1" w:name="_Toc25448"/>
      <w:r>
        <w:rPr>
          <w:rFonts w:hint="eastAsia" w:ascii="楷体_GB2312" w:hAnsi="宋体" w:eastAsia="楷体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</w:t>
      </w:r>
    </w:p>
    <w:p>
      <w:pPr>
        <w:spacing w:line="560" w:lineRule="exact"/>
        <w:ind w:firstLine="55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</w:t>
      </w:r>
      <w:bookmarkEnd w:id="0"/>
      <w:bookmarkEnd w:id="1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在职、离退休人员支出、个人和家庭补助支出及公用支出。</w:t>
      </w:r>
      <w:r>
        <w:rPr>
          <w:rFonts w:hint="eastAsia" w:ascii="仿宋_GB2312" w:hAnsi="宋体" w:eastAsia="仿宋_GB2312" w:cs="宋体"/>
          <w:sz w:val="32"/>
          <w:szCs w:val="32"/>
        </w:rPr>
        <w:t>其中：人员支出预算9405.186365万元，公用支出预算989.766245万元。</w:t>
      </w:r>
    </w:p>
    <w:p>
      <w:pPr>
        <w:spacing w:line="560" w:lineRule="exact"/>
        <w:ind w:firstLine="555"/>
        <w:rPr>
          <w:rFonts w:ascii="楷体_GB2312" w:hAnsi="宋体" w:eastAsia="楷体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（二）项目支出</w:t>
      </w:r>
    </w:p>
    <w:p>
      <w:pPr>
        <w:spacing w:line="560" w:lineRule="exact"/>
        <w:ind w:firstLine="55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主要包括城市管理和环境建设、民生服务和保障、社区建设、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平安建设</w:t>
      </w:r>
      <w:r>
        <w:rPr>
          <w:rFonts w:hint="eastAsia" w:ascii="仿宋_GB2312" w:hAnsi="宋体" w:eastAsia="仿宋_GB2312" w:cs="宋体"/>
          <w:sz w:val="32"/>
          <w:szCs w:val="32"/>
        </w:rPr>
        <w:t>、地区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党建、综合保障</w:t>
      </w:r>
      <w:r>
        <w:rPr>
          <w:rFonts w:hint="eastAsia" w:ascii="仿宋_GB2312" w:hAnsi="宋体" w:eastAsia="仿宋_GB2312" w:cs="宋体"/>
          <w:sz w:val="32"/>
          <w:szCs w:val="32"/>
        </w:rPr>
        <w:t>等方面。</w:t>
      </w:r>
    </w:p>
    <w:p>
      <w:pPr>
        <w:spacing w:line="560" w:lineRule="exact"/>
        <w:ind w:firstLine="555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其中，城市管理和环境建设安排预算资金6984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万元，主要用于地区保洁、绿化、垃圾分类服务，环境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保护及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整治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城管执法等项目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55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民生服务和保障安排预算资金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8759.37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万元，主要用于低保、低收入家庭低保金及医疗救助，代管退休人员工资，残疾人、特困人员、优抚人员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等各类特殊困难群体救助补助，社会化退休管理和服务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及公益性岗位补贴等。</w:t>
      </w:r>
    </w:p>
    <w:p>
      <w:pPr>
        <w:spacing w:line="560" w:lineRule="exact"/>
        <w:ind w:firstLine="555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社区建设安排预算资金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9226.45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万元，主要用于社区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活动和服务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，社区文化、教育、科普、体育方面支出，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社区工作者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、安全员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食药安全监察员工资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及福利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p>
      <w:pPr>
        <w:spacing w:line="560" w:lineRule="exact"/>
        <w:ind w:firstLine="555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平安建设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安排预算资金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1023.57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万元，主要用于地区综合治理、安全生产及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民兵征兵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等工作。</w:t>
      </w:r>
    </w:p>
    <w:p>
      <w:pPr>
        <w:spacing w:line="560" w:lineRule="exact"/>
        <w:ind w:firstLine="555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地区党建安排预算资金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2428.58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党组织服务群众、人大政协、工青团妇支出等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55"/>
        <w:rPr>
          <w:rFonts w:hint="default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综合保障安排预算资金2413.10万元,主要用于接诉即办、政务服务、政务宣传、后勤管理等方面。</w:t>
      </w:r>
    </w:p>
    <w:p>
      <w:pPr>
        <w:spacing w:line="560" w:lineRule="exact"/>
        <w:ind w:firstLine="555"/>
        <w:outlineLvl w:val="0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部门“三公”经费财政拨款预算说明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（一）“三公”经费的单位范围</w:t>
      </w:r>
    </w:p>
    <w:p>
      <w:pPr>
        <w:spacing w:line="560" w:lineRule="exact"/>
        <w:ind w:firstLine="555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北京市西城区人民政府展览路街道办事处部门预算中因公出国（境）费、公务接待费、公务用车购置及运行维护费的支出单位包括1个所属单位，即北京市西城区人民政府展览路街道办事处。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（二）“三公”经费财政拨款预算说明</w:t>
      </w:r>
    </w:p>
    <w:p>
      <w:pPr>
        <w:spacing w:line="560" w:lineRule="exact"/>
        <w:ind w:firstLine="555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年部门预算“三公”经费财政拨款预算安排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spacing w:line="560" w:lineRule="exact"/>
        <w:ind w:firstLine="555"/>
        <w:rPr>
          <w:rFonts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（1）因公出国（境）费</w:t>
      </w:r>
    </w:p>
    <w:p>
      <w:pPr>
        <w:spacing w:line="560" w:lineRule="exact"/>
        <w:ind w:firstLine="555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年财政拨款预算安排0万元。因公出国（境）经费预算由全区统一安排，街道不单独做预算。</w:t>
      </w:r>
    </w:p>
    <w:p>
      <w:pPr>
        <w:spacing w:line="560" w:lineRule="exact"/>
        <w:ind w:firstLine="555"/>
        <w:rPr>
          <w:rFonts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（2）公务接待费</w:t>
      </w:r>
    </w:p>
    <w:p>
      <w:pPr>
        <w:spacing w:line="560" w:lineRule="exact"/>
        <w:ind w:firstLine="555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年财政拨款预算安排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555"/>
        <w:rPr>
          <w:rFonts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（3）公务用车购置及运行维护费</w:t>
      </w:r>
    </w:p>
    <w:p>
      <w:pPr>
        <w:spacing w:line="560" w:lineRule="exact"/>
        <w:ind w:firstLine="555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年公务用车数量为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辆，财政拨款预算安排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万元，其中公务用车购置费0万元，公务用车运行维护费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较202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年预算安排2.45万元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0.65万元，原因为压减公务用车运行费用。</w:t>
      </w:r>
    </w:p>
    <w:p>
      <w:pPr>
        <w:spacing w:line="560" w:lineRule="exact"/>
        <w:ind w:firstLine="55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其他情况说明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（一）机构运行经费说明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年本部门（含下属单位）履行一般行政事业管理职能、维持机关运行，用于一般公共预算安排的行政运行经费，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合计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972.14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万元。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（二）政府采购预算说明</w:t>
      </w:r>
    </w:p>
    <w:p>
      <w:pPr>
        <w:spacing w:line="560" w:lineRule="exact"/>
        <w:ind w:firstLine="555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</w:rPr>
        <w:t>年涉及政府采购项目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个，本年预算金额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（三）政府购买服务预算说明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</w:rPr>
        <w:t>年涉及政府购买服务项目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2"/>
          <w:szCs w:val="32"/>
        </w:rPr>
        <w:t>个，本年预算金额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5342.14</w:t>
      </w:r>
      <w:r>
        <w:rPr>
          <w:rFonts w:hint="eastAsia" w:ascii="仿宋_GB2312" w:hAnsi="宋体" w:eastAsia="仿宋_GB2312" w:cs="宋体"/>
          <w:sz w:val="32"/>
          <w:szCs w:val="32"/>
        </w:rPr>
        <w:t>万元。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（四）绩效目标情况及绩效评价结果说明</w:t>
      </w:r>
    </w:p>
    <w:p>
      <w:pPr>
        <w:spacing w:line="560" w:lineRule="exact"/>
        <w:ind w:firstLine="555"/>
        <w:rPr>
          <w:rFonts w:ascii="仿宋_GB2312" w:eastAsia="仿宋_GB2312" w:cs="楷体_GB2312"/>
          <w:bCs/>
          <w:sz w:val="32"/>
          <w:szCs w:val="32"/>
        </w:rPr>
      </w:pPr>
      <w:r>
        <w:rPr>
          <w:rFonts w:hint="eastAsia" w:ascii="仿宋_GB2312" w:eastAsia="仿宋_GB2312" w:cs="楷体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 w:cs="楷体_GB2312"/>
          <w:bCs/>
          <w:sz w:val="32"/>
          <w:szCs w:val="32"/>
        </w:rPr>
        <w:t>年部门预算申报项目</w:t>
      </w:r>
      <w:r>
        <w:rPr>
          <w:rFonts w:hint="eastAsia" w:ascii="仿宋_GB2312" w:eastAsia="仿宋_GB2312" w:cs="楷体_GB2312"/>
          <w:bCs/>
          <w:sz w:val="32"/>
          <w:szCs w:val="32"/>
          <w:lang w:val="en-US" w:eastAsia="zh-CN"/>
        </w:rPr>
        <w:t>139</w:t>
      </w:r>
      <w:r>
        <w:rPr>
          <w:rFonts w:hint="eastAsia" w:ascii="仿宋_GB2312" w:eastAsia="仿宋_GB2312" w:cs="楷体_GB2312"/>
          <w:bCs/>
          <w:sz w:val="32"/>
          <w:szCs w:val="32"/>
        </w:rPr>
        <w:t>个，填报绩效目标的项目数量为</w:t>
      </w:r>
      <w:r>
        <w:rPr>
          <w:rFonts w:hint="eastAsia" w:ascii="仿宋_GB2312" w:eastAsia="仿宋_GB2312" w:cs="楷体_GB2312"/>
          <w:bCs/>
          <w:sz w:val="32"/>
          <w:szCs w:val="32"/>
          <w:lang w:val="en-US" w:eastAsia="zh-CN"/>
        </w:rPr>
        <w:t>139</w:t>
      </w:r>
      <w:r>
        <w:rPr>
          <w:rFonts w:hint="eastAsia" w:ascii="仿宋_GB2312" w:eastAsia="仿宋_GB2312" w:cs="楷体_GB2312"/>
          <w:bCs/>
          <w:sz w:val="32"/>
          <w:szCs w:val="32"/>
        </w:rPr>
        <w:t>个，其中100万以上的项目共计</w:t>
      </w:r>
      <w:r>
        <w:rPr>
          <w:rFonts w:hint="eastAsia" w:ascii="仿宋_GB2312" w:eastAsia="仿宋_GB2312" w:cs="楷体_GB2312"/>
          <w:bCs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 w:cs="楷体_GB2312"/>
          <w:bCs/>
          <w:sz w:val="32"/>
          <w:szCs w:val="32"/>
        </w:rPr>
        <w:t>个。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开展财政支出项目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绩效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评估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5项目，涉及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金额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918.5万元，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通过向评价专家组汇报部门或被评价项目的整体绩效情况等方式，着重从立项必要性、投入经济性、绩效目标合理性、实施方案可行性、筹资合理性等方面的展开事前绩效评估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，根据评审结果，节约财政资金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145.99万元。开展财政支出成本绩效分析2项，将评审结果应用到2025年预算编制中，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切实做到了“花钱必问效，无效必问责”，不断提高资源配置效率和使用效益。</w:t>
      </w:r>
    </w:p>
    <w:p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（五）国有资本经营预算财政拨款情况说明</w:t>
      </w:r>
    </w:p>
    <w:p>
      <w:pPr>
        <w:spacing w:line="560" w:lineRule="exact"/>
        <w:ind w:firstLine="555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本单位不涉及此情况。</w:t>
      </w:r>
    </w:p>
    <w:p>
      <w:pPr>
        <w:spacing w:line="560" w:lineRule="exact"/>
        <w:ind w:firstLine="556"/>
        <w:rPr>
          <w:rFonts w:asci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highlight w:val="none"/>
        </w:rPr>
        <w:t>（六）国有资产占用情况说明</w:t>
      </w:r>
    </w:p>
    <w:p>
      <w:pPr>
        <w:spacing w:line="560" w:lineRule="exact"/>
        <w:ind w:firstLine="556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截止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年底，本部门固定资产原值总额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10826.34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万元，其中：车辆1台，原值16.42万元；单位价值50万元以上的通用设备4台（套），原值总额290.49万元，单位价值100万元以上的专用设备0台（套）、0万元。</w:t>
      </w:r>
    </w:p>
    <w:p>
      <w:pPr>
        <w:spacing w:line="560" w:lineRule="exact"/>
        <w:ind w:firstLine="556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年部门预算：安排购置车辆0台，0万元；安排购置单位价值50万元以上的通用设备0台（套），0万元，安排购置单位价值100万元以上的专用设备0台（套），0万元。</w:t>
      </w:r>
    </w:p>
    <w:p>
      <w:pPr>
        <w:spacing w:line="560" w:lineRule="exact"/>
        <w:ind w:firstLine="55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六、名称解释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360" w:lineRule="auto"/>
        <w:rPr>
          <w:rFonts w:ascii="仿宋_GB2312" w:eastAsia="仿宋_GB2312"/>
          <w:w w:val="9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hideSpellingError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17"/>
    <w:rsid w:val="00001FD7"/>
    <w:rsid w:val="00002E40"/>
    <w:rsid w:val="0000389E"/>
    <w:rsid w:val="000065A2"/>
    <w:rsid w:val="000103E9"/>
    <w:rsid w:val="0001132D"/>
    <w:rsid w:val="00012A56"/>
    <w:rsid w:val="00016A58"/>
    <w:rsid w:val="00017AEE"/>
    <w:rsid w:val="0002582B"/>
    <w:rsid w:val="00031D14"/>
    <w:rsid w:val="00035DE7"/>
    <w:rsid w:val="0004103D"/>
    <w:rsid w:val="00043ABC"/>
    <w:rsid w:val="000455FE"/>
    <w:rsid w:val="00050955"/>
    <w:rsid w:val="00052A4E"/>
    <w:rsid w:val="000539FA"/>
    <w:rsid w:val="0005451B"/>
    <w:rsid w:val="00054F48"/>
    <w:rsid w:val="00055CF9"/>
    <w:rsid w:val="00055FE3"/>
    <w:rsid w:val="00057369"/>
    <w:rsid w:val="00057441"/>
    <w:rsid w:val="00060B0B"/>
    <w:rsid w:val="00063A6A"/>
    <w:rsid w:val="0006599D"/>
    <w:rsid w:val="00067169"/>
    <w:rsid w:val="00071C48"/>
    <w:rsid w:val="00072BB8"/>
    <w:rsid w:val="0007492B"/>
    <w:rsid w:val="00074F48"/>
    <w:rsid w:val="0008093D"/>
    <w:rsid w:val="00080E73"/>
    <w:rsid w:val="0008111C"/>
    <w:rsid w:val="000813AF"/>
    <w:rsid w:val="00081A5B"/>
    <w:rsid w:val="00083868"/>
    <w:rsid w:val="00092F89"/>
    <w:rsid w:val="00097846"/>
    <w:rsid w:val="000A0D77"/>
    <w:rsid w:val="000A12C3"/>
    <w:rsid w:val="000A1DE2"/>
    <w:rsid w:val="000A44E1"/>
    <w:rsid w:val="000B0461"/>
    <w:rsid w:val="000B59D9"/>
    <w:rsid w:val="000C02CA"/>
    <w:rsid w:val="000C27EB"/>
    <w:rsid w:val="000C7516"/>
    <w:rsid w:val="000D3390"/>
    <w:rsid w:val="000D774E"/>
    <w:rsid w:val="000E3E73"/>
    <w:rsid w:val="000E70FE"/>
    <w:rsid w:val="000F3AB3"/>
    <w:rsid w:val="000F59B2"/>
    <w:rsid w:val="000F673D"/>
    <w:rsid w:val="000F72D1"/>
    <w:rsid w:val="000F7629"/>
    <w:rsid w:val="000F7C38"/>
    <w:rsid w:val="0010291D"/>
    <w:rsid w:val="00103710"/>
    <w:rsid w:val="001054AB"/>
    <w:rsid w:val="001067D1"/>
    <w:rsid w:val="00114FB3"/>
    <w:rsid w:val="00117E5E"/>
    <w:rsid w:val="00120FEB"/>
    <w:rsid w:val="001376E9"/>
    <w:rsid w:val="00137D39"/>
    <w:rsid w:val="00144088"/>
    <w:rsid w:val="00145124"/>
    <w:rsid w:val="0015053A"/>
    <w:rsid w:val="00155E88"/>
    <w:rsid w:val="00157C4D"/>
    <w:rsid w:val="00170185"/>
    <w:rsid w:val="001704ED"/>
    <w:rsid w:val="0017596A"/>
    <w:rsid w:val="00181B6B"/>
    <w:rsid w:val="00183FDD"/>
    <w:rsid w:val="00186B0F"/>
    <w:rsid w:val="00191628"/>
    <w:rsid w:val="00192F21"/>
    <w:rsid w:val="00194B7A"/>
    <w:rsid w:val="001A0FFC"/>
    <w:rsid w:val="001A3358"/>
    <w:rsid w:val="001A37C8"/>
    <w:rsid w:val="001A50FE"/>
    <w:rsid w:val="001A7A6A"/>
    <w:rsid w:val="001B05DC"/>
    <w:rsid w:val="001B0B76"/>
    <w:rsid w:val="001B419B"/>
    <w:rsid w:val="001B66FA"/>
    <w:rsid w:val="001C0497"/>
    <w:rsid w:val="001C09E4"/>
    <w:rsid w:val="001C0B42"/>
    <w:rsid w:val="001C4A00"/>
    <w:rsid w:val="001C4B45"/>
    <w:rsid w:val="001C67F3"/>
    <w:rsid w:val="001D1633"/>
    <w:rsid w:val="001D21EA"/>
    <w:rsid w:val="001E25F7"/>
    <w:rsid w:val="001E2D09"/>
    <w:rsid w:val="001E3807"/>
    <w:rsid w:val="001E4BC4"/>
    <w:rsid w:val="001F164D"/>
    <w:rsid w:val="001F2AB9"/>
    <w:rsid w:val="001F5459"/>
    <w:rsid w:val="00203A0B"/>
    <w:rsid w:val="00207449"/>
    <w:rsid w:val="00222D61"/>
    <w:rsid w:val="0022567B"/>
    <w:rsid w:val="0023127D"/>
    <w:rsid w:val="00245F76"/>
    <w:rsid w:val="0025518E"/>
    <w:rsid w:val="002571EC"/>
    <w:rsid w:val="00261348"/>
    <w:rsid w:val="00266362"/>
    <w:rsid w:val="002722A3"/>
    <w:rsid w:val="0027346C"/>
    <w:rsid w:val="00275539"/>
    <w:rsid w:val="002765DF"/>
    <w:rsid w:val="00281C23"/>
    <w:rsid w:val="00283165"/>
    <w:rsid w:val="002872A0"/>
    <w:rsid w:val="0029412D"/>
    <w:rsid w:val="002974BE"/>
    <w:rsid w:val="0029793D"/>
    <w:rsid w:val="002A0046"/>
    <w:rsid w:val="002A0688"/>
    <w:rsid w:val="002A0C5F"/>
    <w:rsid w:val="002A6CBF"/>
    <w:rsid w:val="002B6D3D"/>
    <w:rsid w:val="002C7922"/>
    <w:rsid w:val="002D0D63"/>
    <w:rsid w:val="002D48C8"/>
    <w:rsid w:val="002D5AF1"/>
    <w:rsid w:val="002D73E9"/>
    <w:rsid w:val="002E0F74"/>
    <w:rsid w:val="002E59D2"/>
    <w:rsid w:val="002E78E1"/>
    <w:rsid w:val="002F48B1"/>
    <w:rsid w:val="002F5104"/>
    <w:rsid w:val="00307AEC"/>
    <w:rsid w:val="003116BB"/>
    <w:rsid w:val="00311788"/>
    <w:rsid w:val="00317E1D"/>
    <w:rsid w:val="00323AB6"/>
    <w:rsid w:val="00333974"/>
    <w:rsid w:val="003362A8"/>
    <w:rsid w:val="003503CB"/>
    <w:rsid w:val="00357FEF"/>
    <w:rsid w:val="00363A5B"/>
    <w:rsid w:val="00364C53"/>
    <w:rsid w:val="00370EA1"/>
    <w:rsid w:val="0037185C"/>
    <w:rsid w:val="00372057"/>
    <w:rsid w:val="00377525"/>
    <w:rsid w:val="00377EE5"/>
    <w:rsid w:val="0038037E"/>
    <w:rsid w:val="0038157F"/>
    <w:rsid w:val="003843CA"/>
    <w:rsid w:val="003855D7"/>
    <w:rsid w:val="00386486"/>
    <w:rsid w:val="00390438"/>
    <w:rsid w:val="00391F84"/>
    <w:rsid w:val="003951FE"/>
    <w:rsid w:val="003A193A"/>
    <w:rsid w:val="003A1BE0"/>
    <w:rsid w:val="003B31F8"/>
    <w:rsid w:val="003B4D85"/>
    <w:rsid w:val="003B6F92"/>
    <w:rsid w:val="003B77B3"/>
    <w:rsid w:val="003C017B"/>
    <w:rsid w:val="003C076C"/>
    <w:rsid w:val="003C0B65"/>
    <w:rsid w:val="003C2AC1"/>
    <w:rsid w:val="003C2CD5"/>
    <w:rsid w:val="003C3725"/>
    <w:rsid w:val="003C55FB"/>
    <w:rsid w:val="003C7953"/>
    <w:rsid w:val="003D1934"/>
    <w:rsid w:val="003D4618"/>
    <w:rsid w:val="003D525A"/>
    <w:rsid w:val="003D6737"/>
    <w:rsid w:val="003D7C11"/>
    <w:rsid w:val="003E0DF2"/>
    <w:rsid w:val="003F11FC"/>
    <w:rsid w:val="00400D61"/>
    <w:rsid w:val="00402106"/>
    <w:rsid w:val="0040383E"/>
    <w:rsid w:val="00407AA2"/>
    <w:rsid w:val="00415736"/>
    <w:rsid w:val="00420323"/>
    <w:rsid w:val="004219AE"/>
    <w:rsid w:val="004234DE"/>
    <w:rsid w:val="00432036"/>
    <w:rsid w:val="0043510C"/>
    <w:rsid w:val="0043537E"/>
    <w:rsid w:val="00435574"/>
    <w:rsid w:val="00442D93"/>
    <w:rsid w:val="004553BE"/>
    <w:rsid w:val="00455DFC"/>
    <w:rsid w:val="00463616"/>
    <w:rsid w:val="00464218"/>
    <w:rsid w:val="00464638"/>
    <w:rsid w:val="00466F22"/>
    <w:rsid w:val="00467494"/>
    <w:rsid w:val="00470C5A"/>
    <w:rsid w:val="004747BB"/>
    <w:rsid w:val="00476BED"/>
    <w:rsid w:val="0047768B"/>
    <w:rsid w:val="00481002"/>
    <w:rsid w:val="00495B13"/>
    <w:rsid w:val="004A0038"/>
    <w:rsid w:val="004A4BBF"/>
    <w:rsid w:val="004A62E6"/>
    <w:rsid w:val="004A7AE6"/>
    <w:rsid w:val="004B105A"/>
    <w:rsid w:val="004B28E6"/>
    <w:rsid w:val="004B44B9"/>
    <w:rsid w:val="004B4B66"/>
    <w:rsid w:val="004B6EA9"/>
    <w:rsid w:val="004B713C"/>
    <w:rsid w:val="004B7B69"/>
    <w:rsid w:val="004C09AC"/>
    <w:rsid w:val="004C4810"/>
    <w:rsid w:val="004C5ACE"/>
    <w:rsid w:val="004D195B"/>
    <w:rsid w:val="004E2FCD"/>
    <w:rsid w:val="004E3DB5"/>
    <w:rsid w:val="004E425E"/>
    <w:rsid w:val="004E62FE"/>
    <w:rsid w:val="004F0DA0"/>
    <w:rsid w:val="004F1FEF"/>
    <w:rsid w:val="0050201D"/>
    <w:rsid w:val="005020F8"/>
    <w:rsid w:val="00502D17"/>
    <w:rsid w:val="00504065"/>
    <w:rsid w:val="005065D2"/>
    <w:rsid w:val="00507F25"/>
    <w:rsid w:val="0051099C"/>
    <w:rsid w:val="00513718"/>
    <w:rsid w:val="00515838"/>
    <w:rsid w:val="005164C7"/>
    <w:rsid w:val="00525933"/>
    <w:rsid w:val="0052676A"/>
    <w:rsid w:val="0053018F"/>
    <w:rsid w:val="00543E1C"/>
    <w:rsid w:val="005504FF"/>
    <w:rsid w:val="00550612"/>
    <w:rsid w:val="0055284D"/>
    <w:rsid w:val="00555309"/>
    <w:rsid w:val="00556D5E"/>
    <w:rsid w:val="0056264F"/>
    <w:rsid w:val="005655B3"/>
    <w:rsid w:val="00566E35"/>
    <w:rsid w:val="00570213"/>
    <w:rsid w:val="00570287"/>
    <w:rsid w:val="0057350B"/>
    <w:rsid w:val="00574208"/>
    <w:rsid w:val="00574828"/>
    <w:rsid w:val="00581A69"/>
    <w:rsid w:val="005827C5"/>
    <w:rsid w:val="00582F95"/>
    <w:rsid w:val="005861DC"/>
    <w:rsid w:val="005864F5"/>
    <w:rsid w:val="00587B5C"/>
    <w:rsid w:val="0059730D"/>
    <w:rsid w:val="005A0F5C"/>
    <w:rsid w:val="005A259F"/>
    <w:rsid w:val="005A33C0"/>
    <w:rsid w:val="005A36FD"/>
    <w:rsid w:val="005A397D"/>
    <w:rsid w:val="005A5CE7"/>
    <w:rsid w:val="005B0B06"/>
    <w:rsid w:val="005B2382"/>
    <w:rsid w:val="005B3A32"/>
    <w:rsid w:val="005B5637"/>
    <w:rsid w:val="005B7E80"/>
    <w:rsid w:val="005C08E8"/>
    <w:rsid w:val="005C2FB9"/>
    <w:rsid w:val="005C39F1"/>
    <w:rsid w:val="005C67F2"/>
    <w:rsid w:val="005D50FD"/>
    <w:rsid w:val="005E1A0C"/>
    <w:rsid w:val="005E2D23"/>
    <w:rsid w:val="005E5138"/>
    <w:rsid w:val="005E519F"/>
    <w:rsid w:val="005F276A"/>
    <w:rsid w:val="005F6926"/>
    <w:rsid w:val="00603648"/>
    <w:rsid w:val="006075A8"/>
    <w:rsid w:val="00611BB2"/>
    <w:rsid w:val="00612659"/>
    <w:rsid w:val="00622485"/>
    <w:rsid w:val="006236AE"/>
    <w:rsid w:val="006237B5"/>
    <w:rsid w:val="00626AA6"/>
    <w:rsid w:val="00630D13"/>
    <w:rsid w:val="00630FAA"/>
    <w:rsid w:val="006335D1"/>
    <w:rsid w:val="00644753"/>
    <w:rsid w:val="00645A2A"/>
    <w:rsid w:val="00646DE7"/>
    <w:rsid w:val="00650EBD"/>
    <w:rsid w:val="00652DBF"/>
    <w:rsid w:val="006543AD"/>
    <w:rsid w:val="0065453F"/>
    <w:rsid w:val="00660F5C"/>
    <w:rsid w:val="006629F5"/>
    <w:rsid w:val="00664C72"/>
    <w:rsid w:val="006654B3"/>
    <w:rsid w:val="00666126"/>
    <w:rsid w:val="006667EC"/>
    <w:rsid w:val="00681AF7"/>
    <w:rsid w:val="006826B9"/>
    <w:rsid w:val="00683370"/>
    <w:rsid w:val="006847C8"/>
    <w:rsid w:val="00684FD6"/>
    <w:rsid w:val="0069553B"/>
    <w:rsid w:val="006975CD"/>
    <w:rsid w:val="006A2A88"/>
    <w:rsid w:val="006A379B"/>
    <w:rsid w:val="006A6A36"/>
    <w:rsid w:val="006A7A01"/>
    <w:rsid w:val="006B21CE"/>
    <w:rsid w:val="006B7C30"/>
    <w:rsid w:val="006D0265"/>
    <w:rsid w:val="006D08C7"/>
    <w:rsid w:val="006D4E45"/>
    <w:rsid w:val="006D640C"/>
    <w:rsid w:val="006E5F91"/>
    <w:rsid w:val="006F133C"/>
    <w:rsid w:val="006F2FB5"/>
    <w:rsid w:val="007012FA"/>
    <w:rsid w:val="007061F5"/>
    <w:rsid w:val="0071540A"/>
    <w:rsid w:val="007165FB"/>
    <w:rsid w:val="007167C8"/>
    <w:rsid w:val="0072095D"/>
    <w:rsid w:val="007213FA"/>
    <w:rsid w:val="00731D0E"/>
    <w:rsid w:val="00733468"/>
    <w:rsid w:val="0073719A"/>
    <w:rsid w:val="00740500"/>
    <w:rsid w:val="00740C92"/>
    <w:rsid w:val="007412CF"/>
    <w:rsid w:val="00742333"/>
    <w:rsid w:val="0074574D"/>
    <w:rsid w:val="0075453C"/>
    <w:rsid w:val="0076420C"/>
    <w:rsid w:val="00765A16"/>
    <w:rsid w:val="0077439C"/>
    <w:rsid w:val="00774620"/>
    <w:rsid w:val="00777889"/>
    <w:rsid w:val="007819DD"/>
    <w:rsid w:val="0078532A"/>
    <w:rsid w:val="00791889"/>
    <w:rsid w:val="007A11A3"/>
    <w:rsid w:val="007A1B37"/>
    <w:rsid w:val="007A2DBB"/>
    <w:rsid w:val="007A460B"/>
    <w:rsid w:val="007A4FEF"/>
    <w:rsid w:val="007A501F"/>
    <w:rsid w:val="007A6F2E"/>
    <w:rsid w:val="007A7D00"/>
    <w:rsid w:val="007B078C"/>
    <w:rsid w:val="007B0C58"/>
    <w:rsid w:val="007B4EF2"/>
    <w:rsid w:val="007B6141"/>
    <w:rsid w:val="007C06CD"/>
    <w:rsid w:val="007C4C08"/>
    <w:rsid w:val="007C51D2"/>
    <w:rsid w:val="007D0E6A"/>
    <w:rsid w:val="007D3758"/>
    <w:rsid w:val="007D6139"/>
    <w:rsid w:val="007E0EF1"/>
    <w:rsid w:val="007E4F26"/>
    <w:rsid w:val="00800578"/>
    <w:rsid w:val="00802AD6"/>
    <w:rsid w:val="00816AEE"/>
    <w:rsid w:val="00817B04"/>
    <w:rsid w:val="00820181"/>
    <w:rsid w:val="00821342"/>
    <w:rsid w:val="008227B1"/>
    <w:rsid w:val="008260CE"/>
    <w:rsid w:val="0083427F"/>
    <w:rsid w:val="00843AFD"/>
    <w:rsid w:val="00844E3B"/>
    <w:rsid w:val="0084594B"/>
    <w:rsid w:val="00846079"/>
    <w:rsid w:val="00846A88"/>
    <w:rsid w:val="0084774E"/>
    <w:rsid w:val="00854A82"/>
    <w:rsid w:val="00856A12"/>
    <w:rsid w:val="008570B2"/>
    <w:rsid w:val="00857DDD"/>
    <w:rsid w:val="00860578"/>
    <w:rsid w:val="008631B9"/>
    <w:rsid w:val="0086639C"/>
    <w:rsid w:val="00872B1B"/>
    <w:rsid w:val="00872D0A"/>
    <w:rsid w:val="00874B5B"/>
    <w:rsid w:val="00880A5F"/>
    <w:rsid w:val="0088108D"/>
    <w:rsid w:val="00885D44"/>
    <w:rsid w:val="00885F03"/>
    <w:rsid w:val="00886A6A"/>
    <w:rsid w:val="00890F9D"/>
    <w:rsid w:val="008979C0"/>
    <w:rsid w:val="00897C80"/>
    <w:rsid w:val="008A4B4D"/>
    <w:rsid w:val="008B1D23"/>
    <w:rsid w:val="008C4A53"/>
    <w:rsid w:val="008C5465"/>
    <w:rsid w:val="008D07FB"/>
    <w:rsid w:val="008E5E56"/>
    <w:rsid w:val="008F2B80"/>
    <w:rsid w:val="008F4152"/>
    <w:rsid w:val="008F470E"/>
    <w:rsid w:val="008F7ACC"/>
    <w:rsid w:val="00905925"/>
    <w:rsid w:val="0090693B"/>
    <w:rsid w:val="009100B7"/>
    <w:rsid w:val="009149EB"/>
    <w:rsid w:val="00914D95"/>
    <w:rsid w:val="00916326"/>
    <w:rsid w:val="009163B5"/>
    <w:rsid w:val="009168AC"/>
    <w:rsid w:val="00920036"/>
    <w:rsid w:val="00921E8D"/>
    <w:rsid w:val="009221AD"/>
    <w:rsid w:val="00923053"/>
    <w:rsid w:val="00924361"/>
    <w:rsid w:val="00924F0A"/>
    <w:rsid w:val="00926C40"/>
    <w:rsid w:val="00930E44"/>
    <w:rsid w:val="00930F3A"/>
    <w:rsid w:val="00930F3D"/>
    <w:rsid w:val="009339C8"/>
    <w:rsid w:val="00933E36"/>
    <w:rsid w:val="0093452E"/>
    <w:rsid w:val="00934967"/>
    <w:rsid w:val="009412AF"/>
    <w:rsid w:val="0094604C"/>
    <w:rsid w:val="00947D17"/>
    <w:rsid w:val="00950C4F"/>
    <w:rsid w:val="00964C26"/>
    <w:rsid w:val="009679F9"/>
    <w:rsid w:val="00967CE5"/>
    <w:rsid w:val="00973ABB"/>
    <w:rsid w:val="00982706"/>
    <w:rsid w:val="00987D62"/>
    <w:rsid w:val="00991AAA"/>
    <w:rsid w:val="009A135A"/>
    <w:rsid w:val="009A33BC"/>
    <w:rsid w:val="009A69AE"/>
    <w:rsid w:val="009B13FB"/>
    <w:rsid w:val="009B5428"/>
    <w:rsid w:val="009C039B"/>
    <w:rsid w:val="009C0B11"/>
    <w:rsid w:val="009C5A87"/>
    <w:rsid w:val="009C5B21"/>
    <w:rsid w:val="009C7F2A"/>
    <w:rsid w:val="009D3E09"/>
    <w:rsid w:val="009D549F"/>
    <w:rsid w:val="009E11F9"/>
    <w:rsid w:val="009E424B"/>
    <w:rsid w:val="009E66A4"/>
    <w:rsid w:val="009E7386"/>
    <w:rsid w:val="009F2ECA"/>
    <w:rsid w:val="00A01CF1"/>
    <w:rsid w:val="00A034A5"/>
    <w:rsid w:val="00A04612"/>
    <w:rsid w:val="00A072F1"/>
    <w:rsid w:val="00A10EDD"/>
    <w:rsid w:val="00A13EC7"/>
    <w:rsid w:val="00A201E5"/>
    <w:rsid w:val="00A2198E"/>
    <w:rsid w:val="00A23014"/>
    <w:rsid w:val="00A2316D"/>
    <w:rsid w:val="00A24EC3"/>
    <w:rsid w:val="00A26DBA"/>
    <w:rsid w:val="00A270D0"/>
    <w:rsid w:val="00A30484"/>
    <w:rsid w:val="00A31874"/>
    <w:rsid w:val="00A33506"/>
    <w:rsid w:val="00A33D9D"/>
    <w:rsid w:val="00A404F3"/>
    <w:rsid w:val="00A41B12"/>
    <w:rsid w:val="00A431CF"/>
    <w:rsid w:val="00A44211"/>
    <w:rsid w:val="00A46FB2"/>
    <w:rsid w:val="00A51CFD"/>
    <w:rsid w:val="00A56812"/>
    <w:rsid w:val="00A56A3A"/>
    <w:rsid w:val="00A613A3"/>
    <w:rsid w:val="00A614E2"/>
    <w:rsid w:val="00A64D39"/>
    <w:rsid w:val="00A6571A"/>
    <w:rsid w:val="00A66C2E"/>
    <w:rsid w:val="00A70A08"/>
    <w:rsid w:val="00A76A08"/>
    <w:rsid w:val="00A77714"/>
    <w:rsid w:val="00A800B9"/>
    <w:rsid w:val="00A9037A"/>
    <w:rsid w:val="00A96769"/>
    <w:rsid w:val="00A97758"/>
    <w:rsid w:val="00A97933"/>
    <w:rsid w:val="00AA35BD"/>
    <w:rsid w:val="00AA5DE3"/>
    <w:rsid w:val="00AB2307"/>
    <w:rsid w:val="00AB52BF"/>
    <w:rsid w:val="00AB6B10"/>
    <w:rsid w:val="00AC035E"/>
    <w:rsid w:val="00AC057D"/>
    <w:rsid w:val="00AC35F3"/>
    <w:rsid w:val="00AC4539"/>
    <w:rsid w:val="00AD47AB"/>
    <w:rsid w:val="00AD5F26"/>
    <w:rsid w:val="00AE4D3D"/>
    <w:rsid w:val="00AF0096"/>
    <w:rsid w:val="00B00A76"/>
    <w:rsid w:val="00B01028"/>
    <w:rsid w:val="00B02380"/>
    <w:rsid w:val="00B0352C"/>
    <w:rsid w:val="00B04A8C"/>
    <w:rsid w:val="00B04E08"/>
    <w:rsid w:val="00B05014"/>
    <w:rsid w:val="00B153A5"/>
    <w:rsid w:val="00B16DD5"/>
    <w:rsid w:val="00B16EA9"/>
    <w:rsid w:val="00B214C5"/>
    <w:rsid w:val="00B241AD"/>
    <w:rsid w:val="00B24C01"/>
    <w:rsid w:val="00B252C9"/>
    <w:rsid w:val="00B320DE"/>
    <w:rsid w:val="00B42D91"/>
    <w:rsid w:val="00B4358E"/>
    <w:rsid w:val="00B446BE"/>
    <w:rsid w:val="00B453F2"/>
    <w:rsid w:val="00B46BC6"/>
    <w:rsid w:val="00B50494"/>
    <w:rsid w:val="00B50D73"/>
    <w:rsid w:val="00B54761"/>
    <w:rsid w:val="00B56F23"/>
    <w:rsid w:val="00B61825"/>
    <w:rsid w:val="00B656D5"/>
    <w:rsid w:val="00B71BF5"/>
    <w:rsid w:val="00B73492"/>
    <w:rsid w:val="00B8363A"/>
    <w:rsid w:val="00B91283"/>
    <w:rsid w:val="00B951F2"/>
    <w:rsid w:val="00B978A0"/>
    <w:rsid w:val="00BA0A1C"/>
    <w:rsid w:val="00BA287A"/>
    <w:rsid w:val="00BA3F8C"/>
    <w:rsid w:val="00BA554D"/>
    <w:rsid w:val="00BA5FF1"/>
    <w:rsid w:val="00BA600F"/>
    <w:rsid w:val="00BB1BCB"/>
    <w:rsid w:val="00BB38EB"/>
    <w:rsid w:val="00BB5422"/>
    <w:rsid w:val="00BC18EA"/>
    <w:rsid w:val="00BC5A24"/>
    <w:rsid w:val="00BD488A"/>
    <w:rsid w:val="00BD76BF"/>
    <w:rsid w:val="00BE0F5C"/>
    <w:rsid w:val="00BE577A"/>
    <w:rsid w:val="00BE7B59"/>
    <w:rsid w:val="00BF2F0F"/>
    <w:rsid w:val="00BF5D9A"/>
    <w:rsid w:val="00BF7549"/>
    <w:rsid w:val="00C065F2"/>
    <w:rsid w:val="00C11A7A"/>
    <w:rsid w:val="00C12598"/>
    <w:rsid w:val="00C12BC4"/>
    <w:rsid w:val="00C15261"/>
    <w:rsid w:val="00C15612"/>
    <w:rsid w:val="00C15AAC"/>
    <w:rsid w:val="00C15F30"/>
    <w:rsid w:val="00C1683E"/>
    <w:rsid w:val="00C20DA0"/>
    <w:rsid w:val="00C21C16"/>
    <w:rsid w:val="00C23979"/>
    <w:rsid w:val="00C31242"/>
    <w:rsid w:val="00C32AFD"/>
    <w:rsid w:val="00C3432C"/>
    <w:rsid w:val="00C376ED"/>
    <w:rsid w:val="00C37C5D"/>
    <w:rsid w:val="00C43317"/>
    <w:rsid w:val="00C45C48"/>
    <w:rsid w:val="00C46C07"/>
    <w:rsid w:val="00C62A10"/>
    <w:rsid w:val="00C70F90"/>
    <w:rsid w:val="00C741A1"/>
    <w:rsid w:val="00C7532C"/>
    <w:rsid w:val="00C80B8B"/>
    <w:rsid w:val="00C80BF7"/>
    <w:rsid w:val="00C817D2"/>
    <w:rsid w:val="00C84197"/>
    <w:rsid w:val="00C84898"/>
    <w:rsid w:val="00C85747"/>
    <w:rsid w:val="00C8720C"/>
    <w:rsid w:val="00C875F2"/>
    <w:rsid w:val="00C91AE2"/>
    <w:rsid w:val="00C9272E"/>
    <w:rsid w:val="00C929B2"/>
    <w:rsid w:val="00C97071"/>
    <w:rsid w:val="00CA2B31"/>
    <w:rsid w:val="00CA3689"/>
    <w:rsid w:val="00CB2084"/>
    <w:rsid w:val="00CB464F"/>
    <w:rsid w:val="00CC0995"/>
    <w:rsid w:val="00CC2043"/>
    <w:rsid w:val="00CC618B"/>
    <w:rsid w:val="00CF136E"/>
    <w:rsid w:val="00CF1DFD"/>
    <w:rsid w:val="00CF5232"/>
    <w:rsid w:val="00CF64F0"/>
    <w:rsid w:val="00CF6DCD"/>
    <w:rsid w:val="00CF7339"/>
    <w:rsid w:val="00D00BFF"/>
    <w:rsid w:val="00D0251B"/>
    <w:rsid w:val="00D02B4B"/>
    <w:rsid w:val="00D03A48"/>
    <w:rsid w:val="00D158E3"/>
    <w:rsid w:val="00D1718A"/>
    <w:rsid w:val="00D203EA"/>
    <w:rsid w:val="00D2060E"/>
    <w:rsid w:val="00D21C0B"/>
    <w:rsid w:val="00D223E5"/>
    <w:rsid w:val="00D233E0"/>
    <w:rsid w:val="00D237E8"/>
    <w:rsid w:val="00D25753"/>
    <w:rsid w:val="00D25D22"/>
    <w:rsid w:val="00D27771"/>
    <w:rsid w:val="00D37FC5"/>
    <w:rsid w:val="00D46BB6"/>
    <w:rsid w:val="00D50D37"/>
    <w:rsid w:val="00D54DF3"/>
    <w:rsid w:val="00D636C5"/>
    <w:rsid w:val="00D76AEC"/>
    <w:rsid w:val="00D779D3"/>
    <w:rsid w:val="00D803B9"/>
    <w:rsid w:val="00D806B5"/>
    <w:rsid w:val="00D81520"/>
    <w:rsid w:val="00D84958"/>
    <w:rsid w:val="00D85308"/>
    <w:rsid w:val="00D861F6"/>
    <w:rsid w:val="00D97204"/>
    <w:rsid w:val="00DA1919"/>
    <w:rsid w:val="00DA4C4A"/>
    <w:rsid w:val="00DA5DDD"/>
    <w:rsid w:val="00DB6A7B"/>
    <w:rsid w:val="00DB7CE5"/>
    <w:rsid w:val="00DC3413"/>
    <w:rsid w:val="00DC5A6C"/>
    <w:rsid w:val="00DC61D7"/>
    <w:rsid w:val="00DD0F4D"/>
    <w:rsid w:val="00DD5BB8"/>
    <w:rsid w:val="00DE2F3E"/>
    <w:rsid w:val="00DE3BB2"/>
    <w:rsid w:val="00DE7C73"/>
    <w:rsid w:val="00DF1BD1"/>
    <w:rsid w:val="00DF439E"/>
    <w:rsid w:val="00E037E9"/>
    <w:rsid w:val="00E0428E"/>
    <w:rsid w:val="00E11F0E"/>
    <w:rsid w:val="00E125BB"/>
    <w:rsid w:val="00E159E4"/>
    <w:rsid w:val="00E16290"/>
    <w:rsid w:val="00E25847"/>
    <w:rsid w:val="00E25882"/>
    <w:rsid w:val="00E27159"/>
    <w:rsid w:val="00E31103"/>
    <w:rsid w:val="00E31A35"/>
    <w:rsid w:val="00E360FC"/>
    <w:rsid w:val="00E37BD9"/>
    <w:rsid w:val="00E406F8"/>
    <w:rsid w:val="00E4141D"/>
    <w:rsid w:val="00E439EB"/>
    <w:rsid w:val="00E43C63"/>
    <w:rsid w:val="00E44E8E"/>
    <w:rsid w:val="00E5196B"/>
    <w:rsid w:val="00E53CFD"/>
    <w:rsid w:val="00E54A0F"/>
    <w:rsid w:val="00E5545E"/>
    <w:rsid w:val="00E5658D"/>
    <w:rsid w:val="00E60969"/>
    <w:rsid w:val="00E62D58"/>
    <w:rsid w:val="00E64046"/>
    <w:rsid w:val="00E65917"/>
    <w:rsid w:val="00E70B08"/>
    <w:rsid w:val="00E735F1"/>
    <w:rsid w:val="00E74D68"/>
    <w:rsid w:val="00E74F8E"/>
    <w:rsid w:val="00E76563"/>
    <w:rsid w:val="00E77B87"/>
    <w:rsid w:val="00E82AF3"/>
    <w:rsid w:val="00E85472"/>
    <w:rsid w:val="00E86665"/>
    <w:rsid w:val="00E8668A"/>
    <w:rsid w:val="00E86B97"/>
    <w:rsid w:val="00E90E93"/>
    <w:rsid w:val="00E92AAB"/>
    <w:rsid w:val="00E94630"/>
    <w:rsid w:val="00E95F20"/>
    <w:rsid w:val="00E97055"/>
    <w:rsid w:val="00E97A82"/>
    <w:rsid w:val="00EA1726"/>
    <w:rsid w:val="00EA3BDF"/>
    <w:rsid w:val="00EB19E6"/>
    <w:rsid w:val="00EB58A7"/>
    <w:rsid w:val="00EB78A1"/>
    <w:rsid w:val="00EC3A79"/>
    <w:rsid w:val="00EC5F5C"/>
    <w:rsid w:val="00EC7919"/>
    <w:rsid w:val="00ED0056"/>
    <w:rsid w:val="00ED1645"/>
    <w:rsid w:val="00ED6EE4"/>
    <w:rsid w:val="00ED753A"/>
    <w:rsid w:val="00EE2660"/>
    <w:rsid w:val="00EE2886"/>
    <w:rsid w:val="00EF07E6"/>
    <w:rsid w:val="00EF3FA4"/>
    <w:rsid w:val="00EF4670"/>
    <w:rsid w:val="00EF4729"/>
    <w:rsid w:val="00EF4ED1"/>
    <w:rsid w:val="00EF541E"/>
    <w:rsid w:val="00F00EB9"/>
    <w:rsid w:val="00F05D65"/>
    <w:rsid w:val="00F114CF"/>
    <w:rsid w:val="00F16037"/>
    <w:rsid w:val="00F2274A"/>
    <w:rsid w:val="00F241DF"/>
    <w:rsid w:val="00F255E1"/>
    <w:rsid w:val="00F25D8D"/>
    <w:rsid w:val="00F26588"/>
    <w:rsid w:val="00F34E3A"/>
    <w:rsid w:val="00F37E47"/>
    <w:rsid w:val="00F37FA6"/>
    <w:rsid w:val="00F46553"/>
    <w:rsid w:val="00F51A5E"/>
    <w:rsid w:val="00F54AD7"/>
    <w:rsid w:val="00F61FB8"/>
    <w:rsid w:val="00F62413"/>
    <w:rsid w:val="00F64B3D"/>
    <w:rsid w:val="00F64D27"/>
    <w:rsid w:val="00F66A29"/>
    <w:rsid w:val="00F745AA"/>
    <w:rsid w:val="00F75975"/>
    <w:rsid w:val="00F7675C"/>
    <w:rsid w:val="00F77CF9"/>
    <w:rsid w:val="00F83A05"/>
    <w:rsid w:val="00F84284"/>
    <w:rsid w:val="00F86BAE"/>
    <w:rsid w:val="00F922C4"/>
    <w:rsid w:val="00F95A80"/>
    <w:rsid w:val="00F95C0B"/>
    <w:rsid w:val="00F96A6E"/>
    <w:rsid w:val="00FA153D"/>
    <w:rsid w:val="00FA213F"/>
    <w:rsid w:val="00FA2199"/>
    <w:rsid w:val="00FA58D5"/>
    <w:rsid w:val="00FA5D32"/>
    <w:rsid w:val="00FA6035"/>
    <w:rsid w:val="00FA695C"/>
    <w:rsid w:val="00FB19F4"/>
    <w:rsid w:val="00FB3967"/>
    <w:rsid w:val="00FC44C7"/>
    <w:rsid w:val="00FC46F6"/>
    <w:rsid w:val="00FC7F80"/>
    <w:rsid w:val="00FD6012"/>
    <w:rsid w:val="00FD7E7E"/>
    <w:rsid w:val="00FE2572"/>
    <w:rsid w:val="00FE2923"/>
    <w:rsid w:val="00FE4661"/>
    <w:rsid w:val="00FE53F2"/>
    <w:rsid w:val="00FE6163"/>
    <w:rsid w:val="00FF12AF"/>
    <w:rsid w:val="00FF6D39"/>
    <w:rsid w:val="00FF7B90"/>
    <w:rsid w:val="00FF7CBA"/>
    <w:rsid w:val="00FF7F5B"/>
    <w:rsid w:val="014B65C0"/>
    <w:rsid w:val="01682A1B"/>
    <w:rsid w:val="05454EED"/>
    <w:rsid w:val="0796712F"/>
    <w:rsid w:val="0E1A065C"/>
    <w:rsid w:val="137A5439"/>
    <w:rsid w:val="1487696B"/>
    <w:rsid w:val="1B5D126D"/>
    <w:rsid w:val="20926DD7"/>
    <w:rsid w:val="22A27750"/>
    <w:rsid w:val="2448004A"/>
    <w:rsid w:val="29FD0E35"/>
    <w:rsid w:val="2ED32610"/>
    <w:rsid w:val="30AF1BE1"/>
    <w:rsid w:val="33D755AD"/>
    <w:rsid w:val="395F2AF0"/>
    <w:rsid w:val="3D601B79"/>
    <w:rsid w:val="3DD96165"/>
    <w:rsid w:val="3EFB7409"/>
    <w:rsid w:val="3F182E24"/>
    <w:rsid w:val="42542C46"/>
    <w:rsid w:val="47D37F77"/>
    <w:rsid w:val="4FD3394E"/>
    <w:rsid w:val="50EB4429"/>
    <w:rsid w:val="5389638A"/>
    <w:rsid w:val="56896759"/>
    <w:rsid w:val="59BE3FB7"/>
    <w:rsid w:val="5B692652"/>
    <w:rsid w:val="5E54600D"/>
    <w:rsid w:val="62AD61CA"/>
    <w:rsid w:val="64A40813"/>
    <w:rsid w:val="65AA712C"/>
    <w:rsid w:val="66202ABE"/>
    <w:rsid w:val="67953E80"/>
    <w:rsid w:val="70FC46B9"/>
    <w:rsid w:val="787B627E"/>
    <w:rsid w:val="7AD45A8E"/>
    <w:rsid w:val="7C9E2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0"/>
    <w:pPr>
      <w:jc w:val="left"/>
    </w:pPr>
    <w:rPr>
      <w:kern w:val="0"/>
      <w:sz w:val="20"/>
      <w:szCs w:val="20"/>
    </w:rPr>
  </w:style>
  <w:style w:type="paragraph" w:styleId="3">
    <w:name w:val="Date"/>
    <w:basedOn w:val="1"/>
    <w:next w:val="1"/>
    <w:link w:val="19"/>
    <w:semiHidden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qFormat/>
    <w:uiPriority w:val="0"/>
    <w:rPr>
      <w:rFonts w:cs="Times New Roman"/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主题 Char"/>
    <w:basedOn w:val="13"/>
    <w:link w:val="8"/>
    <w:semiHidden/>
    <w:qFormat/>
    <w:locked/>
    <w:uiPriority w:val="0"/>
    <w:rPr>
      <w:b/>
      <w:bCs/>
    </w:rPr>
  </w:style>
  <w:style w:type="character" w:customStyle="1" w:styleId="15">
    <w:name w:val="批注框文本 Char"/>
    <w:basedOn w:val="11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6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qFormat/>
    <w:uiPriority w:val="0"/>
  </w:style>
  <w:style w:type="character" w:customStyle="1" w:styleId="19">
    <w:name w:val="日期 Char"/>
    <w:basedOn w:val="11"/>
    <w:link w:val="3"/>
    <w:semiHidden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KaiTi_GB2312" w:hAnsi="KaiTi_GB2312" w:eastAsia="宋体" w:cs="KaiTi_GB2312"/>
      <w:color w:val="000000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2E92A-B612-4C89-A202-C6E300493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5015</Words>
  <Characters>414</Characters>
  <Lines>3</Lines>
  <Paragraphs>10</Paragraphs>
  <TotalTime>0</TotalTime>
  <ScaleCrop>false</ScaleCrop>
  <LinksUpToDate>false</LinksUpToDate>
  <CharactersWithSpaces>5419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2023-02-06T03:28:00Z</dcterms:created>
  <dc:creator>南希</dc:creator>
  <cp:lastModifiedBy>Administrator</cp:lastModifiedBy>
  <cp:lastPrinted>2016-01-21T05:30:00Z</cp:lastPrinted>
  <dcterms:modified xsi:type="dcterms:W3CDTF">2025-01-24T06:47:33Z</dcterms:modified>
  <dc:title>2017年部门预算编制说明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