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附件1-2：国有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2024年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</w:t>
      </w:r>
      <w:r>
        <w:rPr>
          <w:rFonts w:hint="eastAsia" w:ascii="仿宋_GB2312" w:eastAsia="仿宋_GB2312"/>
          <w:color w:val="000000"/>
          <w:sz w:val="32"/>
          <w:szCs w:val="32"/>
        </w:rPr>
        <w:t>资产总额16196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724560万元，</w:t>
      </w:r>
      <w:r>
        <w:rPr>
          <w:rFonts w:ascii="仿宋_GB2312" w:eastAsia="仿宋_GB2312"/>
          <w:color w:val="000000"/>
          <w:sz w:val="32"/>
          <w:szCs w:val="32"/>
        </w:rPr>
        <w:t>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台，24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9441万元；单位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1815.274875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831.3214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2025部门预算：安排购置车辆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5524"/>
    <w:rsid w:val="0FF92AFE"/>
    <w:rsid w:val="43D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2025-01-20T02:56:00Z</dcterms:created>
  <dc:creator>DSCZK008</dc:creator>
  <cp:lastModifiedBy>DSCZK008</cp:lastModifiedBy>
  <dcterms:modified xsi:type="dcterms:W3CDTF">2025-01-26T08:06:31Z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FBC105E3C7804204A3321CED75A106A9</vt:lpwstr>
  </property>
</Properties>
</file>