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5EB6A">
      <w:pPr>
        <w:spacing w:line="560" w:lineRule="exact"/>
        <w:rPr>
          <w:rFonts w:ascii="仿宋_GB2312" w:hAnsi="仿宋_GB2312" w:eastAsia="仿宋_GB2312" w:cs="仿宋_GB2312"/>
          <w:b/>
          <w:sz w:val="24"/>
        </w:rPr>
      </w:pPr>
      <w:bookmarkStart w:id="0" w:name="_top"/>
      <w:bookmarkEnd w:id="0"/>
    </w:p>
    <w:p w14:paraId="185DEA74">
      <w:pPr>
        <w:spacing w:line="560" w:lineRule="exact"/>
        <w:rPr>
          <w:rFonts w:ascii="仿宋_GB2312" w:hAnsi="仿宋_GB2312" w:eastAsia="仿宋_GB2312" w:cs="仿宋_GB2312"/>
          <w:b/>
          <w:sz w:val="24"/>
        </w:rPr>
      </w:pPr>
    </w:p>
    <w:p w14:paraId="4BFBCA27">
      <w:pPr>
        <w:spacing w:line="560" w:lineRule="exact"/>
        <w:jc w:val="center"/>
        <w:rPr>
          <w:rFonts w:ascii="仿宋_GB2312" w:hAnsi="仿宋_GB2312" w:eastAsia="仿宋_GB2312" w:cs="仿宋_GB2312"/>
          <w:b/>
          <w:sz w:val="24"/>
        </w:rPr>
      </w:pPr>
    </w:p>
    <w:p w14:paraId="19A336D9">
      <w:pPr>
        <w:spacing w:line="560" w:lineRule="exact"/>
        <w:jc w:val="center"/>
        <w:rPr>
          <w:rFonts w:ascii="仿宋_GB2312" w:hAnsi="仿宋_GB2312" w:eastAsia="仿宋_GB2312" w:cs="仿宋_GB2312"/>
          <w:b/>
          <w:sz w:val="24"/>
        </w:rPr>
      </w:pPr>
    </w:p>
    <w:p w14:paraId="79212FE4">
      <w:pPr>
        <w:spacing w:line="360" w:lineRule="auto"/>
        <w:jc w:val="center"/>
        <w:rPr>
          <w:rFonts w:ascii="仿宋_GB2312" w:hAnsi="仿宋_GB2312" w:eastAsia="仿宋_GB2312" w:cs="仿宋_GB2312"/>
          <w:b/>
          <w:sz w:val="44"/>
          <w:szCs w:val="44"/>
          <w:u w:val="single"/>
        </w:rPr>
      </w:pPr>
      <w:r>
        <w:rPr>
          <w:rFonts w:hint="eastAsia" w:ascii="仿宋_GB2312" w:hAnsi="仿宋_GB2312" w:eastAsia="仿宋_GB2312" w:cs="仿宋_GB2312"/>
          <w:b/>
          <w:sz w:val="44"/>
          <w:szCs w:val="44"/>
          <w:u w:val="single"/>
        </w:rPr>
        <w:t>北京市西城区应急管理局</w:t>
      </w:r>
    </w:p>
    <w:p w14:paraId="3634B2F9">
      <w:pPr>
        <w:spacing w:line="360" w:lineRule="auto"/>
        <w:jc w:val="center"/>
        <w:rPr>
          <w:rFonts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u w:val="single"/>
          <w:lang w:val="en-US" w:eastAsia="zh-CN"/>
        </w:rPr>
        <w:t>2025年</w:t>
      </w:r>
      <w:r>
        <w:rPr>
          <w:rFonts w:hint="eastAsia" w:ascii="仿宋_GB2312" w:hAnsi="仿宋_GB2312" w:eastAsia="仿宋_GB2312" w:cs="仿宋_GB2312"/>
          <w:b/>
          <w:sz w:val="44"/>
          <w:szCs w:val="44"/>
          <w:highlight w:val="none"/>
          <w:u w:val="single"/>
        </w:rPr>
        <w:t>安全生产标准化评审组织级核查项目</w:t>
      </w:r>
    </w:p>
    <w:p w14:paraId="1131B47D">
      <w:pPr>
        <w:spacing w:line="360" w:lineRule="auto"/>
        <w:jc w:val="center"/>
        <w:rPr>
          <w:rFonts w:ascii="仿宋_GB2312" w:hAnsi="仿宋_GB2312" w:eastAsia="仿宋_GB2312" w:cs="仿宋_GB2312"/>
          <w:b/>
          <w:sz w:val="52"/>
          <w:szCs w:val="52"/>
        </w:rPr>
      </w:pPr>
    </w:p>
    <w:p w14:paraId="0C0EF8C9">
      <w:pPr>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比选文件</w:t>
      </w:r>
    </w:p>
    <w:p w14:paraId="315C5C7D">
      <w:pPr>
        <w:spacing w:line="360" w:lineRule="auto"/>
        <w:jc w:val="center"/>
        <w:rPr>
          <w:rFonts w:ascii="仿宋_GB2312" w:hAnsi="仿宋_GB2312" w:eastAsia="仿宋_GB2312" w:cs="仿宋_GB2312"/>
          <w:b/>
          <w:sz w:val="72"/>
          <w:szCs w:val="22"/>
          <w:u w:val="single"/>
        </w:rPr>
      </w:pPr>
    </w:p>
    <w:p w14:paraId="0C7BCCEF">
      <w:pPr>
        <w:spacing w:line="560" w:lineRule="exact"/>
        <w:rPr>
          <w:rFonts w:ascii="仿宋_GB2312" w:hAnsi="仿宋_GB2312" w:eastAsia="仿宋_GB2312" w:cs="仿宋_GB2312"/>
          <w:sz w:val="24"/>
        </w:rPr>
      </w:pPr>
    </w:p>
    <w:p w14:paraId="6262C7CE">
      <w:pPr>
        <w:spacing w:line="560" w:lineRule="exact"/>
        <w:jc w:val="center"/>
        <w:rPr>
          <w:rFonts w:ascii="仿宋_GB2312" w:hAnsi="仿宋_GB2312" w:eastAsia="仿宋_GB2312" w:cs="仿宋_GB2312"/>
          <w:sz w:val="24"/>
        </w:rPr>
      </w:pPr>
    </w:p>
    <w:p w14:paraId="7B48474C">
      <w:pPr>
        <w:spacing w:line="560" w:lineRule="exact"/>
        <w:jc w:val="center"/>
        <w:rPr>
          <w:rFonts w:ascii="仿宋_GB2312" w:hAnsi="仿宋_GB2312" w:eastAsia="仿宋_GB2312" w:cs="仿宋_GB2312"/>
          <w:sz w:val="24"/>
        </w:rPr>
      </w:pPr>
    </w:p>
    <w:p w14:paraId="3F891ECF">
      <w:pPr>
        <w:spacing w:line="560" w:lineRule="exact"/>
        <w:jc w:val="center"/>
        <w:rPr>
          <w:rFonts w:ascii="仿宋_GB2312" w:hAnsi="仿宋_GB2312" w:eastAsia="仿宋" w:cs="仿宋_GB2312"/>
          <w:b/>
          <w:sz w:val="36"/>
          <w:szCs w:val="36"/>
        </w:rPr>
      </w:pPr>
      <w:r>
        <w:rPr>
          <w:rFonts w:hint="eastAsia" w:ascii="仿宋" w:hAnsi="仿宋" w:eastAsia="仿宋" w:cs="仿宋_GB2312"/>
          <w:b/>
          <w:color w:val="000000"/>
          <w:sz w:val="36"/>
          <w:szCs w:val="36"/>
        </w:rPr>
        <w:t>202</w:t>
      </w:r>
      <w:r>
        <w:rPr>
          <w:rFonts w:hint="eastAsia" w:ascii="仿宋" w:hAnsi="仿宋" w:eastAsia="仿宋" w:cs="仿宋_GB2312"/>
          <w:b/>
          <w:color w:val="000000"/>
          <w:sz w:val="36"/>
          <w:szCs w:val="36"/>
          <w:lang w:val="en-US" w:eastAsia="zh-CN"/>
        </w:rPr>
        <w:t>5</w:t>
      </w:r>
      <w:r>
        <w:rPr>
          <w:rFonts w:hint="eastAsia" w:ascii="仿宋" w:hAnsi="仿宋" w:eastAsia="仿宋" w:cs="仿宋_GB2312"/>
          <w:b/>
          <w:color w:val="000000"/>
          <w:sz w:val="36"/>
          <w:szCs w:val="36"/>
        </w:rPr>
        <w:t>年2月</w:t>
      </w:r>
    </w:p>
    <w:p w14:paraId="4F6F9901">
      <w:pPr>
        <w:spacing w:line="560" w:lineRule="exact"/>
        <w:jc w:val="center"/>
        <w:rPr>
          <w:rFonts w:ascii="仿宋_GB2312" w:hAnsi="仿宋_GB2312" w:eastAsia="仿宋_GB2312" w:cs="仿宋_GB2312"/>
          <w:b/>
          <w:sz w:val="36"/>
          <w:szCs w:val="36"/>
        </w:rPr>
      </w:pPr>
    </w:p>
    <w:p w14:paraId="1B571D7F">
      <w:pPr>
        <w:spacing w:line="560" w:lineRule="exact"/>
        <w:jc w:val="center"/>
        <w:rPr>
          <w:rFonts w:ascii="仿宋_GB2312" w:hAnsi="仿宋_GB2312" w:eastAsia="仿宋_GB2312" w:cs="仿宋_GB2312"/>
          <w:b/>
          <w:sz w:val="36"/>
          <w:szCs w:val="36"/>
        </w:rPr>
      </w:pPr>
    </w:p>
    <w:p w14:paraId="7528FB38">
      <w:pPr>
        <w:spacing w:line="560" w:lineRule="exact"/>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p>
    <w:p w14:paraId="38B2633B">
      <w:pPr>
        <w:spacing w:line="560" w:lineRule="exact"/>
        <w:jc w:val="center"/>
        <w:rPr>
          <w:rFonts w:ascii="仿宋_GB2312" w:hAnsi="仿宋_GB2312" w:eastAsia="仿宋_GB2312" w:cs="仿宋_GB2312"/>
          <w:b/>
          <w:sz w:val="36"/>
          <w:szCs w:val="36"/>
        </w:rPr>
      </w:pPr>
    </w:p>
    <w:p w14:paraId="03B8DB50">
      <w:pPr>
        <w:spacing w:line="560" w:lineRule="exact"/>
        <w:jc w:val="center"/>
        <w:rPr>
          <w:rFonts w:ascii="仿宋_GB2312" w:hAnsi="仿宋_GB2312" w:eastAsia="仿宋_GB2312" w:cs="仿宋_GB2312"/>
          <w:b/>
          <w:sz w:val="36"/>
          <w:szCs w:val="36"/>
        </w:rPr>
      </w:pPr>
    </w:p>
    <w:p w14:paraId="23725F71">
      <w:pPr>
        <w:spacing w:line="560" w:lineRule="exact"/>
        <w:jc w:val="center"/>
        <w:rPr>
          <w:rFonts w:ascii="仿宋_GB2312" w:hAnsi="仿宋_GB2312" w:eastAsia="仿宋_GB2312" w:cs="仿宋_GB2312"/>
          <w:b/>
          <w:sz w:val="36"/>
          <w:szCs w:val="36"/>
        </w:rPr>
      </w:pPr>
    </w:p>
    <w:p w14:paraId="6434D078">
      <w:pPr>
        <w:spacing w:line="560" w:lineRule="exact"/>
        <w:jc w:val="center"/>
        <w:rPr>
          <w:rFonts w:ascii="仿宋_GB2312" w:hAnsi="仿宋_GB2312" w:eastAsia="仿宋_GB2312" w:cs="仿宋_GB2312"/>
          <w:b/>
          <w:sz w:val="36"/>
          <w:szCs w:val="36"/>
        </w:rPr>
      </w:pPr>
    </w:p>
    <w:p w14:paraId="4A2A5541">
      <w:pPr>
        <w:spacing w:line="560" w:lineRule="exact"/>
        <w:jc w:val="center"/>
        <w:rPr>
          <w:rFonts w:ascii="仿宋_GB2312" w:hAnsi="仿宋_GB2312" w:eastAsia="仿宋_GB2312" w:cs="仿宋_GB2312"/>
          <w:b/>
          <w:sz w:val="36"/>
          <w:szCs w:val="36"/>
        </w:rPr>
      </w:pPr>
    </w:p>
    <w:p w14:paraId="0D044BB2">
      <w:pPr>
        <w:spacing w:line="560" w:lineRule="exact"/>
        <w:jc w:val="center"/>
        <w:rPr>
          <w:rFonts w:ascii="仿宋_GB2312" w:hAnsi="仿宋_GB2312" w:eastAsia="仿宋_GB2312" w:cs="仿宋_GB2312"/>
          <w:b/>
          <w:sz w:val="36"/>
          <w:szCs w:val="36"/>
        </w:rPr>
      </w:pPr>
    </w:p>
    <w:p w14:paraId="1D35E46A">
      <w:pPr>
        <w:spacing w:line="560" w:lineRule="exact"/>
        <w:jc w:val="center"/>
        <w:rPr>
          <w:rFonts w:ascii="仿宋_GB2312" w:hAnsi="仿宋_GB2312" w:eastAsia="仿宋_GB2312" w:cs="仿宋_GB2312"/>
          <w:b/>
          <w:sz w:val="44"/>
          <w:szCs w:val="44"/>
        </w:rPr>
      </w:pPr>
    </w:p>
    <w:p w14:paraId="67F13892">
      <w:pPr>
        <w:spacing w:line="56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目        录</w:t>
      </w:r>
    </w:p>
    <w:p w14:paraId="79B26CA4">
      <w:pPr>
        <w:spacing w:line="560" w:lineRule="exact"/>
        <w:jc w:val="center"/>
        <w:rPr>
          <w:rFonts w:ascii="仿宋_GB2312" w:hAnsi="仿宋_GB2312" w:eastAsia="仿宋_GB2312" w:cs="仿宋_GB2312"/>
          <w:b/>
          <w:sz w:val="44"/>
          <w:szCs w:val="44"/>
        </w:rPr>
      </w:pPr>
    </w:p>
    <w:p w14:paraId="6939B47B">
      <w:pPr>
        <w:spacing w:line="560" w:lineRule="exact"/>
        <w:jc w:val="center"/>
        <w:rPr>
          <w:rFonts w:ascii="仿宋_GB2312" w:hAnsi="仿宋_GB2312" w:eastAsia="仿宋_GB2312" w:cs="仿宋_GB2312"/>
          <w:b/>
          <w:sz w:val="44"/>
          <w:szCs w:val="44"/>
        </w:rPr>
      </w:pPr>
    </w:p>
    <w:p w14:paraId="422BBC5B">
      <w:pPr>
        <w:pStyle w:val="9"/>
        <w:tabs>
          <w:tab w:val="right" w:leader="dot" w:pos="8732"/>
        </w:tabs>
        <w:spacing w:line="480" w:lineRule="auto"/>
        <w:rPr>
          <w:rFonts w:ascii="Arial" w:hAnsi="Arial" w:cs="Arial"/>
          <w:b/>
          <w:bCs/>
          <w:sz w:val="28"/>
          <w:szCs w:val="24"/>
        </w:rPr>
      </w:pPr>
      <w:r>
        <w:rPr>
          <w:rFonts w:hint="eastAsia" w:ascii="仿宋_GB2312" w:hAnsi="仿宋_GB2312" w:eastAsia="仿宋_GB2312" w:cs="仿宋_GB2312"/>
          <w:b/>
          <w:bCs/>
          <w:sz w:val="52"/>
          <w:szCs w:val="52"/>
        </w:rPr>
        <w:fldChar w:fldCharType="begin"/>
      </w:r>
      <w:r>
        <w:rPr>
          <w:rFonts w:hint="eastAsia" w:ascii="仿宋_GB2312" w:hAnsi="仿宋_GB2312" w:eastAsia="仿宋_GB2312" w:cs="仿宋_GB2312"/>
          <w:b/>
          <w:bCs/>
          <w:sz w:val="52"/>
          <w:szCs w:val="52"/>
        </w:rPr>
        <w:instrText xml:space="preserve">TOC \o "1-1" \h \u </w:instrText>
      </w:r>
      <w:r>
        <w:rPr>
          <w:rFonts w:hint="eastAsia" w:ascii="仿宋_GB2312" w:hAnsi="仿宋_GB2312" w:eastAsia="仿宋_GB2312" w:cs="仿宋_GB2312"/>
          <w:b/>
          <w:bCs/>
          <w:sz w:val="52"/>
          <w:szCs w:val="52"/>
        </w:rPr>
        <w:fldChar w:fldCharType="separate"/>
      </w:r>
      <w:r>
        <w:fldChar w:fldCharType="begin"/>
      </w:r>
      <w:r>
        <w:instrText xml:space="preserve"> HYPERLINK \l "_Toc4313" </w:instrText>
      </w:r>
      <w:r>
        <w:fldChar w:fldCharType="separate"/>
      </w:r>
      <w:r>
        <w:rPr>
          <w:rFonts w:ascii="Arial" w:hAnsi="Arial" w:eastAsia="仿宋_GB2312" w:cs="Arial"/>
          <w:b/>
          <w:bCs/>
          <w:sz w:val="28"/>
          <w:szCs w:val="24"/>
        </w:rPr>
        <w:t>第一部分　采购邀请</w:t>
      </w:r>
      <w:r>
        <w:rPr>
          <w:rFonts w:ascii="Arial" w:hAnsi="Arial" w:cs="Arial"/>
          <w:b/>
          <w:bCs/>
          <w:sz w:val="28"/>
          <w:szCs w:val="24"/>
        </w:rPr>
        <w:tab/>
      </w:r>
      <w:r>
        <w:rPr>
          <w:rFonts w:hint="eastAsia" w:ascii="Arial" w:hAnsi="Arial" w:cs="Arial"/>
          <w:b/>
          <w:bCs/>
          <w:sz w:val="28"/>
          <w:szCs w:val="24"/>
        </w:rPr>
        <w:t>1</w:t>
      </w:r>
      <w:r>
        <w:rPr>
          <w:rFonts w:hint="eastAsia" w:ascii="Arial" w:hAnsi="Arial" w:cs="Arial"/>
          <w:b/>
          <w:bCs/>
          <w:sz w:val="28"/>
          <w:szCs w:val="24"/>
        </w:rPr>
        <w:fldChar w:fldCharType="end"/>
      </w:r>
    </w:p>
    <w:p w14:paraId="67600B4A">
      <w:pPr>
        <w:pStyle w:val="9"/>
        <w:tabs>
          <w:tab w:val="right" w:leader="dot" w:pos="8732"/>
        </w:tabs>
        <w:spacing w:line="480" w:lineRule="auto"/>
        <w:rPr>
          <w:rFonts w:ascii="Arial" w:hAnsi="Arial" w:cs="Arial"/>
          <w:b/>
          <w:bCs/>
          <w:sz w:val="28"/>
          <w:szCs w:val="24"/>
        </w:rPr>
      </w:pPr>
      <w:r>
        <w:fldChar w:fldCharType="begin"/>
      </w:r>
      <w:r>
        <w:instrText xml:space="preserve"> HYPERLINK \l "_Toc20431" </w:instrText>
      </w:r>
      <w:r>
        <w:fldChar w:fldCharType="separate"/>
      </w:r>
      <w:r>
        <w:rPr>
          <w:rFonts w:ascii="Arial" w:hAnsi="Arial" w:eastAsia="仿宋_GB2312" w:cs="Arial"/>
          <w:b/>
          <w:bCs/>
          <w:sz w:val="28"/>
          <w:szCs w:val="24"/>
        </w:rPr>
        <w:t>第二部分　应答文件编制要求</w:t>
      </w:r>
      <w:r>
        <w:rPr>
          <w:rFonts w:ascii="Arial" w:hAnsi="Arial" w:cs="Arial"/>
          <w:b/>
          <w:bCs/>
          <w:sz w:val="28"/>
          <w:szCs w:val="24"/>
        </w:rPr>
        <w:tab/>
      </w:r>
      <w:r>
        <w:rPr>
          <w:rFonts w:hint="eastAsia" w:ascii="Arial" w:hAnsi="Arial" w:cs="Arial"/>
          <w:b/>
          <w:bCs/>
          <w:sz w:val="28"/>
          <w:szCs w:val="24"/>
        </w:rPr>
        <w:t>2</w:t>
      </w:r>
      <w:r>
        <w:rPr>
          <w:rFonts w:hint="eastAsia" w:ascii="Arial" w:hAnsi="Arial" w:cs="Arial"/>
          <w:b/>
          <w:bCs/>
          <w:sz w:val="28"/>
          <w:szCs w:val="24"/>
        </w:rPr>
        <w:fldChar w:fldCharType="end"/>
      </w:r>
    </w:p>
    <w:p w14:paraId="6BB316C6">
      <w:pPr>
        <w:pStyle w:val="9"/>
        <w:tabs>
          <w:tab w:val="right" w:leader="dot" w:pos="8732"/>
        </w:tabs>
        <w:spacing w:line="480" w:lineRule="auto"/>
        <w:rPr>
          <w:rFonts w:ascii="Arial" w:hAnsi="Arial" w:eastAsia="仿宋_GB2312" w:cs="Arial"/>
          <w:b/>
          <w:bCs/>
          <w:sz w:val="28"/>
          <w:szCs w:val="52"/>
        </w:rPr>
      </w:pPr>
      <w:r>
        <w:fldChar w:fldCharType="begin"/>
      </w:r>
      <w:r>
        <w:instrText xml:space="preserve"> HYPERLINK \l "_Toc12171" </w:instrText>
      </w:r>
      <w:r>
        <w:fldChar w:fldCharType="separate"/>
      </w:r>
      <w:r>
        <w:rPr>
          <w:rFonts w:ascii="Arial" w:hAnsi="Arial" w:eastAsia="仿宋_GB2312" w:cs="Arial"/>
          <w:b/>
          <w:bCs/>
          <w:sz w:val="28"/>
          <w:szCs w:val="24"/>
        </w:rPr>
        <w:t>第三部分　</w:t>
      </w:r>
      <w:r>
        <w:rPr>
          <w:rFonts w:hint="eastAsia" w:ascii="Arial" w:hAnsi="Arial" w:eastAsia="仿宋_GB2312" w:cs="Arial"/>
          <w:b/>
          <w:bCs/>
          <w:sz w:val="28"/>
          <w:szCs w:val="24"/>
        </w:rPr>
        <w:t>采购需求</w:t>
      </w:r>
      <w:r>
        <w:rPr>
          <w:rFonts w:ascii="Arial" w:hAnsi="Arial" w:cs="Arial"/>
          <w:b/>
          <w:bCs/>
          <w:sz w:val="28"/>
          <w:szCs w:val="24"/>
        </w:rPr>
        <w:tab/>
      </w:r>
      <w:r>
        <w:rPr>
          <w:rFonts w:hint="eastAsia" w:ascii="Arial" w:hAnsi="Arial" w:cs="Arial"/>
          <w:b/>
          <w:bCs/>
          <w:sz w:val="28"/>
          <w:szCs w:val="24"/>
        </w:rPr>
        <w:t>3</w:t>
      </w:r>
      <w:r>
        <w:rPr>
          <w:rFonts w:hint="eastAsia" w:ascii="Arial" w:hAnsi="Arial" w:cs="Arial"/>
          <w:b/>
          <w:bCs/>
          <w:sz w:val="28"/>
          <w:szCs w:val="24"/>
        </w:rPr>
        <w:fldChar w:fldCharType="end"/>
      </w:r>
    </w:p>
    <w:p w14:paraId="757B63A4">
      <w:pPr>
        <w:pStyle w:val="9"/>
        <w:tabs>
          <w:tab w:val="right" w:leader="dot" w:pos="8732"/>
        </w:tabs>
        <w:spacing w:line="480" w:lineRule="auto"/>
        <w:rPr>
          <w:rFonts w:ascii="Arial" w:hAnsi="Arial" w:eastAsia="仿宋_GB2312" w:cs="Arial"/>
          <w:b/>
          <w:bCs/>
          <w:sz w:val="28"/>
          <w:szCs w:val="52"/>
        </w:rPr>
      </w:pPr>
      <w:r>
        <w:fldChar w:fldCharType="begin"/>
      </w:r>
      <w:r>
        <w:instrText xml:space="preserve"> HYPERLINK \l "_Toc2223" </w:instrText>
      </w:r>
      <w:r>
        <w:fldChar w:fldCharType="separate"/>
      </w:r>
      <w:r>
        <w:rPr>
          <w:rFonts w:ascii="Arial" w:hAnsi="Arial" w:eastAsia="仿宋_GB2312" w:cs="Arial"/>
          <w:b/>
          <w:bCs/>
          <w:sz w:val="28"/>
          <w:szCs w:val="24"/>
        </w:rPr>
        <w:t>第</w:t>
      </w:r>
      <w:r>
        <w:rPr>
          <w:rFonts w:hint="eastAsia" w:ascii="Arial" w:hAnsi="Arial" w:eastAsia="仿宋_GB2312" w:cs="Arial"/>
          <w:b/>
          <w:bCs/>
          <w:sz w:val="28"/>
          <w:szCs w:val="24"/>
        </w:rPr>
        <w:t>四</w:t>
      </w:r>
      <w:r>
        <w:rPr>
          <w:rFonts w:ascii="Arial" w:hAnsi="Arial" w:eastAsia="仿宋_GB2312" w:cs="Arial"/>
          <w:b/>
          <w:bCs/>
          <w:sz w:val="28"/>
          <w:szCs w:val="24"/>
        </w:rPr>
        <w:t>部分　</w:t>
      </w:r>
      <w:r>
        <w:rPr>
          <w:rFonts w:hint="eastAsia" w:ascii="Arial" w:hAnsi="Arial" w:eastAsia="仿宋_GB2312" w:cs="Arial"/>
          <w:b/>
          <w:bCs/>
          <w:sz w:val="28"/>
          <w:szCs w:val="24"/>
        </w:rPr>
        <w:t>评审方法及标准</w:t>
      </w:r>
      <w:r>
        <w:rPr>
          <w:rFonts w:ascii="Arial" w:hAnsi="Arial" w:cs="Arial"/>
          <w:b/>
          <w:bCs/>
          <w:sz w:val="28"/>
          <w:szCs w:val="24"/>
        </w:rPr>
        <w:tab/>
      </w:r>
      <w:r>
        <w:rPr>
          <w:rFonts w:hint="eastAsia" w:ascii="Arial" w:hAnsi="Arial" w:cs="Arial"/>
          <w:b/>
          <w:bCs/>
          <w:sz w:val="28"/>
          <w:szCs w:val="24"/>
        </w:rPr>
        <w:t>6</w:t>
      </w:r>
      <w:r>
        <w:rPr>
          <w:rFonts w:hint="eastAsia" w:ascii="Arial" w:hAnsi="Arial" w:cs="Arial"/>
          <w:b/>
          <w:bCs/>
          <w:sz w:val="28"/>
          <w:szCs w:val="24"/>
        </w:rPr>
        <w:fldChar w:fldCharType="end"/>
      </w:r>
    </w:p>
    <w:p w14:paraId="009CA3C4">
      <w:pPr>
        <w:pStyle w:val="9"/>
        <w:tabs>
          <w:tab w:val="right" w:leader="dot" w:pos="8732"/>
        </w:tabs>
        <w:spacing w:line="480" w:lineRule="auto"/>
        <w:rPr>
          <w:rFonts w:ascii="Arial" w:hAnsi="Arial" w:eastAsia="仿宋_GB2312" w:cs="Arial"/>
          <w:b/>
          <w:bCs/>
          <w:sz w:val="28"/>
          <w:szCs w:val="52"/>
        </w:rPr>
      </w:pPr>
      <w:r>
        <w:fldChar w:fldCharType="begin"/>
      </w:r>
      <w:r>
        <w:instrText xml:space="preserve"> HYPERLINK \l "_Toc16666" </w:instrText>
      </w:r>
      <w:r>
        <w:fldChar w:fldCharType="separate"/>
      </w:r>
      <w:r>
        <w:rPr>
          <w:rFonts w:ascii="Arial" w:hAnsi="Arial" w:eastAsia="仿宋_GB2312" w:cs="Arial"/>
          <w:b/>
          <w:bCs/>
          <w:sz w:val="28"/>
          <w:szCs w:val="24"/>
        </w:rPr>
        <w:t>第</w:t>
      </w:r>
      <w:r>
        <w:rPr>
          <w:rFonts w:hint="eastAsia" w:ascii="Arial" w:hAnsi="Arial" w:eastAsia="仿宋_GB2312" w:cs="Arial"/>
          <w:b/>
          <w:bCs/>
          <w:sz w:val="28"/>
          <w:szCs w:val="24"/>
        </w:rPr>
        <w:t>五</w:t>
      </w:r>
      <w:r>
        <w:rPr>
          <w:rFonts w:ascii="Arial" w:hAnsi="Arial" w:eastAsia="仿宋_GB2312" w:cs="Arial"/>
          <w:b/>
          <w:bCs/>
          <w:sz w:val="28"/>
          <w:szCs w:val="24"/>
        </w:rPr>
        <w:t>部分　附件</w:t>
      </w:r>
      <w:r>
        <w:rPr>
          <w:rFonts w:ascii="Arial" w:hAnsi="Arial" w:cs="Arial"/>
          <w:b/>
          <w:bCs/>
          <w:sz w:val="28"/>
          <w:szCs w:val="24"/>
        </w:rPr>
        <w:tab/>
      </w:r>
      <w:r>
        <w:rPr>
          <w:rFonts w:hint="eastAsia" w:ascii="Arial" w:hAnsi="Arial" w:cs="Arial"/>
          <w:b/>
          <w:bCs/>
          <w:sz w:val="28"/>
          <w:szCs w:val="24"/>
        </w:rPr>
        <w:t>8</w:t>
      </w:r>
      <w:r>
        <w:rPr>
          <w:rFonts w:hint="eastAsia" w:ascii="Arial" w:hAnsi="Arial" w:cs="Arial"/>
          <w:b/>
          <w:bCs/>
          <w:sz w:val="28"/>
          <w:szCs w:val="24"/>
        </w:rPr>
        <w:fldChar w:fldCharType="end"/>
      </w:r>
    </w:p>
    <w:p w14:paraId="3F54A403">
      <w:pPr>
        <w:spacing w:line="480" w:lineRule="auto"/>
      </w:pPr>
    </w:p>
    <w:p w14:paraId="30C94D88">
      <w:pPr>
        <w:spacing w:line="560" w:lineRule="exact"/>
      </w:pPr>
    </w:p>
    <w:p w14:paraId="3176086D">
      <w:pPr>
        <w:spacing w:line="560" w:lineRule="exact"/>
        <w:jc w:val="center"/>
        <w:rPr>
          <w:rFonts w:ascii="仿宋_GB2312" w:hAnsi="仿宋_GB2312" w:eastAsia="仿宋_GB2312" w:cs="仿宋_GB2312"/>
          <w:b/>
          <w:sz w:val="24"/>
        </w:rPr>
      </w:pPr>
      <w:r>
        <w:rPr>
          <w:rFonts w:hint="eastAsia" w:ascii="仿宋_GB2312" w:hAnsi="仿宋_GB2312" w:eastAsia="仿宋_GB2312" w:cs="仿宋_GB2312"/>
          <w:b/>
          <w:bCs/>
          <w:sz w:val="40"/>
          <w:szCs w:val="52"/>
        </w:rPr>
        <w:fldChar w:fldCharType="end"/>
      </w:r>
    </w:p>
    <w:p w14:paraId="60A7C639">
      <w:pPr>
        <w:spacing w:line="560" w:lineRule="exact"/>
        <w:jc w:val="center"/>
        <w:rPr>
          <w:rFonts w:ascii="仿宋_GB2312" w:hAnsi="仿宋_GB2312" w:eastAsia="仿宋_GB2312" w:cs="仿宋_GB2312"/>
          <w:b/>
          <w:sz w:val="24"/>
        </w:rPr>
      </w:pPr>
    </w:p>
    <w:p w14:paraId="362988EE">
      <w:pPr>
        <w:spacing w:line="560" w:lineRule="exact"/>
        <w:jc w:val="center"/>
        <w:rPr>
          <w:rFonts w:ascii="仿宋_GB2312" w:hAnsi="仿宋_GB2312" w:eastAsia="仿宋_GB2312" w:cs="仿宋_GB2312"/>
          <w:caps/>
          <w:sz w:val="24"/>
        </w:rPr>
      </w:pPr>
      <w:bookmarkStart w:id="1" w:name="第一部分"/>
    </w:p>
    <w:p w14:paraId="2C614237">
      <w:pPr>
        <w:spacing w:line="560" w:lineRule="exact"/>
        <w:jc w:val="center"/>
        <w:rPr>
          <w:rFonts w:ascii="仿宋_GB2312" w:hAnsi="仿宋_GB2312" w:eastAsia="仿宋_GB2312" w:cs="仿宋_GB2312"/>
          <w:caps/>
          <w:sz w:val="24"/>
        </w:rPr>
      </w:pPr>
    </w:p>
    <w:p w14:paraId="3889F89D">
      <w:pPr>
        <w:pStyle w:val="2"/>
      </w:pPr>
    </w:p>
    <w:p w14:paraId="474A6930">
      <w:pPr>
        <w:pStyle w:val="2"/>
      </w:pPr>
    </w:p>
    <w:p w14:paraId="6DE3DA6D">
      <w:pPr>
        <w:pStyle w:val="2"/>
      </w:pPr>
    </w:p>
    <w:p w14:paraId="4C99D586">
      <w:pPr>
        <w:pStyle w:val="2"/>
      </w:pPr>
    </w:p>
    <w:p w14:paraId="3BA8D914">
      <w:pPr>
        <w:pStyle w:val="2"/>
      </w:pPr>
    </w:p>
    <w:p w14:paraId="35E0FBB7">
      <w:pPr>
        <w:pStyle w:val="2"/>
      </w:pPr>
    </w:p>
    <w:p w14:paraId="160A2445">
      <w:pPr>
        <w:pStyle w:val="2"/>
      </w:pPr>
    </w:p>
    <w:p w14:paraId="05DB2665">
      <w:pPr>
        <w:pStyle w:val="2"/>
      </w:pPr>
    </w:p>
    <w:p w14:paraId="17EF8119">
      <w:pPr>
        <w:pStyle w:val="2"/>
      </w:pPr>
    </w:p>
    <w:p w14:paraId="5C480AB3">
      <w:pPr>
        <w:pStyle w:val="2"/>
      </w:pPr>
    </w:p>
    <w:p w14:paraId="7D6CE933">
      <w:pPr>
        <w:spacing w:line="560" w:lineRule="exact"/>
        <w:jc w:val="center"/>
        <w:rPr>
          <w:rFonts w:ascii="仿宋_GB2312" w:hAnsi="仿宋_GB2312" w:eastAsia="仿宋_GB2312" w:cs="仿宋_GB2312"/>
          <w:caps/>
          <w:sz w:val="24"/>
        </w:rPr>
      </w:pPr>
    </w:p>
    <w:p w14:paraId="12B42FEC">
      <w:pPr>
        <w:pStyle w:val="3"/>
        <w:spacing w:before="0" w:after="0" w:line="560" w:lineRule="exact"/>
        <w:rPr>
          <w:rFonts w:ascii="仿宋_GB2312" w:hAnsi="仿宋_GB2312" w:eastAsia="仿宋_GB2312" w:cs="仿宋_GB2312"/>
          <w:sz w:val="32"/>
        </w:rPr>
        <w:sectPr>
          <w:headerReference r:id="rId3" w:type="default"/>
          <w:endnotePr>
            <w:numFmt w:val="decimal"/>
          </w:endnotePr>
          <w:pgSz w:w="11906" w:h="16838"/>
          <w:pgMar w:top="1247" w:right="1587" w:bottom="1247" w:left="1587" w:header="680" w:footer="567" w:gutter="0"/>
          <w:pgNumType w:start="1"/>
          <w:cols w:space="720" w:num="1"/>
          <w:docGrid w:linePitch="462" w:charSpace="0"/>
        </w:sectPr>
      </w:pPr>
      <w:bookmarkStart w:id="2" w:name="_Toc19933"/>
      <w:bookmarkStart w:id="3" w:name="_Toc32485"/>
      <w:bookmarkStart w:id="4" w:name="_Toc537"/>
      <w:bookmarkStart w:id="5" w:name="_Toc8025"/>
      <w:bookmarkStart w:id="6" w:name="_Toc21956"/>
      <w:bookmarkStart w:id="7" w:name="_Toc30336"/>
      <w:bookmarkStart w:id="8" w:name="_Toc4313"/>
    </w:p>
    <w:p w14:paraId="1D093358">
      <w:pPr>
        <w:pStyle w:val="3"/>
        <w:spacing w:before="0" w:after="0" w:line="560" w:lineRule="exact"/>
        <w:rPr>
          <w:rFonts w:ascii="仿宋_GB2312" w:hAnsi="仿宋_GB2312" w:eastAsia="仿宋_GB2312" w:cs="仿宋_GB2312"/>
          <w:sz w:val="32"/>
        </w:rPr>
      </w:pPr>
      <w:r>
        <w:rPr>
          <w:rFonts w:hint="eastAsia" w:ascii="仿宋_GB2312" w:hAnsi="仿宋_GB2312" w:eastAsia="仿宋_GB2312" w:cs="仿宋_GB2312"/>
          <w:sz w:val="32"/>
        </w:rPr>
        <w:t>第一部分</w:t>
      </w:r>
      <w:bookmarkEnd w:id="1"/>
      <w:r>
        <w:rPr>
          <w:rFonts w:hint="eastAsia" w:ascii="仿宋_GB2312" w:hAnsi="仿宋_GB2312" w:eastAsia="仿宋_GB2312" w:cs="仿宋_GB2312"/>
          <w:sz w:val="32"/>
        </w:rPr>
        <w:t>　</w:t>
      </w:r>
      <w:bookmarkEnd w:id="2"/>
      <w:bookmarkEnd w:id="3"/>
      <w:bookmarkEnd w:id="4"/>
      <w:bookmarkEnd w:id="5"/>
      <w:r>
        <w:rPr>
          <w:rFonts w:hint="eastAsia" w:ascii="仿宋_GB2312" w:hAnsi="仿宋_GB2312" w:eastAsia="仿宋_GB2312" w:cs="仿宋_GB2312"/>
          <w:sz w:val="32"/>
        </w:rPr>
        <w:t>采购邀请</w:t>
      </w:r>
      <w:bookmarkEnd w:id="6"/>
      <w:bookmarkEnd w:id="7"/>
      <w:bookmarkEnd w:id="8"/>
    </w:p>
    <w:p w14:paraId="2666D04A"/>
    <w:p w14:paraId="2B350186">
      <w:pPr>
        <w:spacing w:line="500" w:lineRule="exact"/>
        <w:ind w:firstLine="560" w:firstLineChars="200"/>
        <w:rPr>
          <w:rFonts w:ascii="仿宋_GB2312" w:hAnsi="仿宋_GB2312" w:eastAsia="仿宋_GB2312" w:cs="仿宋_GB2312"/>
          <w:sz w:val="28"/>
          <w:szCs w:val="28"/>
        </w:rPr>
      </w:pPr>
      <w:r>
        <w:rPr>
          <w:rFonts w:hint="eastAsia" w:ascii="仿宋" w:hAnsi="仿宋" w:eastAsia="仿宋" w:cs="仿宋_GB2312"/>
          <w:sz w:val="28"/>
          <w:szCs w:val="28"/>
          <w:u w:val="single"/>
        </w:rPr>
        <w:t>北京市西城区应急管理局</w:t>
      </w:r>
      <w:r>
        <w:rPr>
          <w:rFonts w:hint="eastAsia" w:ascii="仿宋_GB2312" w:hAnsi="仿宋_GB2312" w:eastAsia="仿宋_GB2312" w:cs="仿宋_GB2312"/>
          <w:sz w:val="28"/>
          <w:szCs w:val="28"/>
        </w:rPr>
        <w:t>对下述服务以</w:t>
      </w:r>
      <w:r>
        <w:rPr>
          <w:rFonts w:hint="eastAsia" w:ascii="仿宋_GB2312" w:hAnsi="仿宋_GB2312" w:eastAsia="仿宋_GB2312" w:cs="仿宋_GB2312"/>
          <w:b/>
          <w:bCs/>
          <w:sz w:val="28"/>
          <w:szCs w:val="28"/>
        </w:rPr>
        <w:t>比选方式（以下简称比选）</w:t>
      </w:r>
      <w:r>
        <w:rPr>
          <w:rFonts w:hint="eastAsia" w:ascii="仿宋_GB2312" w:hAnsi="仿宋_GB2312" w:eastAsia="仿宋_GB2312" w:cs="仿宋_GB2312"/>
          <w:sz w:val="28"/>
          <w:szCs w:val="28"/>
        </w:rPr>
        <w:t>确定1家供应商。现邀请贵单位前来参加本次采购工作。</w:t>
      </w:r>
    </w:p>
    <w:p w14:paraId="1F5AB20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1.项目名称：</w:t>
      </w:r>
      <w:r>
        <w:rPr>
          <w:rFonts w:hint="eastAsia" w:ascii="仿宋_GB2312" w:hAnsi="仿宋_GB2312" w:eastAsia="仿宋_GB2312" w:cs="仿宋_GB2312"/>
          <w:sz w:val="28"/>
          <w:szCs w:val="28"/>
          <w:highlight w:val="none"/>
          <w:lang w:val="en-US" w:eastAsia="zh-CN"/>
        </w:rPr>
        <w:t>2025年</w:t>
      </w:r>
      <w:r>
        <w:rPr>
          <w:rFonts w:hint="eastAsia" w:ascii="仿宋_GB2312" w:hAnsi="仿宋_GB2312" w:eastAsia="仿宋_GB2312" w:cs="仿宋_GB2312"/>
          <w:sz w:val="28"/>
          <w:szCs w:val="28"/>
          <w:highlight w:val="none"/>
        </w:rPr>
        <w:t>安全生产标准化评审组织级核查</w:t>
      </w:r>
    </w:p>
    <w:p w14:paraId="6CDCF92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2.项目控制金额：</w:t>
      </w:r>
      <w:r>
        <w:rPr>
          <w:rFonts w:hint="eastAsia" w:ascii="仿宋_GB2312" w:hAnsi="仿宋_GB2312" w:eastAsia="仿宋_GB2312" w:cs="仿宋_GB2312"/>
          <w:sz w:val="28"/>
          <w:szCs w:val="28"/>
          <w:highlight w:val="none"/>
          <w:lang w:val="en-US" w:eastAsia="zh-CN"/>
        </w:rPr>
        <w:t>35</w:t>
      </w:r>
      <w:r>
        <w:rPr>
          <w:rFonts w:hint="eastAsia" w:ascii="仿宋_GB2312" w:hAnsi="仿宋_GB2312" w:eastAsia="仿宋_GB2312" w:cs="仿宋_GB2312"/>
          <w:sz w:val="28"/>
          <w:szCs w:val="28"/>
          <w:highlight w:val="none"/>
        </w:rPr>
        <w:t>万元</w:t>
      </w:r>
    </w:p>
    <w:p w14:paraId="3B56A4D6">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rPr>
        <w:t>3.项目基本概况介绍</w:t>
      </w:r>
      <w:r>
        <w:rPr>
          <w:rFonts w:hint="eastAsia" w:ascii="仿宋_GB2312" w:hAnsi="仿宋_GB2312" w:eastAsia="仿宋_GB2312" w:cs="仿宋_GB2312"/>
          <w:sz w:val="28"/>
          <w:szCs w:val="28"/>
          <w:highlight w:val="none"/>
        </w:rPr>
        <w:t>：按照北京市安全生产委员会关于印发&lt;北京市企业安全生产标准化建设管理办法&gt;的通知》（京安发[2017]13号）的要求，委托第三方机构作为评审组织单位开展标准化评审组织工作和核查服务。</w:t>
      </w:r>
      <w:r>
        <w:rPr>
          <w:rFonts w:hint="eastAsia" w:ascii="仿宋_GB2312" w:hAnsi="仿宋_GB2312" w:eastAsia="仿宋_GB2312" w:cs="仿宋_GB2312"/>
          <w:sz w:val="28"/>
          <w:szCs w:val="28"/>
          <w:highlight w:val="none"/>
          <w:lang w:val="en-US" w:eastAsia="zh-CN"/>
        </w:rPr>
        <w:t>2025年</w:t>
      </w:r>
      <w:r>
        <w:rPr>
          <w:rFonts w:hint="eastAsia" w:ascii="仿宋_GB2312" w:hAnsi="仿宋_GB2312" w:eastAsia="仿宋_GB2312" w:cs="仿宋_GB2312"/>
          <w:sz w:val="28"/>
          <w:szCs w:val="28"/>
          <w:highlight w:val="none"/>
        </w:rPr>
        <w:t>拟计划完成三级标准化评审组织工作不少于150家，标准化企业核查300家。</w:t>
      </w:r>
    </w:p>
    <w:p w14:paraId="186DB9DF">
      <w:pPr>
        <w:pStyle w:val="2"/>
        <w:spacing w:line="500" w:lineRule="exact"/>
        <w:ind w:firstLine="560" w:firstLineChars="200"/>
        <w:rPr>
          <w:rFonts w:ascii="仿宋" w:hAnsi="仿宋" w:eastAsia="仿宋"/>
          <w:sz w:val="28"/>
        </w:rPr>
      </w:pPr>
      <w:r>
        <w:rPr>
          <w:rFonts w:hint="eastAsia" w:ascii="仿宋" w:hAnsi="仿宋" w:eastAsia="仿宋"/>
          <w:sz w:val="28"/>
        </w:rPr>
        <w:t>4.响应人应具备的资格：</w:t>
      </w:r>
    </w:p>
    <w:p w14:paraId="13992260">
      <w:pPr>
        <w:spacing w:line="500" w:lineRule="exact"/>
        <w:ind w:firstLine="560" w:firstLineChars="200"/>
        <w:rPr>
          <w:rFonts w:hint="eastAsia" w:ascii="仿宋" w:hAnsi="仿宋" w:eastAsia="仿宋"/>
          <w:sz w:val="28"/>
        </w:rPr>
      </w:pPr>
      <w:r>
        <w:rPr>
          <w:rFonts w:hint="eastAsia" w:ascii="仿宋" w:hAnsi="仿宋" w:eastAsia="仿宋"/>
          <w:sz w:val="28"/>
          <w:lang w:eastAsia="zh-CN"/>
        </w:rPr>
        <w:t>（</w:t>
      </w:r>
      <w:r>
        <w:rPr>
          <w:rFonts w:hint="eastAsia" w:ascii="仿宋" w:hAnsi="仿宋" w:eastAsia="仿宋"/>
          <w:sz w:val="28"/>
          <w:lang w:val="en-US" w:eastAsia="zh-CN"/>
        </w:rPr>
        <w:t>1</w:t>
      </w:r>
      <w:r>
        <w:rPr>
          <w:rFonts w:hint="eastAsia" w:ascii="仿宋" w:hAnsi="仿宋" w:eastAsia="仿宋"/>
          <w:sz w:val="28"/>
          <w:lang w:eastAsia="zh-CN"/>
        </w:rPr>
        <w:t>）</w:t>
      </w:r>
      <w:r>
        <w:rPr>
          <w:rFonts w:hint="eastAsia" w:ascii="仿宋" w:hAnsi="仿宋" w:eastAsia="仿宋"/>
          <w:sz w:val="28"/>
        </w:rPr>
        <w:t>满足《中华人民共和国政府采购法》第二十二条规定的要求。</w:t>
      </w:r>
    </w:p>
    <w:p w14:paraId="4A5A99FD">
      <w:pPr>
        <w:spacing w:line="500" w:lineRule="exact"/>
        <w:ind w:firstLine="560" w:firstLineChars="200"/>
        <w:rPr>
          <w:rFonts w:hint="eastAsia" w:ascii="仿宋" w:hAnsi="仿宋" w:eastAsia="仿宋"/>
          <w:sz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w:t>
      </w:r>
      <w:r>
        <w:rPr>
          <w:rFonts w:hint="eastAsia" w:ascii="仿宋" w:hAnsi="仿宋" w:eastAsia="仿宋"/>
          <w:sz w:val="28"/>
        </w:rPr>
        <w:t>参与比选的服务机构不能是被列入“信用中国”网站(www.creditchina.gov.cn)失信被执行人、重大税收违法案件当事人名单、政府采购严重违法失信行为记录名单的供应商。</w:t>
      </w:r>
    </w:p>
    <w:p w14:paraId="343CD3E6">
      <w:pPr>
        <w:spacing w:line="500" w:lineRule="exact"/>
        <w:ind w:firstLine="560" w:firstLineChars="200"/>
        <w:rPr>
          <w:rFonts w:hint="eastAsia" w:ascii="仿宋" w:hAnsi="仿宋" w:eastAsia="仿宋"/>
          <w:sz w:val="28"/>
        </w:rPr>
      </w:pPr>
      <w:r>
        <w:rPr>
          <w:rFonts w:hint="eastAsia" w:ascii="仿宋" w:hAnsi="仿宋" w:eastAsia="仿宋"/>
          <w:sz w:val="28"/>
          <w:lang w:eastAsia="zh-CN"/>
        </w:rPr>
        <w:t>（</w:t>
      </w:r>
      <w:r>
        <w:rPr>
          <w:rFonts w:hint="eastAsia" w:ascii="仿宋" w:hAnsi="仿宋" w:eastAsia="仿宋"/>
          <w:sz w:val="28"/>
          <w:lang w:val="en-US" w:eastAsia="zh-CN"/>
        </w:rPr>
        <w:t>3</w:t>
      </w:r>
      <w:r>
        <w:rPr>
          <w:rFonts w:hint="eastAsia" w:ascii="仿宋" w:hAnsi="仿宋" w:eastAsia="仿宋"/>
          <w:sz w:val="28"/>
          <w:lang w:eastAsia="zh-CN"/>
        </w:rPr>
        <w:t>）</w:t>
      </w:r>
      <w:r>
        <w:rPr>
          <w:rFonts w:hint="eastAsia" w:ascii="仿宋" w:hAnsi="仿宋" w:eastAsia="仿宋"/>
          <w:sz w:val="28"/>
        </w:rPr>
        <w:t>响应人应为安全生产、应急领域的社会组织，具备项目服务所需的资质、设备、专业技术能力和专业团队。</w:t>
      </w:r>
    </w:p>
    <w:p w14:paraId="1A5B9F4A">
      <w:pPr>
        <w:spacing w:line="5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5.应答文件递交截止时间：</w:t>
      </w:r>
      <w:r>
        <w:rPr>
          <w:rFonts w:hint="eastAsia" w:ascii="仿宋" w:hAnsi="仿宋" w:eastAsia="仿宋"/>
          <w:sz w:val="28"/>
        </w:rPr>
        <w:t>202</w:t>
      </w:r>
      <w:r>
        <w:rPr>
          <w:rFonts w:hint="eastAsia" w:ascii="仿宋" w:hAnsi="仿宋" w:eastAsia="仿宋"/>
          <w:sz w:val="28"/>
          <w:lang w:val="en-US" w:eastAsia="zh-CN"/>
        </w:rPr>
        <w:t>5</w:t>
      </w:r>
      <w:r>
        <w:rPr>
          <w:rFonts w:hint="eastAsia" w:ascii="仿宋" w:hAnsi="仿宋" w:eastAsia="仿宋"/>
          <w:sz w:val="28"/>
        </w:rPr>
        <w:t>年</w:t>
      </w:r>
      <w:r>
        <w:rPr>
          <w:rFonts w:hint="eastAsia" w:ascii="仿宋" w:hAnsi="仿宋" w:eastAsia="仿宋"/>
          <w:sz w:val="28"/>
          <w:lang w:val="en-US" w:eastAsia="zh-CN"/>
        </w:rPr>
        <w:t>2</w:t>
      </w:r>
      <w:r>
        <w:rPr>
          <w:rFonts w:hint="eastAsia" w:ascii="仿宋" w:hAnsi="仿宋" w:eastAsia="仿宋"/>
          <w:sz w:val="28"/>
        </w:rPr>
        <w:t>月</w:t>
      </w:r>
      <w:r>
        <w:rPr>
          <w:rFonts w:hint="eastAsia" w:ascii="仿宋" w:hAnsi="仿宋" w:eastAsia="仿宋"/>
          <w:sz w:val="28"/>
          <w:lang w:val="en-US" w:eastAsia="zh-CN"/>
        </w:rPr>
        <w:t>25</w:t>
      </w:r>
      <w:r>
        <w:rPr>
          <w:rFonts w:hint="eastAsia" w:ascii="仿宋" w:hAnsi="仿宋" w:eastAsia="仿宋"/>
          <w:sz w:val="28"/>
        </w:rPr>
        <w:t xml:space="preserve">日 </w:t>
      </w:r>
      <w:r>
        <w:rPr>
          <w:rFonts w:hint="eastAsia" w:ascii="仿宋" w:hAnsi="仿宋" w:eastAsia="仿宋"/>
          <w:sz w:val="28"/>
          <w:lang w:val="en-US" w:eastAsia="zh-CN"/>
        </w:rPr>
        <w:t>17</w:t>
      </w:r>
      <w:r>
        <w:rPr>
          <w:rFonts w:hint="eastAsia" w:ascii="仿宋" w:hAnsi="仿宋" w:eastAsia="仿宋"/>
          <w:sz w:val="28"/>
        </w:rPr>
        <w:t>:00（北京时间）。</w:t>
      </w:r>
      <w:r>
        <w:rPr>
          <w:rFonts w:hint="eastAsia" w:ascii="仿宋" w:hAnsi="仿宋" w:eastAsia="仿宋" w:cs="仿宋_GB2312"/>
          <w:sz w:val="28"/>
          <w:szCs w:val="28"/>
        </w:rPr>
        <w:t>响应人应按比选文件规定的截止时间前将应答文件发送至指定邮箱。逾期送达的或者未送达指定邮箱的申请文件，比选人均不予受理。</w:t>
      </w:r>
    </w:p>
    <w:p w14:paraId="2B709EE0">
      <w:pPr>
        <w:snapToGrid w:val="0"/>
        <w:spacing w:line="50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6.递交方式及地点</w:t>
      </w:r>
    </w:p>
    <w:p w14:paraId="51A39285">
      <w:pPr>
        <w:snapToGrid w:val="0"/>
        <w:spacing w:line="500" w:lineRule="exact"/>
        <w:ind w:firstLine="560" w:firstLineChars="200"/>
        <w:rPr>
          <w:rFonts w:hint="eastAsia" w:ascii="仿宋" w:hAnsi="仿宋" w:eastAsia="仿宋" w:cs="宋体"/>
          <w:sz w:val="28"/>
          <w:szCs w:val="28"/>
        </w:rPr>
      </w:pPr>
      <w:r>
        <w:rPr>
          <w:rFonts w:hint="eastAsia" w:ascii="仿宋" w:hAnsi="仿宋" w:eastAsia="仿宋"/>
          <w:sz w:val="28"/>
          <w:lang w:eastAsia="zh-CN"/>
        </w:rPr>
        <w:t>（</w:t>
      </w:r>
      <w:r>
        <w:rPr>
          <w:rFonts w:hint="eastAsia" w:ascii="仿宋" w:hAnsi="仿宋" w:eastAsia="仿宋"/>
          <w:sz w:val="28"/>
          <w:lang w:val="en-US" w:eastAsia="zh-CN"/>
        </w:rPr>
        <w:t>1</w:t>
      </w:r>
      <w:r>
        <w:rPr>
          <w:rFonts w:hint="eastAsia" w:ascii="仿宋" w:hAnsi="仿宋" w:eastAsia="仿宋"/>
          <w:sz w:val="28"/>
          <w:lang w:eastAsia="zh-CN"/>
        </w:rPr>
        <w:t>）</w:t>
      </w:r>
      <w:r>
        <w:rPr>
          <w:rFonts w:hint="eastAsia" w:ascii="仿宋" w:hAnsi="仿宋" w:eastAsia="仿宋" w:cs="宋体"/>
          <w:sz w:val="28"/>
          <w:szCs w:val="28"/>
        </w:rPr>
        <w:t>比选响应单位登录北京市中介服务交</w:t>
      </w:r>
      <w:bookmarkStart w:id="36" w:name="_GoBack"/>
      <w:bookmarkEnd w:id="36"/>
      <w:r>
        <w:rPr>
          <w:rFonts w:hint="eastAsia" w:ascii="仿宋" w:hAnsi="仿宋" w:eastAsia="仿宋" w:cs="宋体"/>
          <w:sz w:val="28"/>
          <w:szCs w:val="28"/>
        </w:rPr>
        <w:t>易平台（网址：http://zjfw.beijing.gov.cn/），在“公告公示”栏目找到本项目，在本项目公告的页面点击“我要参与”完成报名。</w:t>
      </w:r>
    </w:p>
    <w:p w14:paraId="58054CDA">
      <w:pPr>
        <w:snapToGrid w:val="0"/>
        <w:spacing w:line="50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2</w:t>
      </w:r>
      <w:r>
        <w:rPr>
          <w:rFonts w:hint="eastAsia" w:ascii="仿宋" w:hAnsi="仿宋" w:eastAsia="仿宋" w:cs="宋体"/>
          <w:sz w:val="28"/>
          <w:szCs w:val="28"/>
          <w:lang w:eastAsia="zh-CN"/>
        </w:rPr>
        <w:t>）</w:t>
      </w:r>
      <w:r>
        <w:rPr>
          <w:rFonts w:hint="eastAsia" w:ascii="仿宋" w:hAnsi="仿宋" w:eastAsia="仿宋" w:cs="宋体"/>
          <w:sz w:val="28"/>
          <w:szCs w:val="28"/>
        </w:rPr>
        <w:t>自行下载比选文件，按照文件要求在规定的截止时间前将应答文件电子版（加盖公章后的扫描件）以及应答单位联系方式等信息（联系人、联系电话、地址、邮箱等）发送至指定邮箱。逾期送达的或者未送达指定邮箱的申请文件，比选人均不予受理。（邮箱：</w:t>
      </w:r>
      <w:r>
        <w:rPr>
          <w:rFonts w:hint="eastAsia" w:ascii="仿宋" w:hAnsi="仿宋" w:eastAsia="仿宋" w:cs="宋体"/>
          <w:sz w:val="28"/>
          <w:szCs w:val="28"/>
          <w:lang w:val="en-US" w:eastAsia="zh-CN"/>
        </w:rPr>
        <w:t>qiaoanran</w:t>
      </w:r>
      <w:r>
        <w:rPr>
          <w:rFonts w:hint="eastAsia" w:ascii="仿宋" w:hAnsi="仿宋" w:eastAsia="仿宋" w:cs="宋体"/>
          <w:sz w:val="28"/>
          <w:szCs w:val="28"/>
        </w:rPr>
        <w:t>@bjxch.gov.cn,邮件标题 ：项目名称+单位全称）</w:t>
      </w:r>
    </w:p>
    <w:p w14:paraId="62036EA3">
      <w:pPr>
        <w:spacing w:line="500" w:lineRule="exact"/>
        <w:ind w:firstLine="560" w:firstLineChars="200"/>
      </w:pPr>
      <w:r>
        <w:rPr>
          <w:rFonts w:hint="eastAsia" w:ascii="仿宋_GB2312" w:hAnsi="仿宋_GB2312" w:eastAsia="仿宋_GB2312" w:cs="仿宋_GB2312"/>
          <w:sz w:val="28"/>
          <w:szCs w:val="28"/>
        </w:rPr>
        <w:t>7.应答文件递交地点：西城区二龙路27号</w:t>
      </w:r>
      <w:r>
        <w:rPr>
          <w:rFonts w:hint="eastAsia" w:ascii="仿宋_GB2312" w:hAnsi="仿宋_GB2312" w:eastAsia="仿宋_GB2312" w:cs="仿宋_GB2312"/>
          <w:sz w:val="28"/>
          <w:szCs w:val="28"/>
          <w:lang w:val="en-US" w:eastAsia="zh-CN"/>
        </w:rPr>
        <w:t>409</w:t>
      </w:r>
      <w:r>
        <w:rPr>
          <w:rFonts w:hint="eastAsia" w:ascii="仿宋_GB2312" w:hAnsi="仿宋_GB2312" w:eastAsia="仿宋_GB2312" w:cs="仿宋_GB2312"/>
          <w:sz w:val="28"/>
          <w:szCs w:val="28"/>
        </w:rPr>
        <w:t>室</w:t>
      </w:r>
    </w:p>
    <w:p w14:paraId="550FD339">
      <w:pPr>
        <w:pStyle w:val="2"/>
      </w:pPr>
      <w:bookmarkStart w:id="9" w:name="_Toc7529"/>
      <w:bookmarkStart w:id="10" w:name="_Toc17056"/>
      <w:bookmarkStart w:id="11" w:name="_Toc20431"/>
      <w:bookmarkStart w:id="12" w:name="_Toc19912"/>
      <w:bookmarkStart w:id="13" w:name="_Toc24240"/>
      <w:bookmarkStart w:id="14" w:name="_Toc19419"/>
    </w:p>
    <w:p w14:paraId="11E51CE8">
      <w:pPr>
        <w:spacing w:line="560" w:lineRule="exact"/>
        <w:jc w:val="center"/>
        <w:rPr>
          <w:rFonts w:ascii="仿宋_GB2312" w:hAnsi="仿宋_GB2312" w:eastAsia="仿宋_GB2312" w:cs="仿宋_GB2312"/>
          <w:b/>
          <w:sz w:val="32"/>
        </w:rPr>
      </w:pPr>
    </w:p>
    <w:p w14:paraId="718B46E2">
      <w:pPr>
        <w:spacing w:line="560" w:lineRule="exact"/>
        <w:jc w:val="center"/>
        <w:rPr>
          <w:rFonts w:ascii="仿宋_GB2312" w:hAnsi="仿宋_GB2312" w:eastAsia="仿宋_GB2312" w:cs="仿宋_GB2312"/>
          <w:b/>
          <w:sz w:val="32"/>
        </w:rPr>
      </w:pPr>
      <w:r>
        <w:rPr>
          <w:rFonts w:hint="eastAsia" w:ascii="仿宋_GB2312" w:hAnsi="仿宋_GB2312" w:eastAsia="仿宋_GB2312" w:cs="仿宋_GB2312"/>
          <w:b/>
          <w:sz w:val="32"/>
        </w:rPr>
        <w:t>第二部分　</w:t>
      </w:r>
      <w:bookmarkEnd w:id="9"/>
      <w:bookmarkEnd w:id="10"/>
      <w:bookmarkEnd w:id="11"/>
      <w:r>
        <w:rPr>
          <w:rFonts w:hint="eastAsia" w:ascii="仿宋_GB2312" w:hAnsi="仿宋_GB2312" w:eastAsia="仿宋_GB2312" w:cs="仿宋_GB2312"/>
          <w:b/>
          <w:sz w:val="32"/>
        </w:rPr>
        <w:t>应答文件编制要求</w:t>
      </w:r>
    </w:p>
    <w:p w14:paraId="24A9363D">
      <w:pPr>
        <w:pStyle w:val="2"/>
      </w:pPr>
    </w:p>
    <w:p w14:paraId="50F86D3F">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应答文件(统一格式)组成，包括：</w:t>
      </w:r>
    </w:p>
    <w:p w14:paraId="09CD213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1.提供营业执照、机构资质复印件（加盖公章）；</w:t>
      </w:r>
    </w:p>
    <w:p w14:paraId="065D1C6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2.提供法定代表人的授权委托书（法定授权人签字并加盖公章）；</w:t>
      </w:r>
    </w:p>
    <w:p w14:paraId="57EF39CC">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3.提供包括但不限于应答单位简介、业绩证明材料、专家资格证书、服务方案等有利于评审的资料；</w:t>
      </w:r>
    </w:p>
    <w:p w14:paraId="4F7AE113">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4.提供参加本次响应前三年内，在经营活动中没有重大违法违规记录的书面声明函（自行编写）；</w:t>
      </w:r>
    </w:p>
    <w:p w14:paraId="00D4619A">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5.提供响应单位信用记录查询结果声明；声明需附通过“信用中国”网站（www.creditchina.gov.cn）及中国政府采购网（www.ccgp.gov.cn）查询到的信用记录结果网页截屏；</w:t>
      </w:r>
    </w:p>
    <w:p w14:paraId="2BF013F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6.提供比选响应单位的服务报价；</w:t>
      </w:r>
    </w:p>
    <w:p w14:paraId="53DD0CFC">
      <w:pPr>
        <w:spacing w:line="560" w:lineRule="exact"/>
        <w:ind w:firstLine="560" w:firstLineChars="200"/>
        <w:jc w:val="left"/>
        <w:rPr>
          <w:rFonts w:ascii="仿宋_GB2312" w:hAnsi="仿宋_GB2312" w:eastAsia="仿宋_GB2312" w:cs="仿宋_GB2312"/>
          <w:b/>
          <w:sz w:val="32"/>
        </w:rPr>
      </w:pPr>
      <w:r>
        <w:rPr>
          <w:rFonts w:hint="eastAsia" w:ascii="仿宋_GB2312" w:hAnsi="仿宋_GB2312" w:eastAsia="仿宋_GB2312" w:cs="仿宋_GB2312"/>
          <w:sz w:val="28"/>
          <w:szCs w:val="28"/>
        </w:rPr>
        <w:t>7.比选响应材料须密封或装订成册。</w:t>
      </w:r>
    </w:p>
    <w:p w14:paraId="47082708">
      <w:pPr>
        <w:spacing w:line="560" w:lineRule="exact"/>
        <w:jc w:val="center"/>
        <w:rPr>
          <w:rFonts w:hint="eastAsia" w:ascii="仿宋_GB2312" w:hAnsi="仿宋_GB2312" w:eastAsia="仿宋_GB2312" w:cs="仿宋_GB2312"/>
          <w:b/>
          <w:sz w:val="32"/>
        </w:rPr>
      </w:pPr>
    </w:p>
    <w:p w14:paraId="083E2C83">
      <w:pPr>
        <w:pStyle w:val="2"/>
        <w:rPr>
          <w:rFonts w:hint="eastAsia"/>
        </w:rPr>
      </w:pPr>
    </w:p>
    <w:p w14:paraId="67F32778">
      <w:pPr>
        <w:pStyle w:val="2"/>
      </w:pPr>
    </w:p>
    <w:p w14:paraId="25B2E738">
      <w:pPr>
        <w:spacing w:line="560" w:lineRule="exact"/>
        <w:jc w:val="center"/>
        <w:rPr>
          <w:rFonts w:ascii="仿宋_GB2312" w:hAnsi="仿宋_GB2312" w:eastAsia="仿宋_GB2312" w:cs="仿宋_GB2312"/>
          <w:b/>
        </w:rPr>
      </w:pPr>
      <w:r>
        <w:rPr>
          <w:rFonts w:hint="eastAsia" w:ascii="仿宋_GB2312" w:hAnsi="仿宋_GB2312" w:eastAsia="仿宋_GB2312" w:cs="仿宋_GB2312"/>
          <w:b/>
          <w:sz w:val="32"/>
        </w:rPr>
        <w:t>第三部分　采购需求</w:t>
      </w:r>
    </w:p>
    <w:p w14:paraId="387492B3">
      <w:pPr>
        <w:spacing w:line="560" w:lineRule="exact"/>
        <w:ind w:firstLine="562" w:firstLineChars="200"/>
        <w:jc w:val="left"/>
        <w:rPr>
          <w:rFonts w:ascii="仿宋_GB2312" w:hAnsi="仿宋_GB2312" w:eastAsia="仿宋_GB2312" w:cs="仿宋_GB2312"/>
          <w:b/>
          <w:bCs/>
          <w:sz w:val="28"/>
          <w:szCs w:val="28"/>
        </w:rPr>
      </w:pPr>
    </w:p>
    <w:p w14:paraId="49B9FCE4">
      <w:pPr>
        <w:spacing w:line="56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一、基本要求</w:t>
      </w:r>
    </w:p>
    <w:p w14:paraId="6C1DCA5A">
      <w:pPr>
        <w:spacing w:line="500" w:lineRule="exact"/>
        <w:ind w:firstLine="560" w:firstLineChars="200"/>
        <w:rPr>
          <w:rFonts w:hint="eastAsia" w:ascii="仿宋" w:hAnsi="仿宋" w:eastAsia="仿宋"/>
          <w:sz w:val="28"/>
        </w:rPr>
      </w:pPr>
      <w:r>
        <w:rPr>
          <w:rFonts w:hint="eastAsia" w:ascii="仿宋" w:hAnsi="仿宋" w:eastAsia="仿宋"/>
          <w:sz w:val="28"/>
          <w:lang w:eastAsia="zh-CN"/>
        </w:rPr>
        <w:t>（</w:t>
      </w:r>
      <w:r>
        <w:rPr>
          <w:rFonts w:hint="eastAsia" w:ascii="仿宋" w:hAnsi="仿宋" w:eastAsia="仿宋"/>
          <w:sz w:val="28"/>
          <w:lang w:val="en-US" w:eastAsia="zh-CN"/>
        </w:rPr>
        <w:t>1</w:t>
      </w:r>
      <w:r>
        <w:rPr>
          <w:rFonts w:hint="eastAsia" w:ascii="仿宋" w:hAnsi="仿宋" w:eastAsia="仿宋"/>
          <w:sz w:val="28"/>
          <w:lang w:eastAsia="zh-CN"/>
        </w:rPr>
        <w:t>）</w:t>
      </w:r>
      <w:r>
        <w:rPr>
          <w:rFonts w:hint="eastAsia" w:ascii="仿宋" w:hAnsi="仿宋" w:eastAsia="仿宋"/>
          <w:sz w:val="28"/>
        </w:rPr>
        <w:t>满足《中华人民共和国政府采购法》第二十二条规定的要求。</w:t>
      </w:r>
    </w:p>
    <w:p w14:paraId="72633845">
      <w:pPr>
        <w:spacing w:line="500" w:lineRule="exact"/>
        <w:ind w:firstLine="560" w:firstLineChars="200"/>
        <w:rPr>
          <w:rFonts w:hint="eastAsia" w:ascii="仿宋" w:hAnsi="仿宋" w:eastAsia="仿宋"/>
          <w:sz w:val="28"/>
        </w:rPr>
      </w:pPr>
      <w:r>
        <w:rPr>
          <w:rFonts w:hint="eastAsia" w:ascii="仿宋" w:hAnsi="仿宋" w:eastAsia="仿宋"/>
          <w:sz w:val="28"/>
          <w:lang w:eastAsia="zh-CN"/>
        </w:rPr>
        <w:t>（</w:t>
      </w:r>
      <w:r>
        <w:rPr>
          <w:rFonts w:hint="eastAsia" w:ascii="仿宋" w:hAnsi="仿宋" w:eastAsia="仿宋"/>
          <w:sz w:val="28"/>
          <w:lang w:val="en-US" w:eastAsia="zh-CN"/>
        </w:rPr>
        <w:t>2</w:t>
      </w:r>
      <w:r>
        <w:rPr>
          <w:rFonts w:hint="eastAsia" w:ascii="仿宋" w:hAnsi="仿宋" w:eastAsia="仿宋"/>
          <w:sz w:val="28"/>
          <w:lang w:eastAsia="zh-CN"/>
        </w:rPr>
        <w:t>）</w:t>
      </w:r>
      <w:r>
        <w:rPr>
          <w:rFonts w:hint="eastAsia" w:ascii="仿宋" w:hAnsi="仿宋" w:eastAsia="仿宋"/>
          <w:sz w:val="28"/>
        </w:rPr>
        <w:t>参与比选的服务机构不能是被列入“信用中国”网站(www.creditchina.gov.cn)失信被执行人、重大税收违法案件当事人名单、政府采购严重违法失信行为记录名单的供应商。</w:t>
      </w:r>
    </w:p>
    <w:p w14:paraId="4C07A235">
      <w:pPr>
        <w:spacing w:line="500" w:lineRule="exact"/>
        <w:ind w:firstLine="560" w:firstLineChars="200"/>
        <w:rPr>
          <w:rFonts w:hint="eastAsia" w:ascii="仿宋" w:hAnsi="仿宋" w:eastAsia="仿宋"/>
          <w:sz w:val="28"/>
        </w:rPr>
      </w:pPr>
      <w:r>
        <w:rPr>
          <w:rFonts w:hint="eastAsia" w:ascii="仿宋" w:hAnsi="仿宋" w:eastAsia="仿宋"/>
          <w:sz w:val="28"/>
          <w:lang w:eastAsia="zh-CN"/>
        </w:rPr>
        <w:t>（</w:t>
      </w:r>
      <w:r>
        <w:rPr>
          <w:rFonts w:hint="eastAsia" w:ascii="仿宋" w:hAnsi="仿宋" w:eastAsia="仿宋"/>
          <w:sz w:val="28"/>
          <w:lang w:val="en-US" w:eastAsia="zh-CN"/>
        </w:rPr>
        <w:t>3</w:t>
      </w:r>
      <w:r>
        <w:rPr>
          <w:rFonts w:hint="eastAsia" w:ascii="仿宋" w:hAnsi="仿宋" w:eastAsia="仿宋"/>
          <w:sz w:val="28"/>
          <w:lang w:eastAsia="zh-CN"/>
        </w:rPr>
        <w:t>）</w:t>
      </w:r>
      <w:r>
        <w:rPr>
          <w:rFonts w:hint="eastAsia" w:ascii="仿宋" w:hAnsi="仿宋" w:eastAsia="仿宋"/>
          <w:sz w:val="28"/>
        </w:rPr>
        <w:t>响应人应为安全生产、应急领域的社会组织，具备项目服务所需的资质、设备、专业技术能力和专业团队。</w:t>
      </w:r>
    </w:p>
    <w:p w14:paraId="0A177020">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二、服务期限</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日至202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31</w:t>
      </w:r>
      <w:r>
        <w:rPr>
          <w:rFonts w:hint="eastAsia" w:ascii="仿宋_GB2312" w:hAnsi="仿宋_GB2312" w:eastAsia="仿宋_GB2312" w:cs="仿宋_GB2312"/>
          <w:sz w:val="28"/>
          <w:szCs w:val="28"/>
          <w:highlight w:val="none"/>
        </w:rPr>
        <w:t>日。</w:t>
      </w:r>
    </w:p>
    <w:p w14:paraId="19696848">
      <w:pPr>
        <w:spacing w:line="5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三、服务内容</w:t>
      </w:r>
    </w:p>
    <w:p w14:paraId="199CA97F">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1.聘请第三方机构作为评审组织单位，承担评审组织日常工作，</w:t>
      </w:r>
      <w:r>
        <w:rPr>
          <w:rFonts w:hint="eastAsia" w:ascii="仿宋_GB2312" w:hAnsi="仿宋_GB2312" w:eastAsia="仿宋_GB2312" w:cs="仿宋_GB2312"/>
          <w:sz w:val="28"/>
          <w:szCs w:val="28"/>
          <w:highlight w:val="none"/>
          <w:lang w:val="en-US" w:eastAsia="zh-CN"/>
        </w:rPr>
        <w:t>2025年</w:t>
      </w:r>
      <w:r>
        <w:rPr>
          <w:rFonts w:hint="eastAsia" w:ascii="仿宋_GB2312" w:hAnsi="仿宋_GB2312" w:eastAsia="仿宋_GB2312" w:cs="仿宋_GB2312"/>
          <w:sz w:val="28"/>
          <w:szCs w:val="28"/>
          <w:highlight w:val="none"/>
        </w:rPr>
        <w:t>完成不少于150家企业的三级标准化评审组织工作，并颁发证书。组织专家协助开展工业企业、危险化学品经营企业及无行业主管部门认领企业的标准化现场复核工作。</w:t>
      </w:r>
    </w:p>
    <w:p w14:paraId="0D951853">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2.组织专家对三级标准化企业和小微达标企业开展核查。</w:t>
      </w:r>
      <w:r>
        <w:rPr>
          <w:rFonts w:hint="eastAsia" w:ascii="仿宋_GB2312" w:hAnsi="仿宋_GB2312" w:eastAsia="仿宋_GB2312" w:cs="仿宋_GB2312"/>
          <w:sz w:val="28"/>
          <w:szCs w:val="28"/>
          <w:highlight w:val="none"/>
          <w:lang w:val="en-US" w:eastAsia="zh-CN"/>
        </w:rPr>
        <w:t>2025年</w:t>
      </w:r>
      <w:r>
        <w:rPr>
          <w:rFonts w:hint="eastAsia" w:ascii="仿宋_GB2312" w:hAnsi="仿宋_GB2312" w:eastAsia="仿宋_GB2312" w:cs="仿宋_GB2312"/>
          <w:sz w:val="28"/>
          <w:szCs w:val="28"/>
          <w:highlight w:val="none"/>
        </w:rPr>
        <w:t>完成三级企业</w:t>
      </w:r>
      <w:r>
        <w:rPr>
          <w:rFonts w:hint="eastAsia" w:ascii="仿宋_GB2312" w:hAnsi="仿宋_GB2312" w:eastAsia="仿宋_GB2312" w:cs="仿宋_GB2312"/>
          <w:sz w:val="28"/>
          <w:szCs w:val="28"/>
          <w:highlight w:val="none"/>
          <w:lang w:eastAsia="zh-CN"/>
        </w:rPr>
        <w:t>不少于</w:t>
      </w:r>
      <w:r>
        <w:rPr>
          <w:rFonts w:hint="eastAsia" w:ascii="仿宋_GB2312" w:hAnsi="仿宋_GB2312" w:eastAsia="仿宋_GB2312" w:cs="仿宋_GB2312"/>
          <w:sz w:val="28"/>
          <w:szCs w:val="28"/>
          <w:highlight w:val="none"/>
        </w:rPr>
        <w:t>100家</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小微企业</w:t>
      </w:r>
      <w:r>
        <w:rPr>
          <w:rFonts w:hint="eastAsia" w:ascii="仿宋_GB2312" w:hAnsi="仿宋_GB2312" w:eastAsia="仿宋_GB2312" w:cs="仿宋_GB2312"/>
          <w:sz w:val="28"/>
          <w:szCs w:val="28"/>
          <w:highlight w:val="none"/>
          <w:lang w:eastAsia="zh-CN"/>
        </w:rPr>
        <w:t>不少于</w:t>
      </w:r>
      <w:r>
        <w:rPr>
          <w:rFonts w:hint="eastAsia" w:ascii="仿宋_GB2312" w:hAnsi="仿宋_GB2312" w:eastAsia="仿宋_GB2312" w:cs="仿宋_GB2312"/>
          <w:sz w:val="28"/>
          <w:szCs w:val="28"/>
          <w:highlight w:val="none"/>
          <w:lang w:val="en-US" w:eastAsia="zh-CN"/>
        </w:rPr>
        <w:t>200</w:t>
      </w:r>
      <w:r>
        <w:rPr>
          <w:rFonts w:hint="eastAsia" w:ascii="仿宋_GB2312" w:hAnsi="仿宋_GB2312" w:eastAsia="仿宋_GB2312" w:cs="仿宋_GB2312"/>
          <w:sz w:val="28"/>
          <w:szCs w:val="28"/>
          <w:highlight w:val="none"/>
          <w:lang w:eastAsia="zh-CN"/>
        </w:rPr>
        <w:t>家</w:t>
      </w:r>
      <w:r>
        <w:rPr>
          <w:rFonts w:hint="eastAsia" w:ascii="仿宋_GB2312" w:hAnsi="仿宋_GB2312" w:eastAsia="仿宋_GB2312" w:cs="仿宋_GB2312"/>
          <w:sz w:val="28"/>
          <w:szCs w:val="28"/>
          <w:highlight w:val="none"/>
        </w:rPr>
        <w:t>。</w:t>
      </w:r>
    </w:p>
    <w:p w14:paraId="61CEF41D">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四、服务人员要求</w:t>
      </w:r>
    </w:p>
    <w:p w14:paraId="5ED089F1">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按照《北京市企业安全生产标准化建设管理办法》的要求，作为评审组织单位做好标准化企业现场复核等相关服务，并开展标准化企业达标核查。</w:t>
      </w:r>
    </w:p>
    <w:p w14:paraId="28A90CC4">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五、其他要求及说明</w:t>
      </w:r>
    </w:p>
    <w:p w14:paraId="1B583DF8">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（一）回避要求</w:t>
      </w:r>
    </w:p>
    <w:p w14:paraId="6CCC05BE">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（1）响应单位的法定代表人、控股股东或者实际控制人为同一人的，不得同时参加本项目比选；</w:t>
      </w:r>
    </w:p>
    <w:p w14:paraId="24CBBC67">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（2）响应单位的法定代表人或实际控制人，和项目单位法定代表人或者项目负责人有夫妻、直系血亲、三代以内旁系血亲或者近姻亲关系的；</w:t>
      </w:r>
    </w:p>
    <w:p w14:paraId="2F2B0F1F">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（3）中介机构与项目单位具有投资控股关系；</w:t>
      </w:r>
    </w:p>
    <w:p w14:paraId="4BD4F422">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（4）存在其他影响公平竞争，应当回避情形的。</w:t>
      </w:r>
    </w:p>
    <w:p w14:paraId="0BAE5C01">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（二）保密要求</w:t>
      </w:r>
    </w:p>
    <w:p w14:paraId="4F2B1F03">
      <w:pPr>
        <w:pStyle w:val="2"/>
        <w:keepNext w:val="0"/>
        <w:keepLines w:val="0"/>
        <w:pageBreakBefore w:val="0"/>
        <w:widowControl w:val="0"/>
        <w:kinsoku/>
        <w:wordWrap/>
        <w:overflowPunct/>
        <w:topLinePunct w:val="0"/>
        <w:autoSpaceDE/>
        <w:autoSpaceDN/>
        <w:bidi w:val="0"/>
        <w:adjustRightInd/>
        <w:snapToGrid/>
        <w:spacing w:line="560" w:lineRule="atLeas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期间应严格遵守国家保密工作的有关规定，保守工作中知悉的国家秘密、政府信息、政府决策与计划、工作秘密、经济信息、技术信息、工作人员信息、商业秘密及其他秘密。严格采购人工作单位保密要求，对所有涉及采购人业务领域的工作均应予以保密</w:t>
      </w:r>
    </w:p>
    <w:p w14:paraId="42CFFA4B">
      <w:pPr>
        <w:pStyle w:val="2"/>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pPr>
    </w:p>
    <w:p w14:paraId="12BEBAD2">
      <w:pPr>
        <w:pStyle w:val="2"/>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pPr>
    </w:p>
    <w:p w14:paraId="0BA9D1F1">
      <w:pPr>
        <w:pStyle w:val="2"/>
        <w:keepNext w:val="0"/>
        <w:keepLines w:val="0"/>
        <w:pageBreakBefore w:val="0"/>
        <w:widowControl w:val="0"/>
        <w:kinsoku/>
        <w:wordWrap/>
        <w:overflowPunct/>
        <w:topLinePunct w:val="0"/>
        <w:autoSpaceDE/>
        <w:autoSpaceDN/>
        <w:bidi w:val="0"/>
        <w:adjustRightInd/>
        <w:snapToGrid/>
        <w:spacing w:line="560" w:lineRule="atLeast"/>
        <w:ind w:firstLine="480" w:firstLineChars="200"/>
        <w:textAlignment w:val="auto"/>
      </w:pPr>
    </w:p>
    <w:p w14:paraId="7C4FA9B8">
      <w:pPr>
        <w:pStyle w:val="2"/>
      </w:pPr>
    </w:p>
    <w:p w14:paraId="2DD6A145">
      <w:pPr>
        <w:numPr>
          <w:ilvl w:val="0"/>
          <w:numId w:val="1"/>
        </w:numPr>
        <w:spacing w:line="560" w:lineRule="exact"/>
        <w:jc w:val="center"/>
        <w:rPr>
          <w:rFonts w:ascii="仿宋_GB2312" w:hAnsi="仿宋_GB2312" w:eastAsia="仿宋_GB2312" w:cs="仿宋_GB2312"/>
          <w:b/>
          <w:sz w:val="32"/>
        </w:rPr>
      </w:pPr>
      <w:r>
        <w:rPr>
          <w:rFonts w:hint="eastAsia" w:ascii="仿宋_GB2312" w:hAnsi="仿宋_GB2312" w:eastAsia="仿宋_GB2312" w:cs="仿宋_GB2312"/>
          <w:b/>
          <w:sz w:val="32"/>
        </w:rPr>
        <w:t>评审方法及标准</w:t>
      </w:r>
    </w:p>
    <w:p w14:paraId="767A40C0">
      <w:pPr>
        <w:pStyle w:val="2"/>
      </w:pPr>
    </w:p>
    <w:bookmarkEnd w:id="12"/>
    <w:bookmarkEnd w:id="13"/>
    <w:bookmarkEnd w:id="14"/>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4962"/>
        <w:gridCol w:w="1071"/>
      </w:tblGrid>
      <w:tr w14:paraId="64A7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129" w:type="dxa"/>
            <w:tcBorders>
              <w:top w:val="single" w:color="auto" w:sz="4" w:space="0"/>
              <w:left w:val="single" w:color="auto" w:sz="4" w:space="0"/>
              <w:bottom w:val="single" w:color="auto" w:sz="4" w:space="0"/>
              <w:right w:val="single" w:color="auto" w:sz="4" w:space="0"/>
            </w:tcBorders>
            <w:vAlign w:val="center"/>
          </w:tcPr>
          <w:p w14:paraId="5D1D1068">
            <w:pPr>
              <w:jc w:val="center"/>
            </w:pPr>
            <w:bookmarkStart w:id="15" w:name="_Toc4779"/>
            <w:bookmarkStart w:id="16" w:name="_Toc16666"/>
            <w:bookmarkStart w:id="17" w:name="第五部分"/>
            <w:bookmarkStart w:id="18" w:name="_Toc22070"/>
            <w:bookmarkStart w:id="19" w:name="_Toc29578"/>
            <w:bookmarkStart w:id="20" w:name="_Toc11156"/>
            <w:bookmarkStart w:id="21" w:name="_Toc20603"/>
            <w:bookmarkStart w:id="22" w:name="_Toc20586"/>
            <w:r>
              <w:rPr>
                <w:rFonts w:hint="eastAsia"/>
              </w:rPr>
              <w:t>项目</w:t>
            </w:r>
          </w:p>
        </w:tc>
        <w:tc>
          <w:tcPr>
            <w:tcW w:w="6096" w:type="dxa"/>
            <w:gridSpan w:val="2"/>
            <w:tcBorders>
              <w:top w:val="single" w:color="auto" w:sz="4" w:space="0"/>
              <w:left w:val="single" w:color="auto" w:sz="4" w:space="0"/>
              <w:bottom w:val="single" w:color="auto" w:sz="4" w:space="0"/>
              <w:right w:val="single" w:color="auto" w:sz="4" w:space="0"/>
            </w:tcBorders>
            <w:vAlign w:val="center"/>
          </w:tcPr>
          <w:p w14:paraId="5E6DAA35">
            <w:pPr>
              <w:jc w:val="center"/>
            </w:pPr>
            <w:r>
              <w:rPr>
                <w:rFonts w:hint="eastAsia"/>
              </w:rPr>
              <w:t>评审因素</w:t>
            </w:r>
          </w:p>
        </w:tc>
        <w:tc>
          <w:tcPr>
            <w:tcW w:w="1071" w:type="dxa"/>
            <w:tcBorders>
              <w:top w:val="single" w:color="auto" w:sz="4" w:space="0"/>
              <w:left w:val="single" w:color="auto" w:sz="4" w:space="0"/>
              <w:bottom w:val="single" w:color="auto" w:sz="4" w:space="0"/>
              <w:right w:val="single" w:color="auto" w:sz="4" w:space="0"/>
            </w:tcBorders>
            <w:vAlign w:val="center"/>
          </w:tcPr>
          <w:p w14:paraId="48C8D8E8">
            <w:pPr>
              <w:jc w:val="center"/>
            </w:pPr>
            <w:r>
              <w:rPr>
                <w:rFonts w:hint="eastAsia"/>
              </w:rPr>
              <w:t>分值</w:t>
            </w:r>
          </w:p>
        </w:tc>
      </w:tr>
      <w:tr w14:paraId="7C3C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08208D24">
            <w:pPr>
              <w:rPr>
                <w:rFonts w:hint="eastAsia" w:cs="Times New Roman"/>
                <w:color w:val="auto"/>
              </w:rPr>
            </w:pPr>
            <w:r>
              <w:rPr>
                <w:rFonts w:hint="eastAsia" w:cs="Times New Roman"/>
                <w:color w:val="auto"/>
              </w:rPr>
              <w:t>价格部分</w:t>
            </w:r>
          </w:p>
          <w:p w14:paraId="5A8727D8">
            <w:pPr>
              <w:rPr>
                <w:rFonts w:hint="eastAsia" w:cs="Times New Roman"/>
                <w:color w:val="auto"/>
              </w:rPr>
            </w:pPr>
            <w:r>
              <w:rPr>
                <w:rFonts w:hint="eastAsia" w:cs="Times New Roman"/>
                <w:color w:val="auto"/>
              </w:rPr>
              <w:t>（10分）</w:t>
            </w:r>
          </w:p>
        </w:tc>
        <w:tc>
          <w:tcPr>
            <w:tcW w:w="1134" w:type="dxa"/>
            <w:tcBorders>
              <w:top w:val="single" w:color="auto" w:sz="4" w:space="0"/>
              <w:left w:val="single" w:color="auto" w:sz="4" w:space="0"/>
              <w:bottom w:val="single" w:color="auto" w:sz="4" w:space="0"/>
              <w:right w:val="single" w:color="auto" w:sz="4" w:space="0"/>
            </w:tcBorders>
            <w:vAlign w:val="center"/>
          </w:tcPr>
          <w:p w14:paraId="59ADD750">
            <w:pPr>
              <w:rPr>
                <w:rFonts w:hint="eastAsia" w:cs="Times New Roman"/>
                <w:color w:val="auto"/>
              </w:rPr>
            </w:pPr>
            <w:r>
              <w:rPr>
                <w:rFonts w:hint="eastAsia" w:cs="Times New Roman"/>
                <w:color w:val="auto"/>
              </w:rPr>
              <w:t>报价</w:t>
            </w:r>
          </w:p>
          <w:p w14:paraId="66E518F5">
            <w:pPr>
              <w:rPr>
                <w:rFonts w:hint="eastAsia" w:cs="Times New Roman"/>
                <w:color w:val="auto"/>
              </w:rPr>
            </w:pPr>
            <w:r>
              <w:rPr>
                <w:rFonts w:hint="eastAsia" w:cs="Times New Roman"/>
                <w:color w:val="auto"/>
              </w:rPr>
              <w:t>（10分）</w:t>
            </w:r>
          </w:p>
        </w:tc>
        <w:tc>
          <w:tcPr>
            <w:tcW w:w="4962" w:type="dxa"/>
            <w:tcBorders>
              <w:top w:val="single" w:color="auto" w:sz="4" w:space="0"/>
              <w:left w:val="single" w:color="auto" w:sz="4" w:space="0"/>
              <w:bottom w:val="single" w:color="auto" w:sz="4" w:space="0"/>
              <w:right w:val="single" w:color="auto" w:sz="4" w:space="0"/>
            </w:tcBorders>
            <w:vAlign w:val="top"/>
          </w:tcPr>
          <w:p w14:paraId="7CC2693A">
            <w:pPr>
              <w:rPr>
                <w:rFonts w:hint="eastAsia" w:cs="Times New Roman"/>
                <w:color w:val="auto"/>
              </w:rPr>
            </w:pPr>
            <w:r>
              <w:rPr>
                <w:rFonts w:hint="eastAsia" w:cs="Times New Roman"/>
                <w:color w:val="auto"/>
              </w:rPr>
              <w:t>价格分统一采用低价优先法计算。评标基准价=满足招标文件条件且最低的评标价格</w:t>
            </w:r>
          </w:p>
          <w:p w14:paraId="01E3A2E4">
            <w:pPr>
              <w:rPr>
                <w:rFonts w:hint="eastAsia" w:cs="Times New Roman"/>
                <w:color w:val="auto"/>
              </w:rPr>
            </w:pPr>
            <w:r>
              <w:rPr>
                <w:rFonts w:hint="eastAsia" w:cs="Times New Roman"/>
                <w:color w:val="auto"/>
              </w:rPr>
              <w:t>合格供应商的有效价格得分=（评标基准价/投标报价）X10</w:t>
            </w:r>
          </w:p>
        </w:tc>
        <w:tc>
          <w:tcPr>
            <w:tcW w:w="1071" w:type="dxa"/>
            <w:tcBorders>
              <w:top w:val="single" w:color="auto" w:sz="4" w:space="0"/>
              <w:left w:val="single" w:color="auto" w:sz="4" w:space="0"/>
              <w:bottom w:val="single" w:color="auto" w:sz="4" w:space="0"/>
              <w:right w:val="single" w:color="auto" w:sz="4" w:space="0"/>
            </w:tcBorders>
            <w:vAlign w:val="center"/>
          </w:tcPr>
          <w:p w14:paraId="48700768">
            <w:pPr>
              <w:rPr>
                <w:rFonts w:hint="eastAsia" w:cs="Times New Roman"/>
                <w:color w:val="auto"/>
              </w:rPr>
            </w:pPr>
          </w:p>
        </w:tc>
      </w:tr>
      <w:tr w14:paraId="7DA4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5B61282A">
            <w:pPr>
              <w:rPr>
                <w:rFonts w:hint="eastAsia" w:cs="Times New Roman"/>
                <w:color w:val="auto"/>
              </w:rPr>
            </w:pPr>
            <w:r>
              <w:rPr>
                <w:rFonts w:hint="eastAsia" w:cs="Times New Roman"/>
                <w:color w:val="auto"/>
              </w:rPr>
              <w:t>商务部分</w:t>
            </w:r>
          </w:p>
          <w:p w14:paraId="50E15C1A">
            <w:pPr>
              <w:rPr>
                <w:rFonts w:hint="eastAsia" w:cs="Times New Roman"/>
                <w:color w:val="auto"/>
              </w:rPr>
            </w:pPr>
            <w:r>
              <w:rPr>
                <w:rFonts w:hint="eastAsia" w:cs="Times New Roman"/>
                <w:color w:val="auto"/>
              </w:rPr>
              <w:t>（20分）</w:t>
            </w:r>
          </w:p>
        </w:tc>
        <w:tc>
          <w:tcPr>
            <w:tcW w:w="1134" w:type="dxa"/>
            <w:tcBorders>
              <w:top w:val="single" w:color="auto" w:sz="4" w:space="0"/>
              <w:left w:val="single" w:color="auto" w:sz="4" w:space="0"/>
              <w:bottom w:val="single" w:color="auto" w:sz="4" w:space="0"/>
              <w:right w:val="single" w:color="auto" w:sz="4" w:space="0"/>
            </w:tcBorders>
            <w:vAlign w:val="center"/>
          </w:tcPr>
          <w:p w14:paraId="7FB67A1F">
            <w:pPr>
              <w:rPr>
                <w:rFonts w:hint="eastAsia" w:cs="Times New Roman"/>
                <w:color w:val="auto"/>
              </w:rPr>
            </w:pPr>
            <w:r>
              <w:rPr>
                <w:rFonts w:hint="eastAsia" w:cs="Times New Roman"/>
                <w:color w:val="auto"/>
              </w:rPr>
              <w:t>业绩</w:t>
            </w:r>
          </w:p>
          <w:p w14:paraId="4CC5EBC0">
            <w:pPr>
              <w:rPr>
                <w:rFonts w:hint="eastAsia" w:cs="Times New Roman"/>
                <w:color w:val="auto"/>
              </w:rPr>
            </w:pPr>
            <w:r>
              <w:rPr>
                <w:rFonts w:hint="eastAsia" w:cs="Times New Roman"/>
                <w:color w:val="auto"/>
              </w:rPr>
              <w:t>（20分）</w:t>
            </w:r>
          </w:p>
        </w:tc>
        <w:tc>
          <w:tcPr>
            <w:tcW w:w="4962" w:type="dxa"/>
            <w:tcBorders>
              <w:top w:val="single" w:color="auto" w:sz="4" w:space="0"/>
              <w:left w:val="single" w:color="auto" w:sz="4" w:space="0"/>
              <w:bottom w:val="single" w:color="auto" w:sz="4" w:space="0"/>
              <w:right w:val="single" w:color="auto" w:sz="4" w:space="0"/>
            </w:tcBorders>
            <w:vAlign w:val="top"/>
          </w:tcPr>
          <w:p w14:paraId="217DD0E9">
            <w:pPr>
              <w:rPr>
                <w:rFonts w:hint="eastAsia" w:cs="Times New Roman"/>
                <w:color w:val="auto"/>
              </w:rPr>
            </w:pPr>
            <w:r>
              <w:rPr>
                <w:rFonts w:hint="eastAsia" w:cs="Times New Roman"/>
                <w:color w:val="auto"/>
              </w:rPr>
              <w:t>5年有内参与应急管理部门或政府部门关于评审组织工作经历的，每提供1份与应急管理部门或其他政府部门合作的相关业绩证明，加5分。其他合作经历视情况加1-3分。</w:t>
            </w:r>
          </w:p>
          <w:p w14:paraId="31D1B291">
            <w:pPr>
              <w:rPr>
                <w:rFonts w:hint="eastAsia" w:cs="Times New Roman"/>
                <w:color w:val="auto"/>
              </w:rPr>
            </w:pPr>
            <w:r>
              <w:rPr>
                <w:rFonts w:hint="eastAsia" w:cs="Times New Roman"/>
                <w:color w:val="auto"/>
              </w:rPr>
              <w:t>此项最多得20分。</w:t>
            </w:r>
          </w:p>
          <w:p w14:paraId="26853D9B">
            <w:pPr>
              <w:rPr>
                <w:rFonts w:hint="eastAsia" w:cs="Times New Roman"/>
                <w:color w:val="auto"/>
              </w:rPr>
            </w:pPr>
            <w:r>
              <w:rPr>
                <w:rFonts w:hint="eastAsia" w:cs="Times New Roman"/>
                <w:color w:val="auto"/>
              </w:rPr>
              <w:t>（审核依据为加盖公章的相关服务合同等相关业绩材料证明；上述材料中均应至少有一位拟派中级职称以上的专家参与方可得分）。</w:t>
            </w:r>
          </w:p>
        </w:tc>
        <w:tc>
          <w:tcPr>
            <w:tcW w:w="1071" w:type="dxa"/>
            <w:tcBorders>
              <w:top w:val="single" w:color="auto" w:sz="4" w:space="0"/>
              <w:left w:val="single" w:color="auto" w:sz="4" w:space="0"/>
              <w:bottom w:val="single" w:color="auto" w:sz="4" w:space="0"/>
              <w:right w:val="single" w:color="auto" w:sz="4" w:space="0"/>
            </w:tcBorders>
            <w:vAlign w:val="center"/>
          </w:tcPr>
          <w:p w14:paraId="52625E5B">
            <w:pPr>
              <w:rPr>
                <w:rFonts w:hint="eastAsia" w:cs="Times New Roman"/>
                <w:color w:val="auto"/>
              </w:rPr>
            </w:pPr>
          </w:p>
        </w:tc>
      </w:tr>
      <w:tr w14:paraId="6EB1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Borders>
              <w:top w:val="single" w:color="auto" w:sz="4" w:space="0"/>
              <w:left w:val="single" w:color="auto" w:sz="4" w:space="0"/>
              <w:bottom w:val="single" w:color="auto" w:sz="4" w:space="0"/>
              <w:right w:val="single" w:color="auto" w:sz="4" w:space="0"/>
            </w:tcBorders>
            <w:vAlign w:val="center"/>
          </w:tcPr>
          <w:p w14:paraId="4EF4F9CB">
            <w:pPr>
              <w:rPr>
                <w:rFonts w:hint="eastAsia" w:cs="Times New Roman"/>
                <w:color w:val="auto"/>
              </w:rPr>
            </w:pPr>
            <w:r>
              <w:rPr>
                <w:rFonts w:hint="eastAsia" w:cs="Times New Roman"/>
                <w:color w:val="auto"/>
              </w:rPr>
              <w:t>技术部分</w:t>
            </w:r>
          </w:p>
          <w:p w14:paraId="3D6F68FA">
            <w:pPr>
              <w:rPr>
                <w:rFonts w:hint="eastAsia" w:cs="Times New Roman"/>
                <w:color w:val="auto"/>
              </w:rPr>
            </w:pPr>
            <w:r>
              <w:rPr>
                <w:rFonts w:hint="eastAsia" w:cs="Times New Roman"/>
                <w:color w:val="auto"/>
              </w:rPr>
              <w:t>（70分）</w:t>
            </w:r>
          </w:p>
        </w:tc>
        <w:tc>
          <w:tcPr>
            <w:tcW w:w="1134" w:type="dxa"/>
            <w:tcBorders>
              <w:top w:val="single" w:color="auto" w:sz="4" w:space="0"/>
              <w:left w:val="single" w:color="auto" w:sz="4" w:space="0"/>
              <w:bottom w:val="single" w:color="auto" w:sz="4" w:space="0"/>
              <w:right w:val="single" w:color="auto" w:sz="4" w:space="0"/>
            </w:tcBorders>
            <w:vAlign w:val="center"/>
          </w:tcPr>
          <w:p w14:paraId="71681E7A">
            <w:pPr>
              <w:rPr>
                <w:rFonts w:hint="eastAsia" w:cs="Times New Roman"/>
                <w:color w:val="auto"/>
              </w:rPr>
            </w:pPr>
            <w:r>
              <w:rPr>
                <w:rFonts w:hint="eastAsia" w:cs="Times New Roman"/>
                <w:color w:val="auto"/>
              </w:rPr>
              <w:t>整体理解和需求分析</w:t>
            </w:r>
          </w:p>
          <w:p w14:paraId="4DF3830C">
            <w:pPr>
              <w:rPr>
                <w:rFonts w:hint="eastAsia" w:cs="Times New Roman"/>
                <w:color w:val="auto"/>
              </w:rPr>
            </w:pPr>
            <w:r>
              <w:rPr>
                <w:rFonts w:hint="eastAsia" w:cs="Times New Roman"/>
                <w:color w:val="auto"/>
              </w:rPr>
              <w:t>（40分）</w:t>
            </w:r>
          </w:p>
        </w:tc>
        <w:tc>
          <w:tcPr>
            <w:tcW w:w="4962" w:type="dxa"/>
            <w:tcBorders>
              <w:top w:val="single" w:color="auto" w:sz="4" w:space="0"/>
              <w:left w:val="single" w:color="auto" w:sz="4" w:space="0"/>
              <w:bottom w:val="single" w:color="auto" w:sz="4" w:space="0"/>
              <w:right w:val="single" w:color="auto" w:sz="4" w:space="0"/>
            </w:tcBorders>
            <w:vAlign w:val="top"/>
          </w:tcPr>
          <w:p w14:paraId="6D6B5CB2">
            <w:pPr>
              <w:rPr>
                <w:rFonts w:hint="eastAsia" w:cs="Times New Roman"/>
                <w:color w:val="auto"/>
              </w:rPr>
            </w:pPr>
            <w:r>
              <w:rPr>
                <w:rFonts w:hint="eastAsia" w:cs="Times New Roman"/>
                <w:color w:val="auto"/>
              </w:rPr>
              <w:t>充分结合现实情况，对项目理解透彻、析理清晰，切合实际，对项目有详细的方案分析并有明确的目标，工作程序详细、重点突出，进度计划详细到位，合理评估项目工作量，深知项目实施的必要性和重要性：30-40分；</w:t>
            </w:r>
          </w:p>
          <w:p w14:paraId="548B75CD">
            <w:pPr>
              <w:rPr>
                <w:rFonts w:hint="eastAsia" w:cs="Times New Roman"/>
                <w:color w:val="auto"/>
              </w:rPr>
            </w:pPr>
            <w:r>
              <w:rPr>
                <w:rFonts w:hint="eastAsia" w:cs="Times New Roman"/>
                <w:color w:val="auto"/>
              </w:rPr>
              <w:t>结合实际情况，对项目理解较为清晰。对项目有具体方案分析并有目标，进度计划较为详细，较为合理评估项目工作量，对项目实施的必要性和重要性有一定的认知: 20-29分;</w:t>
            </w:r>
          </w:p>
          <w:p w14:paraId="73B3CC1A">
            <w:pPr>
              <w:rPr>
                <w:rFonts w:hint="eastAsia" w:cs="Times New Roman"/>
                <w:color w:val="auto"/>
              </w:rPr>
            </w:pPr>
            <w:r>
              <w:rPr>
                <w:rFonts w:hint="eastAsia" w:cs="Times New Roman"/>
                <w:color w:val="auto"/>
              </w:rPr>
              <w:t>结合实际情况，对项目有基本的理解，对项目有基本方案分析并有目标，对项目工作量的评估基本准确，对项目实施的必要性和重要性有基本认知：10-19分；</w:t>
            </w:r>
          </w:p>
          <w:p w14:paraId="3E4FC6F5">
            <w:pPr>
              <w:rPr>
                <w:rFonts w:hint="eastAsia" w:cs="Times New Roman"/>
                <w:color w:val="auto"/>
              </w:rPr>
            </w:pPr>
            <w:r>
              <w:rPr>
                <w:rFonts w:hint="eastAsia" w:cs="Times New Roman"/>
                <w:color w:val="auto"/>
              </w:rPr>
              <w:t>结合部分实际情况，对项目理解有偏差，目标基本明确，进度计划不明确，对工作量的评估不完全准确，或对项目实施的必要性和重要性认识不足: 0-9 分。</w:t>
            </w:r>
          </w:p>
        </w:tc>
        <w:tc>
          <w:tcPr>
            <w:tcW w:w="1071" w:type="dxa"/>
            <w:tcBorders>
              <w:top w:val="single" w:color="auto" w:sz="4" w:space="0"/>
              <w:left w:val="single" w:color="auto" w:sz="4" w:space="0"/>
              <w:bottom w:val="single" w:color="auto" w:sz="4" w:space="0"/>
              <w:right w:val="single" w:color="auto" w:sz="4" w:space="0"/>
            </w:tcBorders>
            <w:vAlign w:val="center"/>
          </w:tcPr>
          <w:p w14:paraId="2CCB6B1D">
            <w:pPr>
              <w:rPr>
                <w:rFonts w:hint="eastAsia" w:cs="Times New Roman"/>
                <w:color w:val="auto"/>
              </w:rPr>
            </w:pPr>
          </w:p>
        </w:tc>
      </w:tr>
      <w:tr w14:paraId="0BF5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2AC6384B">
            <w:pPr>
              <w:rPr>
                <w:rFonts w:hint="eastAsia" w:cs="Times New Roman"/>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6D83FFCC">
            <w:pPr>
              <w:rPr>
                <w:rFonts w:hint="eastAsia" w:cs="Times New Roman"/>
                <w:color w:val="auto"/>
              </w:rPr>
            </w:pPr>
            <w:r>
              <w:rPr>
                <w:rFonts w:hint="eastAsia" w:cs="Times New Roman"/>
                <w:color w:val="auto"/>
              </w:rPr>
              <w:t>安全及保密管理措施</w:t>
            </w:r>
          </w:p>
          <w:p w14:paraId="73793392">
            <w:pPr>
              <w:rPr>
                <w:rFonts w:hint="eastAsia" w:cs="Times New Roman"/>
                <w:color w:val="auto"/>
              </w:rPr>
            </w:pPr>
            <w:r>
              <w:rPr>
                <w:rFonts w:hint="eastAsia" w:cs="Times New Roman"/>
                <w:color w:val="auto"/>
              </w:rPr>
              <w:t>（10分）</w:t>
            </w:r>
          </w:p>
        </w:tc>
        <w:tc>
          <w:tcPr>
            <w:tcW w:w="4962" w:type="dxa"/>
            <w:tcBorders>
              <w:top w:val="single" w:color="auto" w:sz="4" w:space="0"/>
              <w:left w:val="single" w:color="auto" w:sz="4" w:space="0"/>
              <w:bottom w:val="single" w:color="auto" w:sz="4" w:space="0"/>
              <w:right w:val="single" w:color="auto" w:sz="4" w:space="0"/>
            </w:tcBorders>
            <w:vAlign w:val="top"/>
          </w:tcPr>
          <w:p w14:paraId="0981C645">
            <w:pPr>
              <w:rPr>
                <w:rFonts w:hint="eastAsia" w:cs="Times New Roman"/>
                <w:color w:val="auto"/>
              </w:rPr>
            </w:pPr>
            <w:r>
              <w:rPr>
                <w:rFonts w:hint="eastAsia" w:cs="Times New Roman"/>
                <w:color w:val="auto"/>
              </w:rPr>
              <w:t>方案内容详实、客观合理、针对性强，可行性高，能够有效确保服务的安全性及保密性，切实有效履行保密义务：10分;</w:t>
            </w:r>
          </w:p>
          <w:p w14:paraId="01E108CE">
            <w:pPr>
              <w:rPr>
                <w:rFonts w:hint="eastAsia" w:cs="Times New Roman"/>
                <w:color w:val="auto"/>
              </w:rPr>
            </w:pPr>
            <w:r>
              <w:rPr>
                <w:rFonts w:hint="eastAsia" w:cs="Times New Roman"/>
                <w:color w:val="auto"/>
              </w:rPr>
              <w:t>方案内容基本齐全，较为客观合理、有一定针对性，可行性较好，能够基本保证服务安全，并做好保密工作：4-9分；</w:t>
            </w:r>
          </w:p>
          <w:p w14:paraId="129D0057">
            <w:pPr>
              <w:rPr>
                <w:rFonts w:hint="eastAsia" w:cs="Times New Roman"/>
                <w:color w:val="auto"/>
              </w:rPr>
            </w:pPr>
            <w:r>
              <w:rPr>
                <w:rFonts w:hint="eastAsia" w:cs="Times New Roman"/>
                <w:color w:val="auto"/>
              </w:rPr>
              <w:t>方案内容有缺失，或针对性较差、合理性较弱，无法保证服务安全或做好保密工作：1-3分;</w:t>
            </w:r>
          </w:p>
          <w:p w14:paraId="43F70E65">
            <w:pPr>
              <w:rPr>
                <w:rFonts w:hint="eastAsia" w:cs="Times New Roman"/>
                <w:color w:val="auto"/>
              </w:rPr>
            </w:pPr>
            <w:r>
              <w:rPr>
                <w:rFonts w:hint="eastAsia" w:cs="Times New Roman"/>
                <w:color w:val="auto"/>
              </w:rPr>
              <w:t>未提供具体方案的：0 分。</w:t>
            </w:r>
          </w:p>
        </w:tc>
        <w:tc>
          <w:tcPr>
            <w:tcW w:w="1071" w:type="dxa"/>
            <w:tcBorders>
              <w:top w:val="single" w:color="auto" w:sz="4" w:space="0"/>
              <w:left w:val="single" w:color="auto" w:sz="4" w:space="0"/>
              <w:bottom w:val="single" w:color="auto" w:sz="4" w:space="0"/>
              <w:right w:val="single" w:color="auto" w:sz="4" w:space="0"/>
            </w:tcBorders>
            <w:vAlign w:val="center"/>
          </w:tcPr>
          <w:p w14:paraId="50CFF018">
            <w:pPr>
              <w:rPr>
                <w:rFonts w:hint="eastAsia" w:cs="Times New Roman"/>
                <w:color w:val="auto"/>
              </w:rPr>
            </w:pPr>
          </w:p>
        </w:tc>
      </w:tr>
      <w:tr w14:paraId="6C5B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Borders>
              <w:top w:val="single" w:color="auto" w:sz="4" w:space="0"/>
              <w:left w:val="single" w:color="auto" w:sz="4" w:space="0"/>
              <w:bottom w:val="single" w:color="auto" w:sz="4" w:space="0"/>
              <w:right w:val="single" w:color="auto" w:sz="4" w:space="0"/>
            </w:tcBorders>
            <w:vAlign w:val="center"/>
          </w:tcPr>
          <w:p w14:paraId="22455151">
            <w:pPr>
              <w:rPr>
                <w:rFonts w:hint="eastAsia" w:cs="Times New Roman"/>
                <w:color w:val="auto"/>
              </w:rPr>
            </w:pPr>
          </w:p>
        </w:tc>
        <w:tc>
          <w:tcPr>
            <w:tcW w:w="1134" w:type="dxa"/>
            <w:tcBorders>
              <w:top w:val="single" w:color="auto" w:sz="4" w:space="0"/>
              <w:left w:val="single" w:color="auto" w:sz="4" w:space="0"/>
              <w:bottom w:val="single" w:color="auto" w:sz="4" w:space="0"/>
              <w:right w:val="single" w:color="auto" w:sz="4" w:space="0"/>
            </w:tcBorders>
            <w:vAlign w:val="center"/>
          </w:tcPr>
          <w:p w14:paraId="5419C0FF">
            <w:pPr>
              <w:rPr>
                <w:rFonts w:hint="eastAsia" w:cs="Times New Roman"/>
                <w:color w:val="auto"/>
              </w:rPr>
            </w:pPr>
            <w:r>
              <w:rPr>
                <w:rFonts w:hint="eastAsia" w:cs="Times New Roman"/>
                <w:color w:val="auto"/>
              </w:rPr>
              <w:t>项目人员配备情况</w:t>
            </w:r>
          </w:p>
          <w:p w14:paraId="00CFF3AE">
            <w:pPr>
              <w:rPr>
                <w:rFonts w:hint="eastAsia" w:cs="Times New Roman"/>
                <w:color w:val="auto"/>
              </w:rPr>
            </w:pPr>
            <w:r>
              <w:rPr>
                <w:rFonts w:hint="eastAsia" w:cs="Times New Roman"/>
                <w:color w:val="auto"/>
              </w:rPr>
              <w:t>（20分）</w:t>
            </w:r>
          </w:p>
        </w:tc>
        <w:tc>
          <w:tcPr>
            <w:tcW w:w="4962" w:type="dxa"/>
            <w:tcBorders>
              <w:top w:val="single" w:color="auto" w:sz="4" w:space="0"/>
              <w:left w:val="single" w:color="auto" w:sz="4" w:space="0"/>
              <w:bottom w:val="single" w:color="auto" w:sz="4" w:space="0"/>
              <w:right w:val="single" w:color="auto" w:sz="4" w:space="0"/>
            </w:tcBorders>
            <w:vAlign w:val="top"/>
          </w:tcPr>
          <w:p w14:paraId="02E48CB7">
            <w:pPr>
              <w:rPr>
                <w:rFonts w:hint="eastAsia" w:cs="Times New Roman"/>
                <w:color w:val="auto"/>
              </w:rPr>
            </w:pPr>
            <w:r>
              <w:rPr>
                <w:rFonts w:hint="eastAsia" w:cs="Times New Roman"/>
                <w:color w:val="auto"/>
              </w:rPr>
              <w:t>1.拟派有标准化核查及复核工作经验（10分）</w:t>
            </w:r>
          </w:p>
          <w:p w14:paraId="6E93A0F7">
            <w:pPr>
              <w:rPr>
                <w:rFonts w:hint="eastAsia" w:cs="Times New Roman"/>
                <w:color w:val="auto"/>
              </w:rPr>
            </w:pPr>
            <w:r>
              <w:rPr>
                <w:rFonts w:hint="eastAsia" w:cs="Times New Roman"/>
                <w:color w:val="auto"/>
              </w:rPr>
              <w:t>具有10年以上（含10年）执业经验的，得10分；具有5年以上10年以下（含5年）执业经验的，依年份，得5-9分；具有5年以下（不含5年）执业经验的，依年份，得1-4分；</w:t>
            </w:r>
          </w:p>
          <w:p w14:paraId="3E5949D0">
            <w:pPr>
              <w:rPr>
                <w:rFonts w:hint="eastAsia" w:cs="Times New Roman"/>
                <w:color w:val="auto"/>
              </w:rPr>
            </w:pPr>
            <w:r>
              <w:rPr>
                <w:rFonts w:hint="eastAsia" w:cs="Times New Roman"/>
                <w:color w:val="auto"/>
              </w:rPr>
              <w:t>此项最高得10分。（注：须提供加盖公章的拟派专家全部人员的执业证书复印件，作为专家打分项的审核依据。如持有执业证书人员与专家人员未对应，此项不得分。）</w:t>
            </w:r>
          </w:p>
          <w:p w14:paraId="57DE6356">
            <w:pPr>
              <w:rPr>
                <w:rFonts w:hint="eastAsia" w:cs="Times New Roman"/>
                <w:color w:val="auto"/>
              </w:rPr>
            </w:pPr>
            <w:r>
              <w:rPr>
                <w:rFonts w:hint="eastAsia" w:cs="Times New Roman"/>
                <w:color w:val="auto"/>
              </w:rPr>
              <w:t>2.拟派标准化专家业绩情况（10分）</w:t>
            </w:r>
          </w:p>
          <w:p w14:paraId="4E85E3A2">
            <w:pPr>
              <w:rPr>
                <w:rFonts w:hint="eastAsia" w:cs="Times New Roman"/>
                <w:color w:val="auto"/>
              </w:rPr>
            </w:pPr>
            <w:r>
              <w:rPr>
                <w:rFonts w:hint="eastAsia" w:cs="Times New Roman"/>
                <w:color w:val="auto"/>
              </w:rPr>
              <w:t>参与过省级及以上组织评审或标准化核查工作的，每次加3分，参与过区县级组织评审或标准化核查工作的，每次加,2分，参与过街乡级组织评审或标准化核查工作的，每次加1分。</w:t>
            </w:r>
          </w:p>
          <w:p w14:paraId="6B2728D8">
            <w:pPr>
              <w:rPr>
                <w:rFonts w:hint="eastAsia" w:cs="Times New Roman"/>
                <w:color w:val="auto"/>
              </w:rPr>
            </w:pPr>
            <w:r>
              <w:rPr>
                <w:rFonts w:hint="eastAsia" w:cs="Times New Roman"/>
                <w:color w:val="auto"/>
              </w:rPr>
              <w:t>此项最高得10分。（须提供相关邀请函、正式通知或其他证明材料复印件，并加盖供应商公章）</w:t>
            </w:r>
          </w:p>
        </w:tc>
        <w:tc>
          <w:tcPr>
            <w:tcW w:w="1071" w:type="dxa"/>
            <w:tcBorders>
              <w:top w:val="single" w:color="auto" w:sz="4" w:space="0"/>
              <w:left w:val="single" w:color="auto" w:sz="4" w:space="0"/>
              <w:bottom w:val="single" w:color="auto" w:sz="4" w:space="0"/>
              <w:right w:val="single" w:color="auto" w:sz="4" w:space="0"/>
            </w:tcBorders>
            <w:vAlign w:val="center"/>
          </w:tcPr>
          <w:p w14:paraId="64FCDBF9">
            <w:pPr>
              <w:rPr>
                <w:rFonts w:hint="eastAsia" w:cs="Times New Roman"/>
                <w:color w:val="auto"/>
              </w:rPr>
            </w:pPr>
          </w:p>
        </w:tc>
      </w:tr>
      <w:tr w14:paraId="7E84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auto" w:sz="4" w:space="0"/>
              <w:left w:val="single" w:color="auto" w:sz="4" w:space="0"/>
              <w:bottom w:val="single" w:color="auto" w:sz="4" w:space="0"/>
              <w:right w:val="single" w:color="auto" w:sz="4" w:space="0"/>
            </w:tcBorders>
            <w:vAlign w:val="center"/>
          </w:tcPr>
          <w:p w14:paraId="5B4F59C2">
            <w:pPr>
              <w:rPr>
                <w:rFonts w:hint="eastAsia" w:cs="Times New Roman"/>
                <w:color w:val="auto"/>
              </w:rPr>
            </w:pPr>
            <w:r>
              <w:rPr>
                <w:rFonts w:hint="eastAsia" w:cs="Times New Roman"/>
                <w:color w:val="auto"/>
              </w:rPr>
              <w:t>价格部分</w:t>
            </w:r>
          </w:p>
          <w:p w14:paraId="387A9F76">
            <w:pPr>
              <w:rPr>
                <w:rFonts w:hint="eastAsia" w:cs="Times New Roman"/>
                <w:color w:val="auto"/>
              </w:rPr>
            </w:pPr>
            <w:r>
              <w:rPr>
                <w:rFonts w:hint="eastAsia" w:cs="Times New Roman"/>
                <w:color w:val="auto"/>
              </w:rPr>
              <w:t>（10分）</w:t>
            </w:r>
          </w:p>
        </w:tc>
        <w:tc>
          <w:tcPr>
            <w:tcW w:w="1134" w:type="dxa"/>
            <w:tcBorders>
              <w:top w:val="single" w:color="auto" w:sz="4" w:space="0"/>
              <w:left w:val="single" w:color="auto" w:sz="4" w:space="0"/>
              <w:bottom w:val="single" w:color="auto" w:sz="4" w:space="0"/>
              <w:right w:val="single" w:color="auto" w:sz="4" w:space="0"/>
            </w:tcBorders>
            <w:vAlign w:val="center"/>
          </w:tcPr>
          <w:p w14:paraId="6FA0C0F7">
            <w:pPr>
              <w:rPr>
                <w:rFonts w:hint="eastAsia" w:cs="Times New Roman"/>
                <w:color w:val="auto"/>
              </w:rPr>
            </w:pPr>
            <w:r>
              <w:rPr>
                <w:rFonts w:hint="eastAsia" w:cs="Times New Roman"/>
                <w:color w:val="auto"/>
              </w:rPr>
              <w:t>报价</w:t>
            </w:r>
          </w:p>
          <w:p w14:paraId="09AF4D60">
            <w:pPr>
              <w:rPr>
                <w:rFonts w:hint="eastAsia" w:cs="Times New Roman"/>
                <w:color w:val="auto"/>
              </w:rPr>
            </w:pPr>
            <w:r>
              <w:rPr>
                <w:rFonts w:hint="eastAsia" w:cs="Times New Roman"/>
                <w:color w:val="auto"/>
              </w:rPr>
              <w:t>（10分）</w:t>
            </w:r>
          </w:p>
        </w:tc>
        <w:tc>
          <w:tcPr>
            <w:tcW w:w="4962" w:type="dxa"/>
            <w:tcBorders>
              <w:top w:val="single" w:color="auto" w:sz="4" w:space="0"/>
              <w:left w:val="single" w:color="auto" w:sz="4" w:space="0"/>
              <w:bottom w:val="single" w:color="auto" w:sz="4" w:space="0"/>
              <w:right w:val="single" w:color="auto" w:sz="4" w:space="0"/>
            </w:tcBorders>
            <w:vAlign w:val="top"/>
          </w:tcPr>
          <w:p w14:paraId="0A548700">
            <w:pPr>
              <w:rPr>
                <w:rFonts w:hint="eastAsia" w:cs="Times New Roman"/>
                <w:color w:val="auto"/>
              </w:rPr>
            </w:pPr>
            <w:r>
              <w:rPr>
                <w:rFonts w:hint="eastAsia" w:cs="Times New Roman"/>
                <w:color w:val="auto"/>
              </w:rPr>
              <w:t>价格分统一采用低价优先法计算。评标基准价=满足招标文件条件且最低的评标价格</w:t>
            </w:r>
          </w:p>
          <w:p w14:paraId="26B6BAC8">
            <w:pPr>
              <w:rPr>
                <w:rFonts w:hint="eastAsia" w:cs="Times New Roman"/>
                <w:color w:val="auto"/>
              </w:rPr>
            </w:pPr>
            <w:r>
              <w:rPr>
                <w:rFonts w:hint="eastAsia" w:cs="Times New Roman"/>
                <w:color w:val="auto"/>
              </w:rPr>
              <w:t>合格供应商的有效价格得分=（评标基准价/投标报价）X10</w:t>
            </w:r>
          </w:p>
        </w:tc>
        <w:tc>
          <w:tcPr>
            <w:tcW w:w="1071" w:type="dxa"/>
            <w:tcBorders>
              <w:top w:val="single" w:color="auto" w:sz="4" w:space="0"/>
              <w:left w:val="single" w:color="auto" w:sz="4" w:space="0"/>
              <w:bottom w:val="single" w:color="auto" w:sz="4" w:space="0"/>
              <w:right w:val="single" w:color="auto" w:sz="4" w:space="0"/>
            </w:tcBorders>
            <w:vAlign w:val="center"/>
          </w:tcPr>
          <w:p w14:paraId="70A33461">
            <w:pPr>
              <w:rPr>
                <w:rFonts w:hint="eastAsia" w:cs="Times New Roman"/>
                <w:color w:val="auto"/>
              </w:rPr>
            </w:pPr>
          </w:p>
        </w:tc>
      </w:tr>
    </w:tbl>
    <w:p w14:paraId="7717D371">
      <w:pPr>
        <w:pStyle w:val="2"/>
        <w:rPr>
          <w:rFonts w:ascii="仿宋_GB2312" w:hAnsi="仿宋_GB2312" w:eastAsia="仿宋_GB2312" w:cs="仿宋_GB2312"/>
          <w:b/>
          <w:sz w:val="32"/>
        </w:rPr>
      </w:pPr>
    </w:p>
    <w:p w14:paraId="2DDC670B">
      <w:pPr>
        <w:spacing w:line="560" w:lineRule="exact"/>
        <w:jc w:val="center"/>
        <w:rPr>
          <w:rFonts w:ascii="仿宋_GB2312" w:hAnsi="仿宋_GB2312" w:eastAsia="仿宋_GB2312" w:cs="仿宋_GB2312"/>
          <w:b/>
          <w:sz w:val="32"/>
        </w:rPr>
      </w:pPr>
    </w:p>
    <w:p w14:paraId="48F3CF23">
      <w:pPr>
        <w:pStyle w:val="2"/>
      </w:pPr>
    </w:p>
    <w:p w14:paraId="2C9EAF3C">
      <w:pPr>
        <w:pStyle w:val="2"/>
      </w:pPr>
    </w:p>
    <w:p w14:paraId="06792CB1">
      <w:pPr>
        <w:pStyle w:val="2"/>
      </w:pPr>
    </w:p>
    <w:p w14:paraId="013B0B4D">
      <w:pPr>
        <w:pStyle w:val="2"/>
      </w:pPr>
    </w:p>
    <w:p w14:paraId="4B0075B7">
      <w:pPr>
        <w:pStyle w:val="2"/>
      </w:pPr>
    </w:p>
    <w:p w14:paraId="5E5BF4D6">
      <w:pPr>
        <w:spacing w:line="560" w:lineRule="exact"/>
        <w:jc w:val="center"/>
        <w:rPr>
          <w:rFonts w:ascii="仿宋_GB2312" w:hAnsi="仿宋_GB2312" w:eastAsia="仿宋_GB2312" w:cs="仿宋_GB2312"/>
          <w:b/>
          <w:sz w:val="32"/>
        </w:rPr>
      </w:pPr>
    </w:p>
    <w:p w14:paraId="4D021A9C">
      <w:pPr>
        <w:spacing w:line="560" w:lineRule="exact"/>
        <w:jc w:val="center"/>
        <w:rPr>
          <w:rFonts w:ascii="仿宋_GB2312" w:hAnsi="仿宋_GB2312" w:eastAsia="仿宋_GB2312" w:cs="仿宋_GB2312"/>
          <w:b/>
          <w:sz w:val="32"/>
        </w:rPr>
      </w:pPr>
    </w:p>
    <w:p w14:paraId="4FA43D50">
      <w:pPr>
        <w:spacing w:line="560" w:lineRule="exact"/>
        <w:rPr>
          <w:rFonts w:hint="eastAsia" w:ascii="仿宋_GB2312" w:hAnsi="仿宋_GB2312" w:eastAsia="仿宋_GB2312" w:cs="仿宋_GB2312"/>
          <w:b/>
          <w:sz w:val="32"/>
        </w:rPr>
      </w:pPr>
    </w:p>
    <w:p w14:paraId="7601086D">
      <w:pPr>
        <w:pStyle w:val="2"/>
        <w:rPr>
          <w:rFonts w:hint="eastAsia"/>
        </w:rPr>
      </w:pPr>
    </w:p>
    <w:p w14:paraId="10F9B0F3">
      <w:pPr>
        <w:pStyle w:val="2"/>
        <w:rPr>
          <w:rFonts w:hint="eastAsia"/>
        </w:rPr>
      </w:pPr>
    </w:p>
    <w:p w14:paraId="69EF9AA4">
      <w:pPr>
        <w:pStyle w:val="2"/>
        <w:rPr>
          <w:rFonts w:hint="eastAsia"/>
        </w:rPr>
      </w:pPr>
    </w:p>
    <w:p w14:paraId="249ED1DE">
      <w:pPr>
        <w:pStyle w:val="2"/>
        <w:rPr>
          <w:rFonts w:hint="eastAsia"/>
        </w:rPr>
      </w:pPr>
    </w:p>
    <w:p w14:paraId="2B3454B7">
      <w:pPr>
        <w:pStyle w:val="2"/>
        <w:rPr>
          <w:rFonts w:hint="eastAsia"/>
        </w:rPr>
      </w:pPr>
    </w:p>
    <w:p w14:paraId="2DA1917B">
      <w:r>
        <w:br w:type="page"/>
      </w:r>
    </w:p>
    <w:p w14:paraId="1E4DD2C9">
      <w:pPr>
        <w:pStyle w:val="2"/>
      </w:pPr>
    </w:p>
    <w:p w14:paraId="662AA4A1">
      <w:pPr>
        <w:spacing w:line="560" w:lineRule="exact"/>
        <w:ind w:firstLine="2072" w:firstLineChars="645"/>
        <w:rPr>
          <w:rFonts w:ascii="仿宋_GB2312" w:hAnsi="仿宋_GB2312" w:eastAsia="仿宋_GB2312" w:cs="仿宋_GB2312"/>
          <w:b/>
          <w:sz w:val="32"/>
        </w:rPr>
      </w:pPr>
      <w:r>
        <w:rPr>
          <w:rFonts w:hint="eastAsia" w:ascii="仿宋_GB2312" w:hAnsi="仿宋_GB2312" w:eastAsia="仿宋_GB2312" w:cs="仿宋_GB2312"/>
          <w:b/>
          <w:sz w:val="32"/>
        </w:rPr>
        <w:t>第五部分  附件</w:t>
      </w:r>
      <w:bookmarkEnd w:id="15"/>
      <w:bookmarkEnd w:id="16"/>
      <w:bookmarkEnd w:id="17"/>
      <w:bookmarkEnd w:id="18"/>
      <w:bookmarkEnd w:id="19"/>
      <w:bookmarkEnd w:id="20"/>
      <w:bookmarkEnd w:id="21"/>
      <w:bookmarkEnd w:id="22"/>
      <w:bookmarkStart w:id="23" w:name="_Toc109543218"/>
      <w:bookmarkStart w:id="24" w:name="_Toc109542398"/>
      <w:bookmarkStart w:id="25" w:name="_Toc480942349"/>
      <w:bookmarkStart w:id="26" w:name="_Ref467988698"/>
      <w:bookmarkStart w:id="27" w:name="附件八"/>
      <w:bookmarkStart w:id="28" w:name="_Toc520356217"/>
      <w:r>
        <w:rPr>
          <w:rFonts w:ascii="仿宋_GB2312" w:hAnsi="仿宋_GB2312" w:eastAsia="仿宋_GB2312" w:cs="仿宋_GB2312"/>
          <w:b/>
          <w:sz w:val="32"/>
        </w:rPr>
        <w:t>—</w:t>
      </w:r>
      <w:r>
        <w:rPr>
          <w:rFonts w:hint="eastAsia" w:ascii="仿宋_GB2312" w:hAnsi="仿宋_GB2312" w:eastAsia="仿宋_GB2312" w:cs="仿宋_GB2312"/>
          <w:b/>
          <w:sz w:val="32"/>
        </w:rPr>
        <w:t>应答文件的格式</w:t>
      </w:r>
    </w:p>
    <w:p w14:paraId="0D8E85FD">
      <w:pPr>
        <w:spacing w:line="560" w:lineRule="exact"/>
        <w:jc w:val="center"/>
        <w:rPr>
          <w:rFonts w:ascii="仿宋_GB2312" w:hAnsi="仿宋_GB2312" w:eastAsia="仿宋_GB2312" w:cs="仿宋_GB2312"/>
          <w:b/>
          <w:sz w:val="32"/>
        </w:rPr>
      </w:pPr>
    </w:p>
    <w:p w14:paraId="7A9283A3">
      <w:pPr>
        <w:spacing w:line="560" w:lineRule="exact"/>
        <w:jc w:val="center"/>
        <w:rPr>
          <w:rFonts w:hint="eastAsia" w:ascii="仿宋_GB2312" w:hAnsi="仿宋_GB2312" w:eastAsia="仿宋_GB2312" w:cs="仿宋_GB2312"/>
          <w:b/>
          <w:kern w:val="0"/>
          <w:sz w:val="28"/>
          <w:szCs w:val="28"/>
          <w:lang w:val="en-US" w:eastAsia="zh-CN" w:bidi="ar-SA"/>
        </w:rPr>
      </w:pPr>
      <w:r>
        <w:rPr>
          <w:rFonts w:hint="eastAsia" w:ascii="仿宋_GB2312" w:hAnsi="仿宋_GB2312" w:eastAsia="仿宋_GB2312" w:cs="仿宋_GB2312"/>
          <w:b/>
          <w:kern w:val="0"/>
          <w:sz w:val="28"/>
          <w:szCs w:val="28"/>
          <w:lang w:val="en-US" w:eastAsia="zh-CN" w:bidi="ar-SA"/>
        </w:rPr>
        <w:t>（一）资格证明文件</w:t>
      </w:r>
    </w:p>
    <w:p w14:paraId="76644B02">
      <w:pPr>
        <w:pStyle w:val="5"/>
        <w:tabs>
          <w:tab w:val="left" w:pos="5580"/>
        </w:tabs>
        <w:spacing w:line="560" w:lineRule="exact"/>
        <w:jc w:val="center"/>
        <w:rPr>
          <w:rFonts w:ascii="仿宋_GB2312" w:hAnsi="仿宋_GB2312" w:eastAsia="仿宋_GB2312" w:cs="仿宋_GB2312"/>
          <w:b/>
          <w:sz w:val="28"/>
          <w:szCs w:val="28"/>
        </w:rPr>
      </w:pPr>
    </w:p>
    <w:p w14:paraId="2084A62E">
      <w:pPr>
        <w:pStyle w:val="5"/>
        <w:tabs>
          <w:tab w:val="left" w:pos="5580"/>
        </w:tabs>
        <w:spacing w:line="560" w:lineRule="exact"/>
        <w:rPr>
          <w:rFonts w:hint="eastAsia" w:ascii="仿宋_GB2312" w:hAnsi="仿宋_GB2312" w:eastAsia="仿宋_GB2312" w:cs="仿宋_GB2312"/>
          <w:b/>
          <w:kern w:val="0"/>
          <w:sz w:val="28"/>
          <w:szCs w:val="28"/>
          <w:lang w:val="en-US" w:eastAsia="zh-CN" w:bidi="ar-SA"/>
        </w:rPr>
      </w:pPr>
      <w:r>
        <w:rPr>
          <w:rFonts w:hint="eastAsia" w:ascii="仿宋_GB2312" w:hAnsi="仿宋_GB2312" w:eastAsia="仿宋_GB2312" w:cs="仿宋_GB2312"/>
          <w:b/>
          <w:kern w:val="0"/>
          <w:sz w:val="28"/>
          <w:szCs w:val="28"/>
          <w:lang w:val="en-US" w:eastAsia="zh-CN" w:bidi="ar-SA"/>
        </w:rPr>
        <w:t>1  执业许可证等</w:t>
      </w:r>
    </w:p>
    <w:p w14:paraId="4D964476">
      <w:pPr>
        <w:pStyle w:val="5"/>
        <w:tabs>
          <w:tab w:val="left" w:pos="5580"/>
        </w:tabs>
        <w:spacing w:line="56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14:paraId="7B725292">
      <w:pPr>
        <w:spacing w:before="120" w:line="560" w:lineRule="exact"/>
        <w:jc w:val="center"/>
        <w:rPr>
          <w:rFonts w:ascii="仿宋_GB2312" w:hAnsi="仿宋_GB2312" w:eastAsia="仿宋_GB2312" w:cs="仿宋_GB2312"/>
          <w:iCs/>
          <w:sz w:val="24"/>
        </w:rPr>
        <w:sectPr>
          <w:footerReference r:id="rId4" w:type="default"/>
          <w:endnotePr>
            <w:numFmt w:val="decimal"/>
          </w:endnotePr>
          <w:pgSz w:w="11906" w:h="16838"/>
          <w:pgMar w:top="1247" w:right="1587" w:bottom="1247" w:left="1587" w:header="850" w:footer="850" w:gutter="0"/>
          <w:pgNumType w:start="1"/>
          <w:cols w:space="720" w:num="1"/>
          <w:docGrid w:linePitch="462" w:charSpace="0"/>
        </w:sectPr>
      </w:pPr>
      <w:r>
        <w:rPr>
          <w:rFonts w:hint="eastAsia" w:ascii="仿宋_GB2312" w:hAnsi="仿宋_GB2312" w:eastAsia="仿宋_GB2312" w:cs="仿宋_GB2312"/>
          <w:iCs/>
          <w:sz w:val="28"/>
          <w:szCs w:val="28"/>
        </w:rPr>
        <w:t>（</w:t>
      </w:r>
      <w:r>
        <w:rPr>
          <w:rFonts w:ascii="仿宋_GB2312" w:hAnsi="仿宋_GB2312" w:eastAsia="仿宋_GB2312" w:cs="仿宋_GB2312"/>
          <w:iCs/>
          <w:sz w:val="28"/>
          <w:szCs w:val="28"/>
        </w:rPr>
        <w:t>须加盖供应商</w:t>
      </w:r>
      <w:r>
        <w:rPr>
          <w:rFonts w:hint="eastAsia" w:ascii="仿宋_GB2312" w:hAnsi="仿宋_GB2312" w:eastAsia="仿宋_GB2312" w:cs="仿宋_GB2312"/>
          <w:iCs/>
          <w:sz w:val="28"/>
          <w:szCs w:val="28"/>
        </w:rPr>
        <w:t>单位</w:t>
      </w:r>
      <w:r>
        <w:rPr>
          <w:rFonts w:ascii="仿宋_GB2312" w:hAnsi="仿宋_GB2312" w:eastAsia="仿宋_GB2312" w:cs="仿宋_GB2312"/>
          <w:iCs/>
          <w:sz w:val="28"/>
          <w:szCs w:val="28"/>
        </w:rPr>
        <w:t>公章</w:t>
      </w:r>
      <w:r>
        <w:rPr>
          <w:rFonts w:hint="eastAsia" w:ascii="仿宋_GB2312" w:hAnsi="仿宋_GB2312" w:eastAsia="仿宋_GB2312" w:cs="仿宋_GB2312"/>
          <w:iCs/>
          <w:sz w:val="28"/>
          <w:szCs w:val="28"/>
        </w:rPr>
        <w:t>）</w:t>
      </w:r>
    </w:p>
    <w:p w14:paraId="1E45C9F1">
      <w:pPr>
        <w:pStyle w:val="4"/>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  法定代表人的授权委托书(格式)</w:t>
      </w:r>
    </w:p>
    <w:p w14:paraId="683707AB">
      <w:pPr>
        <w:spacing w:line="440" w:lineRule="exact"/>
      </w:pPr>
    </w:p>
    <w:p w14:paraId="4D5C8C38">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本授权书声明：注册于（国家或地区的名称）的（单位名称）的在下面签字的（法定代表人姓名、职务）代表本单位授权在下面签字的（被授权人的姓名、职务）为本单位的合法代理人，就</w:t>
      </w:r>
      <w:r>
        <w:rPr>
          <w:rFonts w:hint="eastAsia" w:ascii="仿宋_GB2312" w:hAnsi="仿宋_GB2312" w:eastAsia="仿宋_GB2312" w:cs="仿宋_GB2312"/>
          <w:sz w:val="28"/>
          <w:szCs w:val="28"/>
          <w:u w:val="single"/>
        </w:rPr>
        <w:t>（项目名称）</w:t>
      </w:r>
      <w:r>
        <w:rPr>
          <w:rFonts w:hint="eastAsia" w:ascii="仿宋_GB2312" w:hAnsi="仿宋_GB2312" w:eastAsia="仿宋_GB2312" w:cs="仿宋_GB2312"/>
          <w:sz w:val="28"/>
          <w:szCs w:val="28"/>
        </w:rPr>
        <w:t>的比选采购工作，以本单位名义处理与本项目有关的一切事务。</w:t>
      </w:r>
    </w:p>
    <w:p w14:paraId="3464D72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本授权书于：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日签字生效，特此声明。</w:t>
      </w:r>
    </w:p>
    <w:p w14:paraId="1AB73668">
      <w:pPr>
        <w:pStyle w:val="5"/>
        <w:tabs>
          <w:tab w:val="left" w:pos="5580"/>
        </w:tabs>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法定代表人签字或盖章：</w:t>
      </w:r>
      <w:r>
        <w:rPr>
          <w:rFonts w:hint="eastAsia" w:ascii="仿宋_GB2312" w:hAnsi="仿宋_GB2312" w:eastAsia="仿宋_GB2312" w:cs="仿宋_GB2312"/>
          <w:sz w:val="28"/>
          <w:szCs w:val="28"/>
          <w:u w:val="single"/>
        </w:rPr>
        <w:t xml:space="preserve">                            </w:t>
      </w:r>
    </w:p>
    <w:p w14:paraId="4D94AD40">
      <w:pPr>
        <w:pStyle w:val="5"/>
        <w:tabs>
          <w:tab w:val="left" w:pos="5580"/>
        </w:tabs>
        <w:spacing w:line="440" w:lineRule="exact"/>
        <w:ind w:left="561" w:leftChars="267"/>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被授权人签字：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cr/>
      </w:r>
      <w:r>
        <w:rPr>
          <w:rFonts w:hint="eastAsia" w:ascii="仿宋_GB2312" w:hAnsi="仿宋_GB2312" w:eastAsia="仿宋_GB2312" w:cs="仿宋_GB2312"/>
          <w:sz w:val="28"/>
          <w:szCs w:val="28"/>
        </w:rPr>
        <w:t>供应商全称：</w:t>
      </w:r>
      <w:r>
        <w:rPr>
          <w:rFonts w:hint="eastAsia" w:ascii="仿宋_GB2312" w:hAnsi="仿宋_GB2312" w:eastAsia="仿宋_GB2312" w:cs="仿宋_GB2312"/>
          <w:sz w:val="28"/>
          <w:szCs w:val="28"/>
          <w:u w:val="single"/>
        </w:rPr>
        <w:t xml:space="preserve">                  供应商单位公章：</w:t>
      </w:r>
    </w:p>
    <w:p w14:paraId="305401EE">
      <w:pPr>
        <w:pStyle w:val="5"/>
        <w:tabs>
          <w:tab w:val="left" w:pos="5580"/>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w:t>
      </w:r>
    </w:p>
    <w:p w14:paraId="2057F335">
      <w:pPr>
        <w:pStyle w:val="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被授权人姓名：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C36D470">
      <w:pPr>
        <w:pStyle w:val="5"/>
        <w:tabs>
          <w:tab w:val="left" w:pos="531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424FE7D4">
      <w:pPr>
        <w:pStyle w:val="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06B13340">
      <w:pPr>
        <w:pStyle w:val="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429EBF20">
      <w:pPr>
        <w:pStyle w:val="5"/>
        <w:tabs>
          <w:tab w:val="left" w:pos="5305"/>
        </w:tabs>
        <w:spacing w:before="120" w:line="44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76322CB6">
      <w:pPr>
        <w:pStyle w:val="5"/>
        <w:tabs>
          <w:tab w:val="left" w:pos="5305"/>
        </w:tabs>
        <w:spacing w:before="120"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附：法定代表人和被授权人有效的身份证（正反面）复印件。</w:t>
      </w:r>
    </w:p>
    <w:p w14:paraId="650B5BBC">
      <w:pPr>
        <w:spacing w:line="440" w:lineRule="exact"/>
        <w:ind w:firstLine="480" w:firstLineChars="200"/>
        <w:rPr>
          <w:rFonts w:hAnsi="宋体" w:cs="宋体"/>
          <w:sz w:val="24"/>
        </w:rPr>
      </w:pPr>
    </w:p>
    <w:p w14:paraId="222A51C1">
      <w:pPr>
        <w:spacing w:line="440" w:lineRule="exact"/>
        <w:ind w:firstLine="480" w:firstLineChars="200"/>
        <w:jc w:val="center"/>
        <w:rPr>
          <w:rFonts w:hAnsi="宋体" w:cs="宋体"/>
          <w:sz w:val="24"/>
        </w:rPr>
      </w:pPr>
    </w:p>
    <w:p w14:paraId="240F79D4">
      <w:pPr>
        <w:widowControl/>
        <w:tabs>
          <w:tab w:val="left" w:pos="900"/>
          <w:tab w:val="center" w:pos="4422"/>
        </w:tabs>
        <w:spacing w:before="120" w:line="440" w:lineRule="exact"/>
        <w:jc w:val="left"/>
        <w:rPr>
          <w:rFonts w:ascii="仿宋_GB2312" w:hAnsi="仿宋_GB2312" w:eastAsia="仿宋_GB2312" w:cs="仿宋_GB2312"/>
          <w:b/>
          <w:bCs/>
          <w:color w:val="FF0000"/>
          <w:sz w:val="28"/>
          <w:szCs w:val="28"/>
        </w:rPr>
      </w:pPr>
      <w:r>
        <w:rPr>
          <w:rFonts w:ascii="仿宋_GB2312" w:hAnsi="仿宋_GB2312" w:eastAsia="仿宋_GB2312" w:cs="仿宋_GB2312"/>
          <w:b/>
          <w:bCs/>
          <w:color w:val="FF0000"/>
          <w:sz w:val="28"/>
          <w:szCs w:val="28"/>
        </w:rPr>
        <w:tab/>
      </w:r>
    </w:p>
    <w:p w14:paraId="06987780">
      <w:pPr>
        <w:widowControl/>
        <w:tabs>
          <w:tab w:val="left" w:pos="900"/>
        </w:tabs>
        <w:spacing w:before="120" w:line="44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rPr>
        <w:t>说明：供应商应</w:t>
      </w:r>
      <w:r>
        <w:rPr>
          <w:rFonts w:hint="eastAsia" w:ascii="仿宋_GB2312" w:hAnsi="仿宋_GB2312" w:eastAsia="仿宋_GB2312" w:cs="仿宋_GB2312"/>
          <w:b/>
          <w:bCs/>
          <w:color w:val="000000"/>
          <w:kern w:val="0"/>
          <w:sz w:val="28"/>
          <w:szCs w:val="28"/>
          <w:lang w:val="zh-CN"/>
        </w:rPr>
        <w:t>在</w:t>
      </w:r>
      <w:r>
        <w:rPr>
          <w:rFonts w:hint="eastAsia" w:ascii="仿宋_GB2312" w:hAnsi="仿宋_GB2312" w:eastAsia="仿宋_GB2312" w:cs="仿宋_GB2312"/>
          <w:b/>
          <w:bCs/>
          <w:color w:val="000000"/>
          <w:kern w:val="0"/>
          <w:sz w:val="28"/>
          <w:szCs w:val="28"/>
        </w:rPr>
        <w:t>应答文件</w:t>
      </w:r>
      <w:r>
        <w:rPr>
          <w:rFonts w:hint="eastAsia" w:ascii="仿宋_GB2312" w:hAnsi="仿宋_GB2312" w:eastAsia="仿宋_GB2312" w:cs="仿宋_GB2312"/>
          <w:b/>
          <w:bCs/>
          <w:color w:val="000000"/>
          <w:kern w:val="0"/>
          <w:sz w:val="28"/>
          <w:szCs w:val="28"/>
          <w:lang w:val="zh-CN"/>
        </w:rPr>
        <w:t>正本中提供《法定代表人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授权委托书》原件，如果供应商代表是法定代表人，则《法定代表人</w:t>
      </w:r>
      <w:r>
        <w:rPr>
          <w:rFonts w:hint="eastAsia" w:ascii="仿宋_GB2312" w:hAnsi="仿宋_GB2312" w:eastAsia="仿宋_GB2312" w:cs="仿宋_GB2312"/>
          <w:b/>
          <w:bCs/>
          <w:color w:val="000000"/>
          <w:kern w:val="0"/>
          <w:sz w:val="28"/>
          <w:szCs w:val="28"/>
        </w:rPr>
        <w:t>的</w:t>
      </w:r>
      <w:r>
        <w:rPr>
          <w:rFonts w:hint="eastAsia" w:ascii="仿宋_GB2312" w:hAnsi="仿宋_GB2312" w:eastAsia="仿宋_GB2312" w:cs="仿宋_GB2312"/>
          <w:b/>
          <w:bCs/>
          <w:color w:val="000000"/>
          <w:kern w:val="0"/>
          <w:sz w:val="28"/>
          <w:szCs w:val="28"/>
          <w:lang w:val="zh-CN"/>
        </w:rPr>
        <w:t>授权委托书》可以不提供，</w:t>
      </w:r>
      <w:r>
        <w:rPr>
          <w:rFonts w:hint="eastAsia" w:ascii="仿宋_GB2312" w:hAnsi="仿宋_GB2312" w:eastAsia="仿宋_GB2312" w:cs="仿宋_GB2312"/>
          <w:b/>
          <w:bCs/>
          <w:color w:val="000000"/>
          <w:kern w:val="0"/>
          <w:sz w:val="28"/>
          <w:szCs w:val="28"/>
        </w:rPr>
        <w:t>但</w:t>
      </w:r>
      <w:r>
        <w:rPr>
          <w:rFonts w:hint="eastAsia" w:ascii="仿宋_GB2312" w:hAnsi="仿宋_GB2312" w:eastAsia="仿宋_GB2312" w:cs="仿宋_GB2312"/>
          <w:b/>
          <w:bCs/>
          <w:color w:val="000000"/>
          <w:kern w:val="0"/>
          <w:sz w:val="28"/>
          <w:szCs w:val="28"/>
          <w:lang w:val="zh-CN"/>
        </w:rPr>
        <w:t>须提供由</w:t>
      </w:r>
      <w:r>
        <w:rPr>
          <w:rFonts w:hint="eastAsia" w:ascii="仿宋_GB2312" w:hAnsi="仿宋_GB2312" w:eastAsia="仿宋_GB2312" w:cs="仿宋_GB2312"/>
          <w:b/>
          <w:bCs/>
          <w:color w:val="000000"/>
          <w:kern w:val="0"/>
          <w:sz w:val="28"/>
          <w:szCs w:val="28"/>
        </w:rPr>
        <w:t>供应商单位出具的</w:t>
      </w:r>
      <w:r>
        <w:rPr>
          <w:rFonts w:hint="eastAsia" w:ascii="仿宋_GB2312" w:hAnsi="仿宋_GB2312" w:eastAsia="仿宋_GB2312" w:cs="仿宋_GB2312"/>
          <w:b/>
          <w:bCs/>
          <w:color w:val="000000"/>
          <w:kern w:val="0"/>
          <w:sz w:val="28"/>
          <w:szCs w:val="28"/>
          <w:lang w:val="zh-CN"/>
        </w:rPr>
        <w:t>法定代表人身份证明原件（</w:t>
      </w:r>
      <w:r>
        <w:rPr>
          <w:rFonts w:hint="eastAsia" w:ascii="仿宋_GB2312" w:hAnsi="仿宋_GB2312" w:eastAsia="仿宋_GB2312" w:cs="仿宋_GB2312"/>
          <w:b/>
          <w:bCs/>
          <w:color w:val="000000"/>
          <w:kern w:val="0"/>
          <w:sz w:val="28"/>
          <w:szCs w:val="28"/>
        </w:rPr>
        <w:t>内容自拟，但必须包括法定代表人身份证复印件和法定代表人本人签字</w:t>
      </w:r>
      <w:r>
        <w:rPr>
          <w:rFonts w:hint="eastAsia" w:ascii="仿宋_GB2312" w:hAnsi="仿宋_GB2312" w:eastAsia="仿宋_GB2312" w:cs="仿宋_GB2312"/>
          <w:b/>
          <w:bCs/>
          <w:color w:val="000000"/>
          <w:kern w:val="0"/>
          <w:sz w:val="28"/>
          <w:szCs w:val="28"/>
          <w:lang w:val="zh-CN"/>
        </w:rPr>
        <w:t>）。</w:t>
      </w:r>
    </w:p>
    <w:p w14:paraId="1A84327E">
      <w:pPr>
        <w:pStyle w:val="4"/>
        <w:spacing w:line="440" w:lineRule="exact"/>
        <w:jc w:val="both"/>
        <w:rPr>
          <w:rFonts w:ascii="仿宋_GB2312" w:hAnsi="仿宋_GB2312" w:eastAsia="仿宋_GB2312" w:cs="仿宋_GB2312"/>
          <w:b w:val="0"/>
          <w:sz w:val="24"/>
        </w:rPr>
        <w:sectPr>
          <w:footerReference r:id="rId5" w:type="default"/>
          <w:endnotePr>
            <w:numFmt w:val="decimal"/>
          </w:endnotePr>
          <w:pgSz w:w="11906" w:h="16838"/>
          <w:pgMar w:top="2098" w:right="1474" w:bottom="1985" w:left="1588" w:header="851" w:footer="851" w:gutter="0"/>
          <w:cols w:space="720" w:num="1"/>
          <w:docGrid w:linePitch="312" w:charSpace="0"/>
        </w:sectPr>
      </w:pPr>
    </w:p>
    <w:p w14:paraId="638211EE">
      <w:pPr>
        <w:spacing w:line="560" w:lineRule="exact"/>
        <w:jc w:val="left"/>
        <w:rPr>
          <w:rFonts w:ascii="宋体" w:hAnsi="宋体"/>
          <w:b/>
          <w:sz w:val="28"/>
          <w:szCs w:val="28"/>
        </w:rPr>
      </w:pPr>
      <w:r>
        <w:rPr>
          <w:rFonts w:hint="eastAsia" w:ascii="仿宋_GB2312" w:hAnsi="仿宋_GB2312" w:eastAsia="仿宋_GB2312" w:cs="仿宋_GB2312"/>
          <w:b/>
          <w:sz w:val="28"/>
          <w:szCs w:val="28"/>
        </w:rPr>
        <w:t>3</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sz w:val="28"/>
          <w:szCs w:val="28"/>
        </w:rPr>
        <w:t>参加本次比选工作前三年内，在经营活动中没有重大违法记录的声明(格式)</w:t>
      </w:r>
    </w:p>
    <w:p w14:paraId="6103C2E2">
      <w:pPr>
        <w:spacing w:line="560" w:lineRule="exact"/>
        <w:rPr>
          <w:rFonts w:ascii="仿宋_GB2312" w:hAnsi="仿宋_GB2312" w:eastAsia="仿宋_GB2312" w:cs="仿宋_GB2312"/>
          <w:sz w:val="24"/>
          <w:szCs w:val="24"/>
        </w:rPr>
      </w:pPr>
    </w:p>
    <w:p w14:paraId="66CC27DF">
      <w:pPr>
        <w:pStyle w:val="5"/>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我：</w:t>
      </w:r>
      <w:r>
        <w:rPr>
          <w:rFonts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单位</w:t>
      </w:r>
      <w:r>
        <w:rPr>
          <w:rFonts w:ascii="仿宋_GB2312" w:hAnsi="仿宋_GB2312" w:eastAsia="仿宋_GB2312" w:cs="仿宋_GB2312"/>
          <w:sz w:val="28"/>
          <w:szCs w:val="28"/>
          <w:u w:val="single"/>
        </w:rPr>
        <w:t>名称）</w:t>
      </w:r>
      <w:r>
        <w:rPr>
          <w:rFonts w:ascii="仿宋_GB2312" w:hAnsi="仿宋_GB2312" w:eastAsia="仿宋_GB2312" w:cs="仿宋_GB2312"/>
          <w:sz w:val="28"/>
          <w:szCs w:val="28"/>
        </w:rPr>
        <w:t>郑重声明：</w:t>
      </w:r>
    </w:p>
    <w:p w14:paraId="08BB0158">
      <w:pPr>
        <w:pStyle w:val="5"/>
        <w:spacing w:line="5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我</w:t>
      </w:r>
      <w:r>
        <w:rPr>
          <w:rFonts w:hint="eastAsia" w:ascii="仿宋_GB2312" w:hAnsi="仿宋_GB2312" w:eastAsia="仿宋_GB2312" w:cs="仿宋_GB2312"/>
          <w:sz w:val="28"/>
          <w:szCs w:val="28"/>
        </w:rPr>
        <w:t>单位</w:t>
      </w:r>
      <w:r>
        <w:rPr>
          <w:rFonts w:ascii="仿宋_GB2312" w:hAnsi="仿宋_GB2312" w:eastAsia="仿宋_GB2312" w:cs="仿宋_GB2312"/>
          <w:sz w:val="28"/>
          <w:szCs w:val="28"/>
        </w:rPr>
        <w:t>在参加本次</w:t>
      </w:r>
      <w:r>
        <w:rPr>
          <w:rFonts w:hint="eastAsia" w:ascii="仿宋_GB2312" w:hAnsi="仿宋_GB2312" w:eastAsia="仿宋_GB2312" w:cs="仿宋_GB2312"/>
          <w:sz w:val="28"/>
          <w:szCs w:val="28"/>
        </w:rPr>
        <w:t>比选工作</w:t>
      </w:r>
      <w:r>
        <w:rPr>
          <w:rFonts w:ascii="仿宋_GB2312" w:hAnsi="仿宋_GB2312" w:eastAsia="仿宋_GB2312" w:cs="仿宋_GB2312"/>
          <w:sz w:val="28"/>
          <w:szCs w:val="28"/>
        </w:rPr>
        <w:t>前三年内，在经营活动中没有重大违法记录。</w:t>
      </w:r>
    </w:p>
    <w:p w14:paraId="5EA59443">
      <w:pPr>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7F6729E6">
      <w:pPr>
        <w:spacing w:line="560" w:lineRule="exact"/>
        <w:jc w:val="left"/>
        <w:rPr>
          <w:rFonts w:ascii="宋体" w:hAnsi="宋体"/>
          <w:sz w:val="28"/>
          <w:szCs w:val="28"/>
        </w:rPr>
      </w:pPr>
    </w:p>
    <w:p w14:paraId="6C820331">
      <w:pPr>
        <w:pStyle w:val="5"/>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供应商名称（全称）：</w:t>
      </w:r>
      <w:r>
        <w:rPr>
          <w:rFonts w:hint="eastAsia" w:ascii="仿宋_GB2312" w:hAnsi="仿宋_GB2312" w:eastAsia="仿宋_GB2312" w:cs="仿宋_GB2312"/>
          <w:sz w:val="28"/>
          <w:szCs w:val="28"/>
          <w:u w:val="single"/>
        </w:rPr>
        <w:tab/>
      </w:r>
    </w:p>
    <w:p w14:paraId="1D36B493">
      <w:pPr>
        <w:pStyle w:val="5"/>
        <w:tabs>
          <w:tab w:val="left" w:pos="5580"/>
        </w:tabs>
        <w:spacing w:before="120" w:line="560" w:lineRule="exact"/>
        <w:ind w:left="420" w:leftChars="200" w:firstLine="420" w:firstLineChars="1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供应商单位公章：</w:t>
      </w:r>
      <w:r>
        <w:rPr>
          <w:rFonts w:hint="eastAsia" w:ascii="仿宋_GB2312" w:hAnsi="仿宋_GB2312" w:eastAsia="仿宋_GB2312" w:cs="仿宋_GB2312"/>
          <w:sz w:val="28"/>
          <w:szCs w:val="28"/>
          <w:u w:val="single"/>
        </w:rPr>
        <w:tab/>
      </w:r>
    </w:p>
    <w:p w14:paraId="6C00906C">
      <w:pPr>
        <w:pStyle w:val="5"/>
        <w:tabs>
          <w:tab w:val="left" w:pos="5460"/>
        </w:tabs>
        <w:spacing w:before="120" w:line="560" w:lineRule="exact"/>
        <w:ind w:left="420" w:leftChars="200" w:firstLine="420" w:firstLineChars="15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24E9683F">
      <w:pPr>
        <w:spacing w:before="25" w:after="25" w:line="560" w:lineRule="exact"/>
        <w:jc w:val="left"/>
        <w:rPr>
          <w:rFonts w:ascii="宋体" w:hAnsi="宋体"/>
          <w:sz w:val="24"/>
        </w:rPr>
      </w:pPr>
    </w:p>
    <w:p w14:paraId="05CDC6DA">
      <w:pPr>
        <w:spacing w:line="560" w:lineRule="exact"/>
        <w:jc w:val="center"/>
        <w:rPr>
          <w:rFonts w:ascii="仿宋_GB2312" w:hAnsi="仿宋_GB2312" w:eastAsia="仿宋_GB2312" w:cs="仿宋_GB2312"/>
          <w:b/>
          <w:iCs/>
          <w:sz w:val="24"/>
        </w:rPr>
      </w:pPr>
    </w:p>
    <w:p w14:paraId="387FDBCD">
      <w:pPr>
        <w:spacing w:line="560" w:lineRule="exact"/>
        <w:jc w:val="center"/>
        <w:rPr>
          <w:rFonts w:ascii="仿宋_GB2312" w:hAnsi="仿宋_GB2312" w:eastAsia="仿宋_GB2312" w:cs="仿宋_GB2312"/>
          <w:b/>
          <w:iCs/>
          <w:sz w:val="24"/>
        </w:rPr>
      </w:pPr>
    </w:p>
    <w:p w14:paraId="60E1FBCC">
      <w:pPr>
        <w:spacing w:line="560" w:lineRule="exact"/>
        <w:jc w:val="center"/>
        <w:rPr>
          <w:rFonts w:ascii="仿宋_GB2312" w:hAnsi="仿宋_GB2312" w:eastAsia="仿宋_GB2312" w:cs="仿宋_GB2312"/>
          <w:b/>
          <w:iCs/>
          <w:sz w:val="24"/>
        </w:rPr>
      </w:pPr>
    </w:p>
    <w:p w14:paraId="47D04729">
      <w:pPr>
        <w:spacing w:line="560" w:lineRule="exact"/>
        <w:jc w:val="center"/>
        <w:rPr>
          <w:rFonts w:ascii="仿宋_GB2312" w:hAnsi="仿宋_GB2312" w:eastAsia="仿宋_GB2312" w:cs="仿宋_GB2312"/>
          <w:b/>
          <w:iCs/>
          <w:sz w:val="24"/>
        </w:rPr>
      </w:pPr>
    </w:p>
    <w:p w14:paraId="63C73EE6">
      <w:pPr>
        <w:spacing w:line="560" w:lineRule="exact"/>
        <w:jc w:val="center"/>
        <w:rPr>
          <w:rFonts w:ascii="仿宋_GB2312" w:hAnsi="仿宋_GB2312" w:eastAsia="仿宋_GB2312" w:cs="仿宋_GB2312"/>
          <w:b/>
          <w:iCs/>
          <w:sz w:val="24"/>
        </w:rPr>
      </w:pPr>
    </w:p>
    <w:p w14:paraId="390E0282">
      <w:pPr>
        <w:spacing w:line="560" w:lineRule="exact"/>
        <w:jc w:val="center"/>
        <w:rPr>
          <w:rFonts w:ascii="仿宋_GB2312" w:hAnsi="仿宋_GB2312" w:eastAsia="仿宋_GB2312" w:cs="仿宋_GB2312"/>
          <w:b/>
          <w:iCs/>
          <w:sz w:val="24"/>
        </w:rPr>
      </w:pPr>
    </w:p>
    <w:p w14:paraId="383C4BE1">
      <w:pPr>
        <w:spacing w:line="560" w:lineRule="exact"/>
        <w:jc w:val="center"/>
        <w:rPr>
          <w:rFonts w:ascii="仿宋_GB2312" w:hAnsi="仿宋_GB2312" w:eastAsia="仿宋_GB2312" w:cs="仿宋_GB2312"/>
          <w:b/>
          <w:iCs/>
          <w:sz w:val="24"/>
        </w:rPr>
      </w:pPr>
    </w:p>
    <w:p w14:paraId="7B3D1427">
      <w:pPr>
        <w:spacing w:line="560" w:lineRule="exact"/>
        <w:jc w:val="center"/>
        <w:rPr>
          <w:rFonts w:ascii="仿宋_GB2312" w:hAnsi="仿宋_GB2312" w:eastAsia="仿宋_GB2312" w:cs="仿宋_GB2312"/>
          <w:b/>
          <w:iCs/>
          <w:sz w:val="24"/>
        </w:rPr>
      </w:pPr>
    </w:p>
    <w:p w14:paraId="429AE980">
      <w:pPr>
        <w:spacing w:line="560" w:lineRule="exact"/>
        <w:jc w:val="center"/>
        <w:rPr>
          <w:rFonts w:ascii="仿宋_GB2312" w:hAnsi="仿宋_GB2312" w:eastAsia="仿宋_GB2312" w:cs="仿宋_GB2312"/>
          <w:b/>
          <w:iCs/>
          <w:sz w:val="24"/>
        </w:rPr>
      </w:pPr>
    </w:p>
    <w:p w14:paraId="29F8B202">
      <w:pPr>
        <w:spacing w:line="560" w:lineRule="exact"/>
        <w:jc w:val="center"/>
        <w:rPr>
          <w:rFonts w:ascii="仿宋_GB2312" w:hAnsi="仿宋_GB2312" w:eastAsia="仿宋_GB2312" w:cs="仿宋_GB2312"/>
          <w:b/>
          <w:iCs/>
          <w:sz w:val="24"/>
        </w:rPr>
      </w:pPr>
    </w:p>
    <w:p w14:paraId="31391A22">
      <w:pPr>
        <w:spacing w:line="560" w:lineRule="exact"/>
        <w:jc w:val="center"/>
        <w:rPr>
          <w:rFonts w:ascii="仿宋_GB2312" w:hAnsi="仿宋_GB2312" w:eastAsia="仿宋_GB2312" w:cs="仿宋_GB2312"/>
          <w:b/>
          <w:iCs/>
          <w:sz w:val="24"/>
        </w:rPr>
      </w:pPr>
    </w:p>
    <w:p w14:paraId="32B7EC3C">
      <w:pPr>
        <w:spacing w:line="560" w:lineRule="exact"/>
        <w:jc w:val="left"/>
        <w:rPr>
          <w:rFonts w:hint="eastAsia" w:ascii="仿宋_GB2312" w:hAnsi="仿宋_GB2312" w:eastAsia="仿宋_GB2312" w:cs="仿宋_GB2312"/>
          <w:b/>
          <w:sz w:val="28"/>
          <w:szCs w:val="28"/>
        </w:rPr>
        <w:sectPr>
          <w:endnotePr>
            <w:numFmt w:val="decimal"/>
          </w:endnotePr>
          <w:pgSz w:w="11906" w:h="16838"/>
          <w:pgMar w:top="1247" w:right="1587" w:bottom="1247" w:left="1587" w:header="850" w:footer="850" w:gutter="0"/>
          <w:cols w:space="720" w:num="1"/>
          <w:docGrid w:linePitch="462" w:charSpace="0"/>
        </w:sectPr>
      </w:pPr>
    </w:p>
    <w:p w14:paraId="01647F8A">
      <w:pPr>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4</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sz w:val="28"/>
          <w:szCs w:val="28"/>
        </w:rPr>
        <w:t>供应商信用记录查询声明及网页截屏（格式）</w:t>
      </w:r>
    </w:p>
    <w:p w14:paraId="5452352E">
      <w:pPr>
        <w:spacing w:line="560" w:lineRule="exact"/>
        <w:jc w:val="center"/>
        <w:rPr>
          <w:rFonts w:ascii="仿宋_GB2312" w:hAnsi="仿宋_GB2312" w:eastAsia="仿宋_GB2312" w:cs="仿宋_GB2312"/>
          <w:b/>
          <w:sz w:val="24"/>
        </w:rPr>
      </w:pPr>
    </w:p>
    <w:p w14:paraId="44BA2202">
      <w:pPr>
        <w:pStyle w:val="5"/>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rPr>
        <w:t>单位</w:t>
      </w:r>
      <w:r>
        <w:rPr>
          <w:rFonts w:ascii="仿宋_GB2312" w:hAnsi="仿宋_GB2312" w:eastAsia="仿宋_GB2312" w:cs="仿宋_GB2312"/>
          <w:sz w:val="28"/>
          <w:szCs w:val="28"/>
          <w:u w:val="single"/>
        </w:rPr>
        <w:t>名称）</w:t>
      </w:r>
      <w:r>
        <w:rPr>
          <w:rFonts w:ascii="仿宋_GB2312" w:hAnsi="仿宋_GB2312" w:eastAsia="仿宋_GB2312" w:cs="仿宋_GB2312"/>
          <w:sz w:val="28"/>
          <w:szCs w:val="28"/>
        </w:rPr>
        <w:t>郑重声明：</w:t>
      </w:r>
    </w:p>
    <w:p w14:paraId="53F2ACBE">
      <w:pPr>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我</w:t>
      </w:r>
      <w:r>
        <w:rPr>
          <w:rFonts w:hint="eastAsia" w:ascii="仿宋_GB2312" w:hAnsi="仿宋_GB2312" w:eastAsia="仿宋_GB2312" w:cs="仿宋_GB2312"/>
          <w:sz w:val="28"/>
          <w:szCs w:val="28"/>
        </w:rPr>
        <w:t>单位未被列入失信被执行人、重大税收违法案件当事人名单、政府采购严重违法失信行为记录名单。</w:t>
      </w:r>
    </w:p>
    <w:p w14:paraId="03316F7E">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在“信用中国”网站（www.creditchina.gov.cn）及中国政府采购网（www.ccgp.gov.cn）查询到的如下信用记录真实有效：</w:t>
      </w:r>
    </w:p>
    <w:p w14:paraId="47993B6F">
      <w:pPr>
        <w:spacing w:line="480" w:lineRule="exact"/>
        <w:ind w:firstLine="560" w:firstLineChars="200"/>
        <w:rPr>
          <w:rFonts w:ascii="仿宋_GB2312" w:hAnsi="仿宋_GB2312" w:eastAsia="仿宋_GB2312" w:cs="仿宋_GB2312"/>
          <w:sz w:val="28"/>
          <w:szCs w:val="28"/>
        </w:rPr>
      </w:pPr>
    </w:p>
    <w:p w14:paraId="2394689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（1）附：在</w:t>
      </w:r>
      <w:r>
        <w:rPr>
          <w:rFonts w:hint="eastAsia" w:ascii="仿宋_GB2312" w:hAnsi="仿宋_GB2312" w:eastAsia="仿宋_GB2312" w:cs="仿宋_GB2312"/>
          <w:sz w:val="28"/>
          <w:szCs w:val="28"/>
        </w:rPr>
        <w:t>“信用中国”网站（www.creditchina.gov.cn）进行信用记录查询的结果网页截屏(截图均加盖供应商单位公章)；</w:t>
      </w:r>
    </w:p>
    <w:p w14:paraId="5575F55A">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iCs/>
          <w:sz w:val="28"/>
          <w:szCs w:val="28"/>
        </w:rPr>
        <w:t>（2）附：</w:t>
      </w:r>
      <w:r>
        <w:rPr>
          <w:rFonts w:hint="eastAsia" w:ascii="仿宋_GB2312" w:hAnsi="仿宋_GB2312" w:eastAsia="仿宋_GB2312" w:cs="仿宋_GB2312"/>
          <w:sz w:val="28"/>
          <w:szCs w:val="28"/>
        </w:rPr>
        <w:t>在中国政府采购网（www.ccgp.gov.cn）进行政府采购严重违法失信行为记录名单查询的结果网页截屏(截图均加盖供应商单位公章)；</w:t>
      </w:r>
    </w:p>
    <w:p w14:paraId="1F9CC09E">
      <w:pPr>
        <w:spacing w:line="480" w:lineRule="exact"/>
        <w:ind w:firstLine="560" w:firstLineChars="200"/>
        <w:rPr>
          <w:rFonts w:ascii="仿宋_GB2312" w:hAnsi="仿宋_GB2312" w:eastAsia="仿宋_GB2312" w:cs="仿宋_GB2312"/>
          <w:sz w:val="28"/>
          <w:szCs w:val="28"/>
        </w:rPr>
      </w:pPr>
    </w:p>
    <w:p w14:paraId="42903E93">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14:paraId="23CA8DB7">
      <w:pPr>
        <w:spacing w:line="480" w:lineRule="exact"/>
        <w:jc w:val="center"/>
        <w:rPr>
          <w:rFonts w:ascii="宋体" w:hAnsi="宋体"/>
          <w:sz w:val="28"/>
          <w:szCs w:val="28"/>
        </w:rPr>
      </w:pPr>
    </w:p>
    <w:p w14:paraId="3F50A372">
      <w:pPr>
        <w:pStyle w:val="5"/>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供应商名称（全称）：</w:t>
      </w:r>
      <w:r>
        <w:rPr>
          <w:rFonts w:hint="eastAsia" w:ascii="仿宋_GB2312" w:hAnsi="仿宋_GB2312" w:eastAsia="仿宋_GB2312" w:cs="仿宋_GB2312"/>
          <w:sz w:val="28"/>
          <w:szCs w:val="28"/>
          <w:u w:val="single"/>
        </w:rPr>
        <w:tab/>
      </w:r>
    </w:p>
    <w:p w14:paraId="43DFE77F">
      <w:pPr>
        <w:pStyle w:val="5"/>
        <w:tabs>
          <w:tab w:val="left" w:pos="5580"/>
        </w:tabs>
        <w:spacing w:before="120" w:line="480" w:lineRule="exact"/>
        <w:ind w:left="420" w:leftChars="200"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供应商单位公章：</w:t>
      </w:r>
      <w:r>
        <w:rPr>
          <w:rFonts w:hint="eastAsia" w:ascii="仿宋_GB2312" w:hAnsi="仿宋_GB2312" w:eastAsia="仿宋_GB2312" w:cs="仿宋_GB2312"/>
          <w:sz w:val="28"/>
          <w:szCs w:val="28"/>
          <w:u w:val="single"/>
        </w:rPr>
        <w:tab/>
      </w:r>
    </w:p>
    <w:p w14:paraId="2B671520">
      <w:pPr>
        <w:pStyle w:val="5"/>
        <w:tabs>
          <w:tab w:val="left" w:pos="5585"/>
        </w:tabs>
        <w:spacing w:before="120" w:line="480" w:lineRule="exact"/>
        <w:ind w:left="420" w:leftChars="200" w:firstLine="420" w:firstLineChars="15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ab/>
      </w:r>
    </w:p>
    <w:p w14:paraId="51157C60">
      <w:pPr>
        <w:widowControl/>
        <w:tabs>
          <w:tab w:val="left" w:pos="900"/>
          <w:tab w:val="center" w:pos="4422"/>
        </w:tabs>
        <w:spacing w:before="120" w:line="440" w:lineRule="exact"/>
        <w:jc w:val="left"/>
        <w:rPr>
          <w:rFonts w:ascii="仿宋_GB2312" w:hAnsi="仿宋_GB2312" w:eastAsia="仿宋_GB2312" w:cs="仿宋_GB2312"/>
          <w:b/>
          <w:bCs/>
          <w:color w:val="FF0000"/>
          <w:sz w:val="28"/>
          <w:szCs w:val="28"/>
        </w:rPr>
      </w:pPr>
    </w:p>
    <w:p w14:paraId="0BBC73B3">
      <w:pPr>
        <w:widowControl/>
        <w:tabs>
          <w:tab w:val="left" w:pos="900"/>
          <w:tab w:val="center" w:pos="4422"/>
        </w:tabs>
        <w:spacing w:before="120" w:line="440" w:lineRule="exact"/>
        <w:jc w:val="left"/>
        <w:rPr>
          <w:rFonts w:ascii="仿宋_GB2312" w:hAnsi="仿宋_GB2312" w:eastAsia="仿宋_GB2312" w:cs="仿宋_GB2312"/>
          <w:b/>
          <w:bCs/>
          <w:color w:val="FF0000"/>
          <w:sz w:val="28"/>
          <w:szCs w:val="28"/>
        </w:rPr>
      </w:pPr>
      <w:r>
        <w:rPr>
          <w:rFonts w:ascii="仿宋_GB2312" w:hAnsi="仿宋_GB2312" w:eastAsia="仿宋_GB2312" w:cs="仿宋_GB2312"/>
          <w:b/>
          <w:bCs/>
          <w:color w:val="FF0000"/>
          <w:sz w:val="28"/>
          <w:szCs w:val="28"/>
        </w:rPr>
        <w:tab/>
      </w:r>
    </w:p>
    <w:p w14:paraId="33E75428">
      <w:pPr>
        <w:pStyle w:val="5"/>
        <w:tabs>
          <w:tab w:val="left" w:pos="5585"/>
        </w:tabs>
        <w:spacing w:before="120" w:line="480" w:lineRule="exact"/>
        <w:ind w:firstLine="562" w:firstLineChars="200"/>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说明：供应商所提供的信用记录查询截屏仅作参考使用，信用记录最终以采购人于评审当日的查询为准，如经评审当日查询，供应商存在被列入失信被执行人、重大税收违法案件当事人名单、政府采购严重违法失信行为记录名单的，将无权参加项目评审。</w:t>
      </w:r>
    </w:p>
    <w:p w14:paraId="68901619">
      <w:pPr>
        <w:pStyle w:val="4"/>
        <w:spacing w:line="480" w:lineRule="exact"/>
        <w:jc w:val="both"/>
        <w:rPr>
          <w:rFonts w:ascii="仿宋" w:hAnsi="仿宋" w:eastAsia="仿宋" w:cs="仿宋_GB2312"/>
          <w:b w:val="0"/>
          <w:bCs/>
          <w:sz w:val="28"/>
          <w:szCs w:val="28"/>
        </w:rPr>
      </w:pPr>
      <w:r>
        <w:rPr>
          <w:rFonts w:ascii="仿宋_GB2312" w:hAnsi="仿宋_GB2312" w:eastAsia="仿宋_GB2312" w:cs="仿宋_GB2312"/>
          <w:b w:val="0"/>
          <w:sz w:val="24"/>
          <w:highlight w:val="yellow"/>
        </w:rPr>
        <w:br w:type="page"/>
      </w:r>
      <w:r>
        <w:rPr>
          <w:rFonts w:hint="eastAsia" w:ascii="仿宋_GB2312" w:hAnsi="仿宋_GB2312" w:eastAsia="仿宋_GB2312" w:cs="仿宋_GB2312"/>
          <w:b/>
          <w:kern w:val="2"/>
          <w:sz w:val="28"/>
          <w:szCs w:val="28"/>
          <w:lang w:val="en-US" w:eastAsia="zh-CN" w:bidi="ar-SA"/>
        </w:rPr>
        <w:t>5  其它证明材料</w:t>
      </w:r>
    </w:p>
    <w:p w14:paraId="5FF2E8A9">
      <w:pPr>
        <w:spacing w:before="120" w:line="560" w:lineRule="exact"/>
        <w:jc w:val="center"/>
        <w:rPr>
          <w:rFonts w:ascii="仿宋_GB2312" w:hAnsi="仿宋_GB2312" w:eastAsia="仿宋_GB2312" w:cs="仿宋_GB2312"/>
          <w:iCs/>
          <w:sz w:val="24"/>
        </w:rPr>
        <w:sectPr>
          <w:endnotePr>
            <w:numFmt w:val="decimal"/>
          </w:endnotePr>
          <w:pgSz w:w="11906" w:h="16838"/>
          <w:pgMar w:top="1247" w:right="1587" w:bottom="1247" w:left="1587" w:header="850" w:footer="850" w:gutter="0"/>
          <w:cols w:space="720" w:num="1"/>
          <w:docGrid w:linePitch="462" w:charSpace="0"/>
        </w:sectPr>
      </w:pPr>
      <w:r>
        <w:rPr>
          <w:rFonts w:hint="eastAsia" w:ascii="仿宋_GB2312" w:hAnsi="仿宋_GB2312" w:eastAsia="仿宋_GB2312" w:cs="仿宋_GB2312"/>
          <w:iCs/>
          <w:sz w:val="28"/>
          <w:szCs w:val="28"/>
        </w:rPr>
        <w:t>（</w:t>
      </w:r>
      <w:r>
        <w:rPr>
          <w:rFonts w:ascii="仿宋_GB2312" w:hAnsi="仿宋_GB2312" w:eastAsia="仿宋_GB2312" w:cs="仿宋_GB2312"/>
          <w:iCs/>
          <w:sz w:val="28"/>
          <w:szCs w:val="28"/>
        </w:rPr>
        <w:t>须加盖供应商</w:t>
      </w:r>
      <w:r>
        <w:rPr>
          <w:rFonts w:hint="eastAsia" w:ascii="仿宋_GB2312" w:hAnsi="仿宋_GB2312" w:eastAsia="仿宋_GB2312" w:cs="仿宋_GB2312"/>
          <w:iCs/>
          <w:sz w:val="28"/>
          <w:szCs w:val="28"/>
        </w:rPr>
        <w:t>单位</w:t>
      </w:r>
      <w:r>
        <w:rPr>
          <w:rFonts w:ascii="仿宋_GB2312" w:hAnsi="仿宋_GB2312" w:eastAsia="仿宋_GB2312" w:cs="仿宋_GB2312"/>
          <w:iCs/>
          <w:sz w:val="28"/>
          <w:szCs w:val="28"/>
        </w:rPr>
        <w:t>公章</w:t>
      </w:r>
      <w:r>
        <w:rPr>
          <w:rFonts w:hint="eastAsia" w:ascii="仿宋_GB2312" w:hAnsi="仿宋_GB2312" w:eastAsia="仿宋_GB2312" w:cs="仿宋_GB2312"/>
          <w:iCs/>
          <w:sz w:val="28"/>
          <w:szCs w:val="28"/>
        </w:rPr>
        <w:t>）</w:t>
      </w:r>
    </w:p>
    <w:p w14:paraId="2F74D921">
      <w:pPr>
        <w:pStyle w:val="4"/>
        <w:tabs>
          <w:tab w:val="left" w:pos="5580"/>
        </w:tabs>
        <w:spacing w:line="560" w:lineRule="exact"/>
        <w:rPr>
          <w:rFonts w:ascii="仿宋_GB2312" w:hAnsi="仿宋_GB2312" w:eastAsia="仿宋_GB2312" w:cs="仿宋_GB2312"/>
          <w:sz w:val="28"/>
          <w:szCs w:val="28"/>
        </w:rPr>
      </w:pPr>
      <w:bookmarkStart w:id="29" w:name="_Toc480942350"/>
      <w:bookmarkStart w:id="30" w:name="_Toc109543219"/>
      <w:bookmarkStart w:id="31" w:name="_Ref467988705"/>
      <w:bookmarkStart w:id="32" w:name="_Toc520356218"/>
      <w:bookmarkStart w:id="33" w:name="_Toc109542399"/>
      <w:r>
        <w:rPr>
          <w:rFonts w:hint="eastAsia" w:ascii="仿宋_GB2312" w:hAnsi="仿宋_GB2312" w:eastAsia="仿宋_GB2312" w:cs="仿宋_GB2312"/>
          <w:sz w:val="28"/>
          <w:szCs w:val="28"/>
        </w:rPr>
        <w:t>（二）价格部分</w:t>
      </w:r>
    </w:p>
    <w:p w14:paraId="196A5013">
      <w:pPr>
        <w:pStyle w:val="4"/>
        <w:tabs>
          <w:tab w:val="left" w:pos="5580"/>
        </w:tabs>
        <w:spacing w:line="560" w:lineRule="exact"/>
        <w:jc w:val="both"/>
        <w:rPr>
          <w:rFonts w:ascii="仿宋_GB2312" w:hAnsi="仿宋_GB2312" w:eastAsia="仿宋_GB2312" w:cs="仿宋_GB2312"/>
          <w:sz w:val="28"/>
          <w:szCs w:val="28"/>
        </w:rPr>
      </w:pPr>
    </w:p>
    <w:p w14:paraId="630837C6">
      <w:pPr>
        <w:pStyle w:val="4"/>
        <w:tabs>
          <w:tab w:val="left" w:pos="5580"/>
        </w:tabs>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应答报价一览表</w:t>
      </w:r>
    </w:p>
    <w:p w14:paraId="18CB27D4">
      <w:pPr>
        <w:spacing w:line="560" w:lineRule="exact"/>
        <w:jc w:val="left"/>
        <w:rPr>
          <w:rFonts w:ascii="仿宋_GB2312" w:eastAsia="仿宋_GB2312"/>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2846"/>
        <w:gridCol w:w="1442"/>
        <w:gridCol w:w="985"/>
      </w:tblGrid>
      <w:tr w14:paraId="1193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643" w:type="dxa"/>
            <w:tcBorders>
              <w:top w:val="single" w:color="auto" w:sz="4" w:space="0"/>
              <w:left w:val="single" w:color="auto" w:sz="4" w:space="0"/>
              <w:bottom w:val="single" w:color="auto" w:sz="4" w:space="0"/>
              <w:right w:val="single" w:color="auto" w:sz="4" w:space="0"/>
            </w:tcBorders>
            <w:vAlign w:val="center"/>
          </w:tcPr>
          <w:p w14:paraId="3BC443CA">
            <w:pPr>
              <w:spacing w:line="560" w:lineRule="exact"/>
              <w:jc w:val="center"/>
              <w:rPr>
                <w:rFonts w:ascii="仿宋_GB2312" w:eastAsia="仿宋_GB2312"/>
                <w:b/>
                <w:bCs/>
                <w:sz w:val="28"/>
                <w:szCs w:val="28"/>
              </w:rPr>
            </w:pPr>
            <w:r>
              <w:rPr>
                <w:rFonts w:hint="eastAsia" w:ascii="仿宋_GB2312" w:eastAsia="仿宋_GB2312"/>
                <w:b/>
                <w:bCs/>
                <w:sz w:val="28"/>
                <w:szCs w:val="28"/>
              </w:rPr>
              <w:t>项 目</w:t>
            </w:r>
          </w:p>
        </w:tc>
        <w:tc>
          <w:tcPr>
            <w:tcW w:w="2846" w:type="dxa"/>
            <w:tcBorders>
              <w:top w:val="single" w:color="auto" w:sz="4" w:space="0"/>
              <w:left w:val="single" w:color="auto" w:sz="4" w:space="0"/>
              <w:bottom w:val="single" w:color="auto" w:sz="4" w:space="0"/>
              <w:right w:val="single" w:color="auto" w:sz="4" w:space="0"/>
            </w:tcBorders>
            <w:vAlign w:val="center"/>
          </w:tcPr>
          <w:p w14:paraId="50A1CAB0">
            <w:pPr>
              <w:spacing w:line="560" w:lineRule="exact"/>
              <w:jc w:val="center"/>
              <w:rPr>
                <w:rFonts w:ascii="仿宋_GB2312" w:eastAsia="仿宋_GB2312"/>
                <w:b/>
                <w:bCs/>
                <w:sz w:val="28"/>
                <w:szCs w:val="28"/>
              </w:rPr>
            </w:pPr>
            <w:r>
              <w:rPr>
                <w:rFonts w:hint="eastAsia" w:ascii="仿宋_GB2312" w:eastAsia="仿宋_GB2312"/>
                <w:b/>
                <w:bCs/>
                <w:sz w:val="28"/>
                <w:szCs w:val="28"/>
              </w:rPr>
              <w:t>报价</w:t>
            </w:r>
          </w:p>
        </w:tc>
        <w:tc>
          <w:tcPr>
            <w:tcW w:w="1442" w:type="dxa"/>
            <w:tcBorders>
              <w:top w:val="single" w:color="auto" w:sz="4" w:space="0"/>
              <w:left w:val="single" w:color="auto" w:sz="4" w:space="0"/>
              <w:bottom w:val="single" w:color="auto" w:sz="4" w:space="0"/>
              <w:right w:val="single" w:color="auto" w:sz="4" w:space="0"/>
            </w:tcBorders>
            <w:vAlign w:val="center"/>
          </w:tcPr>
          <w:p w14:paraId="78B2E62B">
            <w:pPr>
              <w:spacing w:line="560" w:lineRule="exact"/>
              <w:jc w:val="center"/>
              <w:rPr>
                <w:rFonts w:ascii="仿宋_GB2312" w:eastAsia="仿宋_GB2312"/>
                <w:b/>
                <w:bCs/>
                <w:sz w:val="28"/>
                <w:szCs w:val="28"/>
              </w:rPr>
            </w:pPr>
            <w:r>
              <w:rPr>
                <w:rFonts w:hint="eastAsia" w:ascii="仿宋_GB2312" w:eastAsia="仿宋_GB2312"/>
                <w:b/>
                <w:bCs/>
                <w:sz w:val="28"/>
                <w:szCs w:val="28"/>
              </w:rPr>
              <w:t>服务期限</w:t>
            </w:r>
          </w:p>
        </w:tc>
        <w:tc>
          <w:tcPr>
            <w:tcW w:w="985" w:type="dxa"/>
            <w:tcBorders>
              <w:top w:val="single" w:color="auto" w:sz="4" w:space="0"/>
              <w:left w:val="single" w:color="auto" w:sz="4" w:space="0"/>
              <w:bottom w:val="single" w:color="auto" w:sz="4" w:space="0"/>
              <w:right w:val="single" w:color="auto" w:sz="4" w:space="0"/>
            </w:tcBorders>
            <w:vAlign w:val="center"/>
          </w:tcPr>
          <w:p w14:paraId="156C29C1">
            <w:pPr>
              <w:spacing w:line="560" w:lineRule="exact"/>
              <w:jc w:val="center"/>
              <w:rPr>
                <w:rFonts w:ascii="仿宋_GB2312" w:eastAsia="仿宋_GB2312"/>
                <w:b/>
                <w:bCs/>
                <w:sz w:val="28"/>
                <w:szCs w:val="28"/>
              </w:rPr>
            </w:pPr>
            <w:r>
              <w:rPr>
                <w:rFonts w:hint="eastAsia" w:ascii="仿宋_GB2312" w:eastAsia="仿宋_GB2312"/>
                <w:b/>
                <w:bCs/>
                <w:sz w:val="28"/>
                <w:szCs w:val="28"/>
              </w:rPr>
              <w:t>备注</w:t>
            </w:r>
          </w:p>
        </w:tc>
      </w:tr>
      <w:tr w14:paraId="6934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3643" w:type="dxa"/>
            <w:tcBorders>
              <w:left w:val="single" w:color="auto" w:sz="4" w:space="0"/>
              <w:right w:val="single" w:color="auto" w:sz="4" w:space="0"/>
            </w:tcBorders>
            <w:vAlign w:val="center"/>
          </w:tcPr>
          <w:p w14:paraId="0FC23D9D">
            <w:pPr>
              <w:spacing w:line="560" w:lineRule="exact"/>
              <w:jc w:val="center"/>
              <w:rPr>
                <w:rFonts w:ascii="仿宋_GB2312" w:eastAsia="仿宋_GB2312"/>
                <w:sz w:val="28"/>
                <w:szCs w:val="28"/>
              </w:rPr>
            </w:pPr>
          </w:p>
        </w:tc>
        <w:tc>
          <w:tcPr>
            <w:tcW w:w="2846" w:type="dxa"/>
            <w:tcBorders>
              <w:top w:val="single" w:color="auto" w:sz="4" w:space="0"/>
              <w:left w:val="single" w:color="auto" w:sz="4" w:space="0"/>
              <w:bottom w:val="single" w:color="auto" w:sz="4" w:space="0"/>
              <w:right w:val="single" w:color="auto" w:sz="4" w:space="0"/>
            </w:tcBorders>
            <w:vAlign w:val="center"/>
          </w:tcPr>
          <w:p w14:paraId="57476403">
            <w:pPr>
              <w:spacing w:line="560" w:lineRule="exact"/>
              <w:jc w:val="center"/>
              <w:rPr>
                <w:rFonts w:ascii="仿宋_GB2312" w:eastAsia="仿宋_GB2312"/>
                <w:sz w:val="28"/>
                <w:szCs w:val="28"/>
              </w:rPr>
            </w:pPr>
          </w:p>
        </w:tc>
        <w:tc>
          <w:tcPr>
            <w:tcW w:w="1442" w:type="dxa"/>
            <w:tcBorders>
              <w:top w:val="single" w:color="auto" w:sz="4" w:space="0"/>
              <w:left w:val="single" w:color="auto" w:sz="4" w:space="0"/>
              <w:bottom w:val="single" w:color="auto" w:sz="4" w:space="0"/>
              <w:right w:val="single" w:color="auto" w:sz="4" w:space="0"/>
            </w:tcBorders>
          </w:tcPr>
          <w:p w14:paraId="0A685EE3">
            <w:pPr>
              <w:spacing w:line="560" w:lineRule="exact"/>
              <w:jc w:val="center"/>
              <w:rPr>
                <w:rFonts w:ascii="仿宋_GB2312" w:eastAsia="仿宋_GB2312"/>
                <w:sz w:val="28"/>
                <w:szCs w:val="28"/>
              </w:rPr>
            </w:pPr>
          </w:p>
        </w:tc>
        <w:tc>
          <w:tcPr>
            <w:tcW w:w="985" w:type="dxa"/>
            <w:tcBorders>
              <w:top w:val="single" w:color="auto" w:sz="4" w:space="0"/>
              <w:left w:val="single" w:color="auto" w:sz="4" w:space="0"/>
              <w:bottom w:val="single" w:color="auto" w:sz="4" w:space="0"/>
              <w:right w:val="single" w:color="auto" w:sz="4" w:space="0"/>
            </w:tcBorders>
          </w:tcPr>
          <w:p w14:paraId="43D109F7">
            <w:pPr>
              <w:spacing w:line="560" w:lineRule="exact"/>
              <w:jc w:val="center"/>
              <w:rPr>
                <w:rFonts w:ascii="仿宋_GB2312" w:eastAsia="仿宋_GB2312"/>
                <w:sz w:val="28"/>
                <w:szCs w:val="28"/>
              </w:rPr>
            </w:pPr>
          </w:p>
        </w:tc>
      </w:tr>
    </w:tbl>
    <w:p w14:paraId="0C822F65">
      <w:pPr>
        <w:pStyle w:val="21"/>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供应商全称：</w:t>
      </w:r>
      <w:r>
        <w:rPr>
          <w:rFonts w:hint="eastAsia" w:ascii="仿宋_GB2312" w:hAnsi="Times New Roman" w:eastAsia="仿宋_GB2312"/>
          <w:sz w:val="28"/>
          <w:szCs w:val="28"/>
          <w:u w:val="single"/>
        </w:rPr>
        <w:tab/>
      </w:r>
    </w:p>
    <w:p w14:paraId="243E98F8">
      <w:pPr>
        <w:pStyle w:val="21"/>
        <w:tabs>
          <w:tab w:val="left" w:pos="5580"/>
        </w:tabs>
        <w:spacing w:before="120" w:line="360" w:lineRule="auto"/>
        <w:rPr>
          <w:rFonts w:ascii="仿宋_GB2312" w:hAnsi="Times New Roman" w:eastAsia="仿宋_GB2312"/>
          <w:sz w:val="28"/>
          <w:szCs w:val="28"/>
          <w:u w:val="single"/>
        </w:rPr>
      </w:pPr>
      <w:r>
        <w:rPr>
          <w:rFonts w:hint="eastAsia" w:ascii="仿宋_GB2312" w:hAnsi="Times New Roman" w:eastAsia="仿宋_GB2312"/>
          <w:sz w:val="28"/>
          <w:szCs w:val="28"/>
        </w:rPr>
        <w:t>法定代表人或授权代表（签字）:</w:t>
      </w:r>
      <w:r>
        <w:rPr>
          <w:rFonts w:hint="eastAsia" w:ascii="仿宋_GB2312" w:hAnsi="Times New Roman" w:eastAsia="仿宋_GB2312"/>
          <w:sz w:val="28"/>
          <w:szCs w:val="28"/>
          <w:u w:val="single"/>
        </w:rPr>
        <w:tab/>
      </w:r>
    </w:p>
    <w:p w14:paraId="48A6AB6F">
      <w:pPr>
        <w:pStyle w:val="21"/>
        <w:tabs>
          <w:tab w:val="left" w:pos="5580"/>
        </w:tabs>
        <w:spacing w:before="120" w:line="360" w:lineRule="auto"/>
        <w:rPr>
          <w:rFonts w:ascii="仿宋_GB2312" w:hAnsi="Times New Roman" w:eastAsia="仿宋_GB2312"/>
          <w:sz w:val="28"/>
          <w:szCs w:val="28"/>
        </w:rPr>
      </w:pPr>
      <w:r>
        <w:rPr>
          <w:rFonts w:hint="eastAsia" w:ascii="仿宋_GB2312" w:hAnsi="Times New Roman" w:eastAsia="仿宋_GB2312"/>
          <w:sz w:val="28"/>
          <w:szCs w:val="28"/>
        </w:rPr>
        <w:t>单位盖章：</w:t>
      </w:r>
    </w:p>
    <w:p w14:paraId="1B4A24C5">
      <w:pPr>
        <w:spacing w:line="560" w:lineRule="exact"/>
        <w:ind w:firstLine="560" w:firstLineChars="200"/>
        <w:rPr>
          <w:rFonts w:ascii="仿宋_GB2312" w:eastAsia="仿宋_GB2312"/>
          <w:sz w:val="28"/>
          <w:szCs w:val="28"/>
        </w:rPr>
      </w:pPr>
    </w:p>
    <w:p w14:paraId="304C7646">
      <w:pPr>
        <w:pStyle w:val="5"/>
        <w:tabs>
          <w:tab w:val="left" w:pos="5580"/>
        </w:tabs>
        <w:spacing w:before="120" w:line="440" w:lineRule="exact"/>
        <w:rPr>
          <w:rFonts w:ascii="仿宋_GB2312" w:hAnsi="仿宋_GB2312" w:eastAsia="仿宋_GB2312" w:cs="仿宋_GB2312"/>
          <w:sz w:val="24"/>
        </w:rPr>
      </w:pPr>
    </w:p>
    <w:p w14:paraId="6C076F56">
      <w:pPr>
        <w:pStyle w:val="5"/>
        <w:tabs>
          <w:tab w:val="left" w:pos="5580"/>
        </w:tabs>
        <w:spacing w:before="120" w:line="440" w:lineRule="exact"/>
        <w:rPr>
          <w:rFonts w:ascii="仿宋_GB2312" w:hAnsi="仿宋_GB2312" w:eastAsia="仿宋_GB2312" w:cs="仿宋_GB2312"/>
          <w:sz w:val="24"/>
        </w:rPr>
      </w:pPr>
    </w:p>
    <w:p w14:paraId="7B675FE1">
      <w:pPr>
        <w:pStyle w:val="5"/>
        <w:tabs>
          <w:tab w:val="left" w:pos="5580"/>
        </w:tabs>
        <w:spacing w:before="120" w:line="440" w:lineRule="exact"/>
        <w:rPr>
          <w:rFonts w:ascii="仿宋_GB2312" w:hAnsi="仿宋_GB2312" w:eastAsia="仿宋_GB2312" w:cs="仿宋_GB2312"/>
          <w:sz w:val="24"/>
        </w:rPr>
      </w:pPr>
    </w:p>
    <w:p w14:paraId="29F84B6E">
      <w:pPr>
        <w:pStyle w:val="5"/>
        <w:tabs>
          <w:tab w:val="left" w:pos="5580"/>
        </w:tabs>
        <w:spacing w:before="120" w:line="440" w:lineRule="exact"/>
        <w:rPr>
          <w:rFonts w:ascii="仿宋_GB2312" w:hAnsi="仿宋_GB2312" w:eastAsia="仿宋_GB2312" w:cs="仿宋_GB2312"/>
          <w:sz w:val="24"/>
        </w:rPr>
      </w:pPr>
    </w:p>
    <w:p w14:paraId="3A59BAA8">
      <w:pPr>
        <w:pStyle w:val="5"/>
        <w:tabs>
          <w:tab w:val="left" w:pos="5580"/>
        </w:tabs>
        <w:spacing w:before="120" w:line="440" w:lineRule="exact"/>
        <w:rPr>
          <w:rFonts w:ascii="仿宋_GB2312" w:hAnsi="仿宋_GB2312" w:eastAsia="仿宋_GB2312" w:cs="仿宋_GB2312"/>
          <w:sz w:val="24"/>
        </w:rPr>
      </w:pPr>
    </w:p>
    <w:p w14:paraId="4790BBD4">
      <w:pPr>
        <w:pStyle w:val="5"/>
        <w:tabs>
          <w:tab w:val="left" w:pos="5580"/>
        </w:tabs>
        <w:spacing w:before="120" w:line="440" w:lineRule="exact"/>
        <w:rPr>
          <w:rFonts w:ascii="仿宋_GB2312" w:hAnsi="仿宋_GB2312" w:eastAsia="仿宋_GB2312" w:cs="仿宋_GB2312"/>
          <w:sz w:val="24"/>
        </w:rPr>
      </w:pPr>
    </w:p>
    <w:p w14:paraId="5F9FE2E7">
      <w:pPr>
        <w:pStyle w:val="5"/>
        <w:tabs>
          <w:tab w:val="left" w:pos="5580"/>
        </w:tabs>
        <w:spacing w:before="120" w:line="440" w:lineRule="exact"/>
        <w:rPr>
          <w:rFonts w:ascii="仿宋_GB2312" w:hAnsi="仿宋_GB2312" w:eastAsia="仿宋_GB2312" w:cs="仿宋_GB2312"/>
          <w:sz w:val="24"/>
        </w:rPr>
      </w:pPr>
    </w:p>
    <w:p w14:paraId="48F71652">
      <w:pPr>
        <w:pStyle w:val="5"/>
        <w:tabs>
          <w:tab w:val="left" w:pos="5580"/>
        </w:tabs>
        <w:spacing w:before="120" w:line="440" w:lineRule="exact"/>
        <w:rPr>
          <w:rFonts w:ascii="仿宋_GB2312" w:hAnsi="仿宋_GB2312" w:eastAsia="仿宋_GB2312" w:cs="仿宋_GB2312"/>
          <w:sz w:val="24"/>
        </w:rPr>
      </w:pPr>
    </w:p>
    <w:p w14:paraId="0E510D83">
      <w:pPr>
        <w:rPr>
          <w:rFonts w:ascii="仿宋_GB2312" w:hAnsi="仿宋_GB2312" w:eastAsia="仿宋_GB2312" w:cs="仿宋_GB2312"/>
          <w:sz w:val="24"/>
        </w:rPr>
      </w:pPr>
      <w:r>
        <w:rPr>
          <w:rFonts w:ascii="仿宋_GB2312" w:hAnsi="仿宋_GB2312" w:eastAsia="仿宋_GB2312" w:cs="仿宋_GB2312"/>
          <w:sz w:val="24"/>
        </w:rPr>
        <w:br w:type="page"/>
      </w:r>
    </w:p>
    <w:p w14:paraId="3A66C6A7">
      <w:pPr>
        <w:pStyle w:val="5"/>
        <w:spacing w:line="560" w:lineRule="exact"/>
        <w:ind w:left="42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（三）商务及</w:t>
      </w:r>
      <w:bookmarkStart w:id="34" w:name="_Hlt520355938"/>
      <w:bookmarkEnd w:id="34"/>
      <w:bookmarkStart w:id="35" w:name="_Hlt520356243"/>
      <w:bookmarkEnd w:id="35"/>
      <w:r>
        <w:rPr>
          <w:rFonts w:hint="eastAsia" w:ascii="仿宋_GB2312" w:hAnsi="仿宋_GB2312" w:eastAsia="仿宋_GB2312" w:cs="仿宋_GB2312"/>
          <w:b/>
          <w:bCs/>
          <w:sz w:val="28"/>
          <w:szCs w:val="28"/>
        </w:rPr>
        <w:t>技术部分</w:t>
      </w:r>
    </w:p>
    <w:bookmarkEnd w:id="23"/>
    <w:bookmarkEnd w:id="24"/>
    <w:bookmarkEnd w:id="25"/>
    <w:bookmarkEnd w:id="26"/>
    <w:bookmarkEnd w:id="27"/>
    <w:bookmarkEnd w:id="28"/>
    <w:bookmarkEnd w:id="29"/>
    <w:bookmarkEnd w:id="30"/>
    <w:bookmarkEnd w:id="31"/>
    <w:bookmarkEnd w:id="32"/>
    <w:bookmarkEnd w:id="33"/>
    <w:p w14:paraId="6AEE5112">
      <w:pPr>
        <w:pStyle w:val="4"/>
        <w:spacing w:before="0"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包括但不限于单位简介、业绩证明材料、服务方案等有利于评审的资料（参照比选文件技术要求自行编制）</w:t>
      </w:r>
    </w:p>
    <w:p w14:paraId="12240A8A">
      <w:pPr>
        <w:spacing w:line="560" w:lineRule="exact"/>
        <w:rPr>
          <w:rFonts w:ascii="仿宋_GB2312" w:hAnsi="仿宋_GB2312" w:eastAsia="仿宋_GB2312" w:cs="仿宋_GB2312"/>
          <w:sz w:val="24"/>
          <w:szCs w:val="24"/>
        </w:rPr>
      </w:pPr>
    </w:p>
    <w:sectPr>
      <w:pgSz w:w="11906" w:h="16838"/>
      <w:pgMar w:top="1247" w:right="1587" w:bottom="1247" w:left="1587" w:header="850" w:footer="850"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3386">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52400"/>
              <wp:effectExtent l="0" t="0" r="635"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14:paraId="24480599">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59264;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saa89AAAAACAQAADwAAAAAAAAABACAAAAAiAAAAZHJzL2Rv&#10;d25yZXYueG1sUEsBAhQAFAAAAAgAh07iQDteXJwJAgAAAQQAAA4AAAAAAAAAAQAgAAAAHwEAAGRy&#10;cy9lMm9Eb2MueG1sUEsFBgAAAAAGAAYAWQEAAJoFAAAAAA==&#10;">
              <v:fill on="f" focussize="0,0"/>
              <v:stroke on="f"/>
              <v:imagedata o:title=""/>
              <o:lock v:ext="edit" aspectratio="f"/>
              <v:textbox inset="0mm,0mm,0mm,0mm" style="mso-fit-shape-to-text:t;">
                <w:txbxContent>
                  <w:p w14:paraId="2448059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346488"/>
      <w:docPartObj>
        <w:docPartGallery w:val="autotext"/>
      </w:docPartObj>
    </w:sdtPr>
    <w:sdtContent>
      <w:p w14:paraId="4A37A148">
        <w:pPr>
          <w:pStyle w:val="7"/>
          <w:jc w:val="center"/>
        </w:pPr>
        <w:r>
          <w:fldChar w:fldCharType="begin"/>
        </w:r>
        <w:r>
          <w:instrText xml:space="preserve">PAGE   \* MERGEFORMAT</w:instrText>
        </w:r>
        <w:r>
          <w:fldChar w:fldCharType="separate"/>
        </w:r>
        <w:r>
          <w:rPr>
            <w:lang w:val="zh-CN"/>
          </w:rPr>
          <w:t>9</w:t>
        </w:r>
        <w:r>
          <w:fldChar w:fldCharType="end"/>
        </w:r>
      </w:p>
    </w:sdtContent>
  </w:sdt>
  <w:p w14:paraId="11E8C42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4F56A">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CFDB0"/>
    <w:multiLevelType w:val="singleLevel"/>
    <w:tmpl w:val="54FCFDB0"/>
    <w:lvl w:ilvl="0" w:tentative="0">
      <w:start w:val="4"/>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F4"/>
    <w:rsid w:val="00007A2E"/>
    <w:rsid w:val="0003523C"/>
    <w:rsid w:val="00043105"/>
    <w:rsid w:val="000B6010"/>
    <w:rsid w:val="000D4209"/>
    <w:rsid w:val="001013F4"/>
    <w:rsid w:val="0015050D"/>
    <w:rsid w:val="001C45B7"/>
    <w:rsid w:val="001D1F56"/>
    <w:rsid w:val="001F77AA"/>
    <w:rsid w:val="00273AC8"/>
    <w:rsid w:val="00284344"/>
    <w:rsid w:val="00386A7A"/>
    <w:rsid w:val="003B6858"/>
    <w:rsid w:val="004142B5"/>
    <w:rsid w:val="004A5C7F"/>
    <w:rsid w:val="004D6D92"/>
    <w:rsid w:val="005032CA"/>
    <w:rsid w:val="005B504F"/>
    <w:rsid w:val="006954B1"/>
    <w:rsid w:val="006A6BE2"/>
    <w:rsid w:val="006C4B99"/>
    <w:rsid w:val="006F33C6"/>
    <w:rsid w:val="007117B3"/>
    <w:rsid w:val="00787130"/>
    <w:rsid w:val="007D51C2"/>
    <w:rsid w:val="00825240"/>
    <w:rsid w:val="008B54C7"/>
    <w:rsid w:val="008D0580"/>
    <w:rsid w:val="009E268F"/>
    <w:rsid w:val="009E3035"/>
    <w:rsid w:val="00A06E1A"/>
    <w:rsid w:val="00A50B59"/>
    <w:rsid w:val="00A64CF9"/>
    <w:rsid w:val="00A64D14"/>
    <w:rsid w:val="00AC12EB"/>
    <w:rsid w:val="00AF57C4"/>
    <w:rsid w:val="00B14E23"/>
    <w:rsid w:val="00B4130B"/>
    <w:rsid w:val="00B4666E"/>
    <w:rsid w:val="00B802E7"/>
    <w:rsid w:val="00C13DD3"/>
    <w:rsid w:val="00C63344"/>
    <w:rsid w:val="00C64EF4"/>
    <w:rsid w:val="00C81ACF"/>
    <w:rsid w:val="00C824FE"/>
    <w:rsid w:val="00CC52A8"/>
    <w:rsid w:val="00D20A14"/>
    <w:rsid w:val="00DC4020"/>
    <w:rsid w:val="00DD036D"/>
    <w:rsid w:val="00EE1039"/>
    <w:rsid w:val="00F0703A"/>
    <w:rsid w:val="00F25BBA"/>
    <w:rsid w:val="00F73505"/>
    <w:rsid w:val="00F80336"/>
    <w:rsid w:val="00F94E5C"/>
    <w:rsid w:val="14036068"/>
    <w:rsid w:val="1A55751C"/>
    <w:rsid w:val="1D8A16FF"/>
    <w:rsid w:val="2C0047E9"/>
    <w:rsid w:val="469E4052"/>
    <w:rsid w:val="5D0F2EDC"/>
    <w:rsid w:val="64DD0300"/>
    <w:rsid w:val="6BBB3CFE"/>
    <w:rsid w:val="6C4E2D9C"/>
    <w:rsid w:val="6F7D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1"/>
    <w:basedOn w:val="1"/>
    <w:next w:val="1"/>
    <w:link w:val="17"/>
    <w:qFormat/>
    <w:uiPriority w:val="0"/>
    <w:pPr>
      <w:keepNext/>
      <w:keepLines/>
      <w:autoSpaceDE w:val="0"/>
      <w:autoSpaceDN w:val="0"/>
      <w:adjustRightInd w:val="0"/>
      <w:spacing w:before="240" w:after="120" w:line="300" w:lineRule="auto"/>
      <w:jc w:val="center"/>
      <w:outlineLvl w:val="0"/>
    </w:pPr>
    <w:rPr>
      <w:rFonts w:ascii="宋体" w:hAnsi="宋体"/>
      <w:b/>
      <w:kern w:val="44"/>
      <w:sz w:val="24"/>
    </w:rPr>
  </w:style>
  <w:style w:type="paragraph" w:styleId="4">
    <w:name w:val="heading 2"/>
    <w:basedOn w:val="1"/>
    <w:next w:val="1"/>
    <w:link w:val="15"/>
    <w:qFormat/>
    <w:uiPriority w:val="0"/>
    <w:pPr>
      <w:keepNext/>
      <w:keepLines/>
      <w:autoSpaceDE w:val="0"/>
      <w:autoSpaceDN w:val="0"/>
      <w:adjustRightInd w:val="0"/>
      <w:spacing w:before="120" w:line="300" w:lineRule="auto"/>
      <w:jc w:val="center"/>
      <w:outlineLvl w:val="1"/>
    </w:pPr>
    <w:rPr>
      <w:rFonts w:ascii="Arial" w:hAnsi="Arial" w:eastAsia="黑体"/>
      <w:b/>
      <w:kern w:val="0"/>
      <w:sz w:val="3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sz w:val="24"/>
    </w:rPr>
  </w:style>
  <w:style w:type="paragraph" w:styleId="5">
    <w:name w:val="Plain Text"/>
    <w:basedOn w:val="1"/>
    <w:link w:val="18"/>
    <w:qFormat/>
    <w:uiPriority w:val="0"/>
    <w:rPr>
      <w:rFonts w:ascii="宋体" w:hAnsi="Courier New"/>
    </w:rPr>
  </w:style>
  <w:style w:type="paragraph" w:styleId="6">
    <w:name w:val="Balloon Text"/>
    <w:basedOn w:val="1"/>
    <w:link w:val="23"/>
    <w:semiHidden/>
    <w:unhideWhenUsed/>
    <w:qFormat/>
    <w:uiPriority w:val="99"/>
    <w:rPr>
      <w:sz w:val="18"/>
      <w:szCs w:val="18"/>
    </w:rPr>
  </w:style>
  <w:style w:type="paragraph" w:styleId="7">
    <w:name w:val="footer"/>
    <w:basedOn w:val="1"/>
    <w:link w:val="19"/>
    <w:qFormat/>
    <w:uiPriority w:val="99"/>
    <w:pPr>
      <w:tabs>
        <w:tab w:val="center" w:pos="4153"/>
        <w:tab w:val="right" w:pos="8306"/>
      </w:tabs>
      <w:adjustRightInd w:val="0"/>
      <w:spacing w:line="240" w:lineRule="atLeast"/>
      <w:jc w:val="left"/>
      <w:textAlignment w:val="baseline"/>
    </w:pPr>
    <w:rPr>
      <w:kern w:val="0"/>
      <w:sz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0"/>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标题 1 Char"/>
    <w:basedOn w:val="12"/>
    <w:qFormat/>
    <w:uiPriority w:val="9"/>
    <w:rPr>
      <w:rFonts w:ascii="Calibri" w:hAnsi="Calibri" w:eastAsia="宋体" w:cs="Times New Roman"/>
      <w:b/>
      <w:bCs/>
      <w:kern w:val="44"/>
      <w:sz w:val="44"/>
      <w:szCs w:val="44"/>
    </w:rPr>
  </w:style>
  <w:style w:type="character" w:customStyle="1" w:styleId="15">
    <w:name w:val="标题 2 Char"/>
    <w:basedOn w:val="12"/>
    <w:link w:val="4"/>
    <w:qFormat/>
    <w:uiPriority w:val="0"/>
    <w:rPr>
      <w:rFonts w:ascii="Arial" w:hAnsi="Arial" w:eastAsia="黑体" w:cs="Times New Roman"/>
      <w:b/>
      <w:kern w:val="0"/>
      <w:sz w:val="30"/>
      <w:szCs w:val="20"/>
    </w:rPr>
  </w:style>
  <w:style w:type="character" w:customStyle="1" w:styleId="16">
    <w:name w:val="正文文本 Char"/>
    <w:basedOn w:val="12"/>
    <w:link w:val="2"/>
    <w:qFormat/>
    <w:uiPriority w:val="0"/>
    <w:rPr>
      <w:rFonts w:ascii="Calibri" w:hAnsi="Calibri" w:eastAsia="宋体" w:cs="Times New Roman"/>
      <w:sz w:val="24"/>
      <w:szCs w:val="20"/>
    </w:rPr>
  </w:style>
  <w:style w:type="character" w:customStyle="1" w:styleId="17">
    <w:name w:val="标题 1 Char1"/>
    <w:link w:val="3"/>
    <w:qFormat/>
    <w:uiPriority w:val="0"/>
    <w:rPr>
      <w:rFonts w:ascii="宋体" w:hAnsi="宋体" w:eastAsia="宋体" w:cs="Times New Roman"/>
      <w:b/>
      <w:kern w:val="44"/>
      <w:sz w:val="24"/>
      <w:szCs w:val="20"/>
    </w:rPr>
  </w:style>
  <w:style w:type="character" w:customStyle="1" w:styleId="18">
    <w:name w:val="纯文本 Char"/>
    <w:basedOn w:val="12"/>
    <w:link w:val="5"/>
    <w:qFormat/>
    <w:uiPriority w:val="0"/>
    <w:rPr>
      <w:rFonts w:ascii="宋体" w:hAnsi="Courier New" w:eastAsia="宋体" w:cs="Times New Roman"/>
      <w:szCs w:val="20"/>
    </w:rPr>
  </w:style>
  <w:style w:type="character" w:customStyle="1" w:styleId="19">
    <w:name w:val="页脚 Char"/>
    <w:basedOn w:val="12"/>
    <w:link w:val="7"/>
    <w:qFormat/>
    <w:uiPriority w:val="99"/>
    <w:rPr>
      <w:rFonts w:ascii="Calibri" w:hAnsi="Calibri" w:eastAsia="宋体" w:cs="Times New Roman"/>
      <w:kern w:val="0"/>
      <w:sz w:val="18"/>
      <w:szCs w:val="20"/>
    </w:rPr>
  </w:style>
  <w:style w:type="character" w:customStyle="1" w:styleId="20">
    <w:name w:val="页眉 Char"/>
    <w:basedOn w:val="12"/>
    <w:link w:val="8"/>
    <w:qFormat/>
    <w:uiPriority w:val="0"/>
    <w:rPr>
      <w:rFonts w:ascii="Calibri" w:hAnsi="Calibri" w:eastAsia="宋体" w:cs="Times New Roman"/>
      <w:sz w:val="18"/>
      <w:szCs w:val="20"/>
    </w:rPr>
  </w:style>
  <w:style w:type="paragraph" w:customStyle="1" w:styleId="21">
    <w:name w:val="纯文本1"/>
    <w:basedOn w:val="1"/>
    <w:qFormat/>
    <w:uiPriority w:val="0"/>
    <w:rPr>
      <w:rFonts w:ascii="宋体" w:hAnsi="Courier New" w:cs="Courier New"/>
      <w:szCs w:val="21"/>
    </w:rPr>
  </w:style>
  <w:style w:type="paragraph" w:customStyle="1" w:styleId="22">
    <w:name w:val="列表段落1"/>
    <w:basedOn w:val="1"/>
    <w:qFormat/>
    <w:uiPriority w:val="0"/>
    <w:pPr>
      <w:ind w:firstLine="420" w:firstLineChars="200"/>
    </w:pPr>
    <w:rPr>
      <w:szCs w:val="22"/>
    </w:rPr>
  </w:style>
  <w:style w:type="character" w:customStyle="1" w:styleId="23">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3879</Words>
  <Characters>4200</Characters>
  <Lines>40</Lines>
  <Paragraphs>11</Paragraphs>
  <TotalTime>31</TotalTime>
  <ScaleCrop>false</ScaleCrop>
  <LinksUpToDate>false</LinksUpToDate>
  <CharactersWithSpaces>4351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2023-02-09T09:03:00Z</dcterms:created>
  <dc:creator>孙建明</dc:creator>
  <cp:lastModifiedBy>涛</cp:lastModifiedBy>
  <cp:lastPrinted>2025-02-17T02:13:00Z</cp:lastPrinted>
  <dcterms:modified xsi:type="dcterms:W3CDTF">2025-02-18T07:56:41Z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eyJoZGlkIjoiNzBmZjMyMjUwMGRiYjAxNzNkZGVlYjU0MzViMGRhNzMiLCJ1c2VySWQiOiIzMjY2OTg3MzMifQ==</vt:lpwstr>
  </property>
  <property fmtid="{D5CDD505-2E9C-101B-9397-08002B2CF9AE}" pid="4" name="ICV">
    <vt:lpwstr>F3DE5DF0B30A415B85EA139E6FF53A4C_13</vt:lpwstr>
  </property>
</Properties>
</file>