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bidi="ar"/>
        </w:rPr>
        <w:t>德胜街道</w:t>
      </w:r>
      <w:r>
        <w:rPr>
          <w:rFonts w:hint="eastAsia" w:ascii="方正小标宋简体" w:hAnsi="方正小标宋简体" w:eastAsia="方正小标宋简体" w:cs="方正小标宋简体"/>
          <w:sz w:val="44"/>
          <w:szCs w:val="44"/>
          <w:lang w:bidi="ar"/>
        </w:rPr>
        <w:t>202</w:t>
      </w:r>
      <w:r>
        <w:rPr>
          <w:rFonts w:hint="eastAsia" w:ascii="方正小标宋简体" w:hAnsi="方正小标宋简体" w:eastAsia="方正小标宋简体" w:cs="方正小标宋简体"/>
          <w:sz w:val="44"/>
          <w:szCs w:val="44"/>
          <w:lang w:val="en-US" w:eastAsia="zh-CN" w:bidi="ar"/>
        </w:rPr>
        <w:t>4</w:t>
      </w:r>
      <w:r>
        <w:rPr>
          <w:rFonts w:hint="eastAsia" w:ascii="方正小标宋简体" w:hAnsi="方正小标宋简体" w:eastAsia="方正小标宋简体" w:cs="方正小标宋简体"/>
          <w:sz w:val="44"/>
          <w:szCs w:val="44"/>
          <w:lang w:bidi="ar"/>
        </w:rPr>
        <w:t>年政府信息公开</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工作年度报告</w:t>
      </w:r>
    </w:p>
    <w:p>
      <w:pPr>
        <w:spacing w:line="560" w:lineRule="exact"/>
        <w:jc w:val="center"/>
        <w:rPr>
          <w:sz w:val="44"/>
          <w:szCs w:val="44"/>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widowControl/>
        <w:numPr>
          <w:ilvl w:val="0"/>
          <w:numId w:val="1"/>
        </w:numPr>
        <w:spacing w:line="560" w:lineRule="exact"/>
        <w:ind w:firstLine="672" w:firstLineChars="200"/>
        <w:jc w:val="left"/>
        <w:rPr>
          <w:rFonts w:hint="eastAsia" w:ascii="黑体" w:hAnsi="宋体" w:eastAsia="黑体" w:cs="宋体"/>
          <w:spacing w:val="8"/>
          <w:kern w:val="0"/>
          <w:sz w:val="32"/>
          <w:szCs w:val="32"/>
          <w:lang w:bidi="ar"/>
        </w:rPr>
      </w:pPr>
      <w:r>
        <w:rPr>
          <w:rFonts w:hint="eastAsia" w:ascii="黑体" w:hAnsi="宋体" w:eastAsia="黑体" w:cs="宋体"/>
          <w:spacing w:val="8"/>
          <w:kern w:val="0"/>
          <w:sz w:val="32"/>
          <w:szCs w:val="32"/>
          <w:lang w:bidi="ar"/>
        </w:rPr>
        <w:t>总体情况</w:t>
      </w:r>
    </w:p>
    <w:p>
      <w:pPr>
        <w:pStyle w:val="2"/>
        <w:keepNext w:val="0"/>
        <w:keepLines w:val="0"/>
        <w:widowControl w:val="0"/>
        <w:numPr>
          <w:ilvl w:val="0"/>
          <w:numId w:val="0"/>
        </w:numPr>
        <w:suppressLineNumbers w:val="0"/>
        <w:spacing w:before="0" w:beforeAutospacing="0" w:after="0" w:afterAutospacing="0"/>
        <w:ind w:right="0" w:rightChars="0"/>
        <w:jc w:val="both"/>
        <w:rPr>
          <w:rFonts w:hint="eastAsia" w:ascii="仿宋_GB2312" w:hAnsi="宋体" w:eastAsia="仿宋_GB2312" w:cs="宋体"/>
          <w:spacing w:val="8"/>
          <w:kern w:val="0"/>
          <w:sz w:val="32"/>
          <w:szCs w:val="32"/>
          <w:lang w:val="en-US" w:eastAsia="zh-CN" w:bidi="ar"/>
        </w:rPr>
      </w:pPr>
      <w:r>
        <w:rPr>
          <w:rFonts w:hint="eastAsia"/>
          <w:lang w:val="en-US" w:eastAsia="zh-CN"/>
        </w:rPr>
        <w:t xml:space="preserve">    </w:t>
      </w:r>
      <w:r>
        <w:rPr>
          <w:rFonts w:hint="eastAsia" w:ascii="仿宋_GB2312" w:hAnsi="宋体" w:eastAsia="仿宋_GB2312" w:cs="宋体"/>
          <w:spacing w:val="8"/>
          <w:kern w:val="0"/>
          <w:sz w:val="32"/>
          <w:szCs w:val="32"/>
          <w:lang w:val="en-US" w:eastAsia="zh-CN" w:bidi="ar"/>
        </w:rPr>
        <w:t xml:space="preserve"> 2024年，德胜街道坚持以习近平新时代中国特色社会主义思想为指导，全面贯彻党的二十大精神，深入贯彻习近平总书记对北京工作所作重要讲话和系列重要指示批示精神，按照党中央、国务院关于政务公开的决策部署和市区工作安排，进一步扩大政府信息主动公开范围，完善政府信息公开相关制度，优化拓展政府信息公开渠道，扎实做好政府信息公开各项工作。</w:t>
      </w:r>
    </w:p>
    <w:p>
      <w:pPr>
        <w:pStyle w:val="3"/>
        <w:keepNext w:val="0"/>
        <w:keepLines w:val="0"/>
        <w:widowControl/>
        <w:suppressLineNumbers w:val="0"/>
        <w:spacing w:before="60" w:beforeAutospacing="0" w:after="60" w:afterAutospacing="0" w:line="444" w:lineRule="atLeast"/>
        <w:ind w:left="0" w:right="0" w:firstLine="540"/>
        <w:jc w:val="left"/>
        <w:rPr>
          <w:rFonts w:hint="default"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xml:space="preserve"> （一）持续深化主动公开。按照《西城区2024年政务公开工作要点》要求，及时更新街道机构职责、机构设置、机构信息、综合执法公告等重点领域信息。在信息公开专栏主动公开政府信息216条。</w:t>
      </w:r>
    </w:p>
    <w:p>
      <w:pPr>
        <w:pStyle w:val="2"/>
        <w:keepNext w:val="0"/>
        <w:keepLines w:val="0"/>
        <w:widowControl w:val="0"/>
        <w:numPr>
          <w:ilvl w:val="0"/>
          <w:numId w:val="0"/>
        </w:numPr>
        <w:suppressLineNumbers w:val="0"/>
        <w:spacing w:before="0" w:beforeAutospacing="0" w:after="0" w:afterAutospacing="0"/>
        <w:ind w:right="0" w:rightChars="0" w:firstLine="672" w:firstLineChars="200"/>
        <w:jc w:val="both"/>
        <w:rPr>
          <w:rFonts w:hint="default"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2024年收到人大代表建议2件，办理情况由区政府统一公开。</w:t>
      </w:r>
    </w:p>
    <w:p>
      <w:pPr>
        <w:pStyle w:val="3"/>
        <w:keepNext w:val="0"/>
        <w:keepLines w:val="0"/>
        <w:widowControl/>
        <w:suppressLineNumbers w:val="0"/>
        <w:spacing w:before="60" w:beforeAutospacing="0" w:after="60" w:afterAutospacing="0" w:line="444" w:lineRule="atLeast"/>
        <w:ind w:left="0" w:right="0" w:firstLine="540"/>
        <w:jc w:val="left"/>
        <w:rPr>
          <w:rFonts w:hint="default"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（二）依申请公开办理情况</w:t>
      </w:r>
    </w:p>
    <w:p>
      <w:pPr>
        <w:pStyle w:val="3"/>
        <w:keepNext w:val="0"/>
        <w:keepLines w:val="0"/>
        <w:widowControl/>
        <w:suppressLineNumbers w:val="0"/>
        <w:spacing w:before="60" w:beforeAutospacing="0" w:after="60" w:afterAutospacing="0" w:line="444" w:lineRule="atLeast"/>
        <w:ind w:right="0" w:firstLine="672" w:firstLineChars="200"/>
        <w:jc w:val="left"/>
        <w:rPr>
          <w:rFonts w:hint="default"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2023年度本单位收到依申请公开诉求2件，均完成办理，未收取依申请公开政府信息费用。</w:t>
      </w:r>
    </w:p>
    <w:p>
      <w:pPr>
        <w:numPr>
          <w:ilvl w:val="0"/>
          <w:numId w:val="2"/>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主动公开政府信息情况</w:t>
      </w:r>
    </w:p>
    <w:tbl>
      <w:tblPr>
        <w:tblStyle w:val="4"/>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08"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　　</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 　</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default" w:cs="Calibri"/>
                <w:kern w:val="0"/>
                <w:szCs w:val="21"/>
                <w:lang w:bidi="ar"/>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　　</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 　</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default" w:cs="Calibri"/>
                <w:kern w:val="0"/>
                <w:szCs w:val="21"/>
                <w:lang w:bidi="ar"/>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default" w:cs="Calibri"/>
                <w:kern w:val="0"/>
                <w:szCs w:val="21"/>
                <w:lang w:bidi="ar"/>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eastAsia="宋体" w:cs="Times New Roman"/>
                <w:lang w:val="en-US" w:eastAsia="zh-CN"/>
              </w:rPr>
            </w:pPr>
            <w:r>
              <w:rPr>
                <w:rFonts w:hint="eastAsia" w:ascii="宋体" w:hAnsi="宋体" w:cs="宋体"/>
                <w:color w:val="000000"/>
                <w:kern w:val="0"/>
                <w:sz w:val="20"/>
                <w:szCs w:val="20"/>
                <w:lang w:val="en-US" w:eastAsia="zh-CN" w:bidi="ar"/>
              </w:rPr>
              <w:t>283</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宋体" w:cs="宋体"/>
                <w:sz w:val="24"/>
                <w:lang w:val="en-US" w:eastAsia="zh-CN"/>
              </w:rPr>
            </w:pPr>
            <w:r>
              <w:rPr>
                <w:rFonts w:hint="eastAsia" w:ascii="宋体" w:hAnsi="Times New Roman" w:cs="宋体"/>
                <w:sz w:val="24"/>
                <w:lang w:val="en-US" w:eastAsia="zh-CN"/>
              </w:rPr>
              <w:t>0</w:t>
            </w:r>
          </w:p>
        </w:tc>
      </w:tr>
    </w:tbl>
    <w:p>
      <w:pPr>
        <w:pStyle w:val="2"/>
        <w:widowControl/>
      </w:pPr>
    </w:p>
    <w:p>
      <w:pPr>
        <w:pStyle w:val="2"/>
        <w:widowControl/>
      </w:pPr>
    </w:p>
    <w:p>
      <w:pPr>
        <w:numPr>
          <w:ilvl w:val="0"/>
          <w:numId w:val="2"/>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法人或其他组织</w:t>
            </w:r>
          </w:p>
        </w:tc>
        <w:tc>
          <w:tcPr>
            <w:tcW w:w="689"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商业</w:t>
            </w:r>
          </w:p>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科研</w:t>
            </w:r>
          </w:p>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其他</w:t>
            </w:r>
          </w:p>
        </w:tc>
        <w:tc>
          <w:tcPr>
            <w:tcW w:w="689"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default" w:cs="Calibri"/>
                <w:kern w:val="0"/>
                <w:sz w:val="20"/>
                <w:szCs w:val="20"/>
                <w:lang w:bidi="ar"/>
              </w:rPr>
              <w:t> </w:t>
            </w:r>
            <w:r>
              <w:rPr>
                <w:rFonts w:hint="eastAsia" w:cs="Calibri"/>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default" w:cs="Calibri"/>
                <w:kern w:val="0"/>
                <w:sz w:val="20"/>
                <w:szCs w:val="20"/>
                <w:lang w:bidi="ar"/>
              </w:rPr>
              <w:t> </w:t>
            </w:r>
            <w:r>
              <w:rPr>
                <w:rFonts w:hint="eastAsia" w:cs="Calibri"/>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9"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rPr>
                <w:rFonts w:hint="default" w:cs="Times New Roman"/>
              </w:rPr>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9"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rPr>
                <w:rFonts w:hint="default" w:cs="Times New Roman"/>
              </w:rPr>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rPr>
                <w:rFonts w:hint="default" w:cs="Times New Roman"/>
              </w:rPr>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cs="Times New Roman"/>
              </w:rPr>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default"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宋体" w:cs="Times New Roman"/>
                <w:lang w:val="en-US" w:eastAsia="zh-CN"/>
              </w:rPr>
            </w:pPr>
            <w:r>
              <w:rPr>
                <w:rFonts w:hint="eastAsia" w:cs="Calibri"/>
                <w:kern w:val="0"/>
                <w:sz w:val="20"/>
                <w:szCs w:val="20"/>
                <w:lang w:val="en-US" w:eastAsia="zh-CN" w:bidi="ar"/>
              </w:rPr>
              <w:t>2</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cs="Times New Roman"/>
              </w:rPr>
            </w:pPr>
            <w:r>
              <w:rPr>
                <w:rFonts w:hint="eastAsia" w:cs="Calibri"/>
                <w:kern w:val="0"/>
                <w:sz w:val="20"/>
                <w:szCs w:val="20"/>
                <w:lang w:val="en-US" w:eastAsia="zh-CN" w:bidi="ar"/>
              </w:rPr>
              <w:t>2</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四、结转下年度继续办理</w:t>
            </w:r>
          </w:p>
        </w:tc>
        <w:tc>
          <w:tcPr>
            <w:tcW w:w="0" w:type="auto"/>
            <w:tcBorders>
              <w:top w:val="inset" w:color="auto" w:sz="6" w:space="0"/>
              <w:left w:val="single" w:color="auto" w:sz="0" w:space="0"/>
              <w:bottom w:val="inset" w:color="auto" w:sz="6" w:space="0"/>
              <w:right w:val="inset"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Times New Roman" w:eastAsia="宋体" w:cs="宋体"/>
                <w:sz w:val="24"/>
                <w:lang w:val="en-US" w:eastAsia="zh-CN"/>
              </w:rPr>
            </w:pPr>
            <w:r>
              <w:rPr>
                <w:rFonts w:hint="eastAsia" w:ascii="宋体" w:hAnsi="Times New Roman"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Times New Roman" w:cs="宋体"/>
                <w:sz w:val="24"/>
              </w:rPr>
            </w:pP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Times New Roman" w:cs="宋体"/>
                <w:sz w:val="24"/>
              </w:rPr>
            </w:pPr>
          </w:p>
        </w:tc>
        <w:tc>
          <w:tcPr>
            <w:tcW w:w="0" w:type="auto"/>
            <w:tcBorders>
              <w:top w:val="inset" w:color="auto" w:sz="6" w:space="0"/>
              <w:left w:val="single" w:color="auto" w:sz="0" w:space="0"/>
              <w:bottom w:val="inset" w:color="auto" w:sz="6" w:space="0"/>
              <w:right w:val="inset"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Times New Roman" w:cs="宋体"/>
                <w:sz w:val="24"/>
              </w:rPr>
            </w:pPr>
          </w:p>
        </w:tc>
        <w:tc>
          <w:tcPr>
            <w:tcW w:w="0" w:type="auto"/>
            <w:tcBorders>
              <w:top w:val="inset" w:color="auto" w:sz="6" w:space="0"/>
              <w:left w:val="single" w:color="auto" w:sz="0" w:space="0"/>
              <w:bottom w:val="inset" w:color="auto" w:sz="6" w:space="0"/>
              <w:right w:val="inset"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Times New Roman" w:cs="宋体"/>
                <w:sz w:val="24"/>
              </w:rPr>
            </w:pPr>
          </w:p>
        </w:tc>
        <w:tc>
          <w:tcPr>
            <w:tcW w:w="0" w:type="auto"/>
            <w:tcBorders>
              <w:top w:val="inset" w:color="auto" w:sz="6" w:space="0"/>
              <w:left w:val="single" w:color="auto" w:sz="0" w:space="0"/>
              <w:bottom w:val="inset" w:color="auto" w:sz="6" w:space="0"/>
              <w:right w:val="inset"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Times New Roman" w:cs="宋体"/>
                <w:sz w:val="24"/>
              </w:rPr>
            </w:pPr>
          </w:p>
        </w:tc>
        <w:tc>
          <w:tcPr>
            <w:tcW w:w="0" w:type="auto"/>
            <w:tcBorders>
              <w:top w:val="inset" w:color="auto" w:sz="6" w:space="0"/>
              <w:left w:val="single" w:color="auto" w:sz="0" w:space="0"/>
              <w:bottom w:val="inset" w:color="auto" w:sz="6" w:space="0"/>
              <w:right w:val="inset"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Times New Roman" w:eastAsia="宋体" w:cs="宋体"/>
                <w:sz w:val="24"/>
                <w:lang w:val="en-US" w:eastAsia="zh-CN"/>
              </w:rPr>
            </w:pPr>
            <w:r>
              <w:rPr>
                <w:rFonts w:hint="eastAsia" w:ascii="宋体" w:hAnsi="Times New Roman" w:cs="宋体"/>
                <w:sz w:val="24"/>
                <w:lang w:val="en-US" w:eastAsia="zh-CN"/>
              </w:rPr>
              <w:t>0</w:t>
            </w:r>
          </w:p>
        </w:tc>
      </w:tr>
    </w:tbl>
    <w:p>
      <w:pPr>
        <w:pStyle w:val="2"/>
        <w:widowControl/>
        <w:ind w:left="420" w:leftChars="200"/>
        <w:jc w:val="center"/>
      </w:pP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黑体" w:cs="Times New Roman"/>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6</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黑体" w:cs="Times New Roman"/>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黑体" w:cs="Times New Roman"/>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黑体" w:hAnsi="宋体" w:eastAsia="黑体" w:cs="黑体"/>
                <w:kern w:val="0"/>
                <w:sz w:val="20"/>
                <w:szCs w:val="20"/>
                <w:lang w:val="en-US" w:eastAsia="zh-CN" w:bidi="ar"/>
              </w:rPr>
              <w:t>6</w:t>
            </w:r>
            <w:r>
              <w:rPr>
                <w:rFonts w:hint="eastAsia" w:ascii="黑体" w:hAnsi="宋体" w:eastAsia="黑体" w:cs="黑体"/>
                <w:kern w:val="0"/>
                <w:sz w:val="20"/>
                <w:szCs w:val="20"/>
                <w:lang w:bidi="ar"/>
              </w:rPr>
              <w:t>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黑体" w:cs="Times New Roman"/>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黑体" w:cs="Times New Roman"/>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黑体" w:cs="Times New Roman"/>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黑体" w:cs="Times New Roman"/>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黑体" w:cs="Times New Roman"/>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黑体" w:cs="Times New Roman"/>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rP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Times New Roman" w:cs="宋体"/>
                <w:sz w:val="24"/>
              </w:rPr>
            </w:pPr>
          </w:p>
        </w:tc>
      </w:tr>
    </w:tbl>
    <w:p>
      <w:pPr>
        <w:widowControl/>
        <w:jc w:val="left"/>
      </w:pPr>
    </w:p>
    <w:p>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pStyle w:val="3"/>
        <w:keepNext w:val="0"/>
        <w:keepLines w:val="0"/>
        <w:widowControl/>
        <w:suppressLineNumbers w:val="0"/>
        <w:spacing w:before="60" w:beforeAutospacing="0" w:after="60" w:afterAutospacing="0" w:line="444" w:lineRule="atLeast"/>
        <w:ind w:left="0" w:right="0" w:firstLine="540"/>
        <w:jc w:val="left"/>
        <w:rPr>
          <w:rFonts w:hint="default"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（一）存在的主要问题</w:t>
      </w:r>
    </w:p>
    <w:p>
      <w:pPr>
        <w:pStyle w:val="3"/>
        <w:keepNext w:val="0"/>
        <w:keepLines w:val="0"/>
        <w:widowControl/>
        <w:suppressLineNumbers w:val="0"/>
        <w:spacing w:before="60" w:beforeAutospacing="0" w:after="60" w:afterAutospacing="0" w:line="444" w:lineRule="atLeast"/>
        <w:ind w:left="0" w:right="0" w:firstLine="540"/>
        <w:jc w:val="left"/>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存在部门和干部对一些政府信息公开和保密的界限概念较为模糊的现象，影响政务公开标准化的顺利开展。</w:t>
      </w:r>
    </w:p>
    <w:p>
      <w:pPr>
        <w:pStyle w:val="3"/>
        <w:keepNext w:val="0"/>
        <w:keepLines w:val="0"/>
        <w:widowControl/>
        <w:suppressLineNumbers w:val="0"/>
        <w:spacing w:before="60" w:beforeAutospacing="0" w:after="60" w:afterAutospacing="0" w:line="444" w:lineRule="atLeast"/>
        <w:ind w:left="0" w:right="0" w:firstLine="540"/>
        <w:jc w:val="left"/>
        <w:rPr>
          <w:rFonts w:hint="default"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（二）改进情况</w:t>
      </w:r>
    </w:p>
    <w:p>
      <w:pPr>
        <w:pStyle w:val="3"/>
        <w:keepNext w:val="0"/>
        <w:keepLines w:val="0"/>
        <w:widowControl/>
        <w:suppressLineNumbers w:val="0"/>
        <w:spacing w:before="60" w:beforeAutospacing="0" w:after="60" w:afterAutospacing="0" w:line="444" w:lineRule="atLeast"/>
        <w:ind w:left="0" w:right="0" w:firstLine="540"/>
        <w:jc w:val="left"/>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一是提高认识站位。加强对《中华人民共和国政府信息公开条例》的思想重视，切实领悟政府信息公开对于政府施政过程及结果的重要意义，促进政府法治化、透明化建设。</w:t>
      </w:r>
    </w:p>
    <w:p>
      <w:pPr>
        <w:pStyle w:val="3"/>
        <w:keepNext w:val="0"/>
        <w:keepLines w:val="0"/>
        <w:widowControl/>
        <w:suppressLineNumbers w:val="0"/>
        <w:spacing w:before="60" w:beforeAutospacing="0" w:after="60" w:afterAutospacing="0" w:line="444" w:lineRule="atLeast"/>
        <w:ind w:left="0" w:right="0" w:firstLine="540"/>
        <w:jc w:val="left"/>
        <w:rPr>
          <w:rFonts w:hint="default"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二是扩大培训范围。除涉及信访类、维稳类科室，比如地区协调办等部门工作人员也需要参加此项培训。明确公开和保密的界限，加强政群良好的互动交流，及时更新有效信息。</w:t>
      </w:r>
    </w:p>
    <w:p>
      <w:pPr>
        <w:pStyle w:val="3"/>
        <w:keepNext w:val="0"/>
        <w:keepLines w:val="0"/>
        <w:widowControl/>
        <w:suppressLineNumbers w:val="0"/>
        <w:spacing w:before="60" w:beforeAutospacing="0" w:after="60" w:afterAutospacing="0" w:line="444" w:lineRule="atLeast"/>
        <w:ind w:left="0" w:right="0" w:firstLine="540"/>
        <w:jc w:val="left"/>
        <w:rPr>
          <w:rFonts w:hint="default"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三是把握公开质量。</w:t>
      </w:r>
      <w:r>
        <w:rPr>
          <w:rFonts w:hint="eastAsia" w:ascii="仿宋_GB2312" w:hAnsi="宋体" w:eastAsia="仿宋_GB2312" w:cs="宋体"/>
          <w:spacing w:val="8"/>
          <w:kern w:val="0"/>
          <w:sz w:val="32"/>
          <w:szCs w:val="32"/>
          <w:lang w:val="zh-CN" w:eastAsia="zh-CN" w:bidi="ar"/>
        </w:rPr>
        <w:t>加强重点领域行政执法。着力</w:t>
      </w:r>
      <w:r>
        <w:rPr>
          <w:rFonts w:hint="eastAsia" w:ascii="仿宋_GB2312" w:hAnsi="宋体" w:eastAsia="仿宋_GB2312" w:cs="宋体"/>
          <w:spacing w:val="8"/>
          <w:kern w:val="0"/>
          <w:sz w:val="32"/>
          <w:szCs w:val="32"/>
          <w:lang w:val="en-US" w:eastAsia="zh-CN" w:bidi="ar"/>
        </w:rPr>
        <w:t>于</w:t>
      </w:r>
      <w:r>
        <w:rPr>
          <w:rFonts w:hint="eastAsia" w:ascii="仿宋_GB2312" w:hAnsi="宋体" w:eastAsia="仿宋_GB2312" w:cs="宋体"/>
          <w:spacing w:val="8"/>
          <w:kern w:val="0"/>
          <w:sz w:val="32"/>
          <w:szCs w:val="32"/>
          <w:lang w:val="zh-CN" w:eastAsia="zh-CN" w:bidi="ar"/>
        </w:rPr>
        <w:t>提升执法效能，以</w:t>
      </w:r>
      <w:r>
        <w:rPr>
          <w:rFonts w:hint="eastAsia" w:ascii="仿宋_GB2312" w:hAnsi="宋体" w:eastAsia="仿宋_GB2312" w:cs="宋体"/>
          <w:spacing w:val="8"/>
          <w:kern w:val="0"/>
          <w:sz w:val="32"/>
          <w:szCs w:val="32"/>
          <w:lang w:val="en-US" w:eastAsia="zh-CN" w:bidi="ar"/>
        </w:rPr>
        <w:t>高标准、高质量完成市、区等部署任务工程，大力开展</w:t>
      </w:r>
      <w:r>
        <w:rPr>
          <w:rFonts w:hint="eastAsia" w:ascii="仿宋_GB2312" w:hAnsi="宋体" w:eastAsia="仿宋_GB2312" w:cs="宋体"/>
          <w:spacing w:val="8"/>
          <w:kern w:val="0"/>
          <w:sz w:val="32"/>
          <w:szCs w:val="32"/>
          <w:lang w:val="zh-CN" w:eastAsia="zh-CN" w:bidi="ar"/>
        </w:rPr>
        <w:t>大气污染防治、</w:t>
      </w:r>
      <w:r>
        <w:rPr>
          <w:rFonts w:hint="eastAsia" w:ascii="仿宋_GB2312" w:hAnsi="宋体" w:eastAsia="仿宋_GB2312" w:cs="宋体"/>
          <w:spacing w:val="8"/>
          <w:kern w:val="0"/>
          <w:sz w:val="32"/>
          <w:szCs w:val="32"/>
          <w:lang w:val="en-US" w:eastAsia="zh-CN" w:bidi="ar"/>
        </w:rPr>
        <w:t>环境整治行动，依法公开</w:t>
      </w:r>
      <w:r>
        <w:rPr>
          <w:rFonts w:hint="eastAsia" w:ascii="仿宋_GB2312" w:hAnsi="宋体" w:eastAsia="仿宋_GB2312" w:cs="宋体"/>
          <w:spacing w:val="8"/>
          <w:kern w:val="0"/>
          <w:sz w:val="32"/>
          <w:szCs w:val="32"/>
          <w:lang w:val="zh-CN" w:eastAsia="zh-CN" w:bidi="ar"/>
        </w:rPr>
        <w:t>门前三包、违法建设拆除、违规广告牌匾治理与居住小区专项检查等重点工作信息。</w:t>
      </w:r>
    </w:p>
    <w:p>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pStyle w:val="2"/>
        <w:widowControl/>
        <w:spacing w:line="560" w:lineRule="exact"/>
      </w:pPr>
    </w:p>
    <w:p>
      <w:pPr>
        <w:pStyle w:val="3"/>
        <w:keepNext w:val="0"/>
        <w:keepLines w:val="0"/>
        <w:widowControl/>
        <w:suppressLineNumbers w:val="0"/>
        <w:spacing w:before="60" w:beforeAutospacing="0" w:after="60" w:afterAutospacing="0" w:line="444" w:lineRule="atLeast"/>
        <w:ind w:left="0" w:right="0" w:firstLine="540"/>
        <w:jc w:val="left"/>
        <w:rPr>
          <w:rFonts w:hint="default"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无。</w:t>
      </w:r>
    </w:p>
    <w:p>
      <w:pPr>
        <w:pStyle w:val="3"/>
        <w:keepNext w:val="0"/>
        <w:keepLines w:val="0"/>
        <w:widowControl/>
        <w:suppressLineNumbers w:val="0"/>
        <w:spacing w:before="60" w:beforeAutospacing="0" w:after="60" w:afterAutospacing="0"/>
        <w:ind w:left="0" w:right="0" w:firstLine="0"/>
        <w:rPr>
          <w:rFonts w:hint="default" w:ascii="sans-serif" w:hAnsi="sans-serif" w:eastAsia="sans-serif" w:cs="sans-serif"/>
          <w:i w:val="0"/>
          <w:iCs w:val="0"/>
          <w:caps w:val="0"/>
          <w:color w:val="000000"/>
          <w:spacing w:val="0"/>
          <w:sz w:val="19"/>
          <w:szCs w:val="19"/>
        </w:rPr>
      </w:pPr>
      <w:r>
        <w:rPr>
          <w:rFonts w:hint="default" w:ascii="Times New Roman" w:hAnsi="Times New Roman" w:eastAsia="sans-serif" w:cs="Times New Roman"/>
          <w:i w:val="0"/>
          <w:iCs w:val="0"/>
          <w:caps w:val="0"/>
          <w:color w:val="000000"/>
          <w:spacing w:val="0"/>
          <w:sz w:val="16"/>
          <w:szCs w:val="16"/>
        </w:rPr>
        <w:t> </w:t>
      </w:r>
    </w:p>
    <w:p>
      <w:pPr>
        <w:pStyle w:val="3"/>
        <w:keepNext w:val="0"/>
        <w:keepLines w:val="0"/>
        <w:widowControl/>
        <w:suppressLineNumbers w:val="0"/>
        <w:spacing w:before="60" w:beforeAutospacing="0" w:after="60" w:afterAutospacing="0" w:line="444" w:lineRule="atLeast"/>
        <w:ind w:right="0"/>
        <w:jc w:val="left"/>
        <w:rPr>
          <w:rFonts w:hint="default"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北京市西城区人民政府德胜街道办事处</w:t>
      </w:r>
    </w:p>
    <w:p>
      <w:pPr>
        <w:pStyle w:val="3"/>
        <w:keepNext w:val="0"/>
        <w:keepLines w:val="0"/>
        <w:widowControl/>
        <w:suppressLineNumbers w:val="0"/>
        <w:spacing w:before="60" w:beforeAutospacing="0" w:after="60" w:afterAutospacing="0" w:line="444" w:lineRule="atLeast"/>
        <w:ind w:left="0" w:right="0" w:firstLine="540"/>
        <w:jc w:val="left"/>
      </w:pPr>
      <w:r>
        <w:rPr>
          <w:rFonts w:hint="eastAsia" w:ascii="仿宋_GB2312" w:hAnsi="宋体" w:eastAsia="仿宋_GB2312" w:cs="宋体"/>
          <w:spacing w:val="8"/>
          <w:kern w:val="0"/>
          <w:sz w:val="32"/>
          <w:szCs w:val="32"/>
          <w:lang w:val="en-US" w:eastAsia="zh-CN" w:bidi="ar"/>
        </w:rPr>
        <w:t>                                             2025年01月8日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AC8ACD1"/>
    <w:multiLevelType w:val="singleLevel"/>
    <w:tmpl w:val="6AC8ACD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25AB3"/>
    <w:rsid w:val="0B025AB3"/>
    <w:rsid w:val="120E1144"/>
    <w:rsid w:val="19BE1A70"/>
    <w:rsid w:val="46586BCC"/>
    <w:rsid w:val="53407165"/>
    <w:rsid w:val="56E374CC"/>
    <w:rsid w:val="5B7B5921"/>
    <w:rsid w:val="5DBA6971"/>
    <w:rsid w:val="5F354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等线" w:hAnsi="Courier New" w:eastAsia="等线" w:cs="Courier New"/>
      <w:kern w:val="2"/>
      <w:sz w:val="21"/>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2024-01-16T01:34:00Z</dcterms:created>
  <dc:creator>DSBGS008</dc:creator>
  <cp:lastModifiedBy>DSXZB008</cp:lastModifiedBy>
  <dcterms:modified xsi:type="dcterms:W3CDTF">2025-02-24T06:38:51Z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0CB2FA2BAD9A43BA8A342A9828442727</vt:lpwstr>
  </property>
</Properties>
</file>