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560" w:lineRule="exact"/>
        <w:jc w:val="center"/>
        <w:rPr>
          <w:rFonts w:ascii="Times New Roman" w:eastAsia="方正小标宋简体" w:cs="Times New Roman"/>
          <w:color w:val="FF0000"/>
          <w:spacing w:val="-24"/>
          <w:w w:val="60"/>
          <w:sz w:val="102"/>
          <w:szCs w:val="10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z w:val="44"/>
          <w:szCs w:val="44"/>
          <w:highlight w:val="none"/>
          <w:shd w:val="clear" w:color="auto" w:fill="auto"/>
        </w:rPr>
      </w:pPr>
      <w:r>
        <w:rPr>
          <w:rFonts w:hint="eastAsia" w:ascii="方正小标宋简体" w:eastAsia="方正小标宋简体"/>
          <w:sz w:val="44"/>
          <w:szCs w:val="44"/>
          <w:highlight w:val="none"/>
          <w:shd w:val="clear" w:color="auto" w:fill="auto"/>
          <w:lang w:eastAsia="zh-CN"/>
        </w:rPr>
        <w:t>广外</w:t>
      </w:r>
      <w:r>
        <w:rPr>
          <w:rFonts w:hint="eastAsia" w:ascii="方正小标宋简体" w:eastAsia="方正小标宋简体"/>
          <w:sz w:val="44"/>
          <w:szCs w:val="44"/>
          <w:highlight w:val="none"/>
          <w:shd w:val="clear" w:color="auto" w:fill="auto"/>
        </w:rPr>
        <w:t>街道202</w:t>
      </w:r>
      <w:r>
        <w:rPr>
          <w:rFonts w:hint="eastAsia" w:ascii="方正小标宋简体" w:eastAsia="方正小标宋简体"/>
          <w:sz w:val="44"/>
          <w:szCs w:val="44"/>
          <w:highlight w:val="none"/>
          <w:shd w:val="clear" w:color="auto" w:fill="auto"/>
          <w:lang w:val="en-US" w:eastAsia="zh-CN"/>
        </w:rPr>
        <w:t>2</w:t>
      </w:r>
      <w:r>
        <w:rPr>
          <w:rFonts w:hint="eastAsia" w:ascii="方正小标宋简体" w:eastAsia="方正小标宋简体"/>
          <w:sz w:val="44"/>
          <w:szCs w:val="44"/>
          <w:highlight w:val="none"/>
          <w:shd w:val="clear" w:color="auto" w:fill="auto"/>
        </w:rPr>
        <w:t>年度工作总结及</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仿宋" w:hAnsi="仿宋" w:eastAsia="仿宋"/>
        </w:rPr>
      </w:pPr>
      <w:r>
        <w:rPr>
          <w:rFonts w:hint="eastAsia" w:ascii="方正小标宋简体" w:eastAsia="方正小标宋简体"/>
          <w:sz w:val="44"/>
          <w:szCs w:val="44"/>
          <w:highlight w:val="none"/>
          <w:shd w:val="clear" w:color="auto" w:fill="auto"/>
          <w:lang w:val="en-US" w:eastAsia="zh-CN"/>
        </w:rPr>
        <w:t>2023年</w:t>
      </w:r>
      <w:r>
        <w:rPr>
          <w:rFonts w:hint="eastAsia" w:ascii="方正小标宋简体" w:eastAsia="方正小标宋简体"/>
          <w:sz w:val="44"/>
          <w:szCs w:val="44"/>
          <w:highlight w:val="none"/>
          <w:shd w:val="clear" w:color="auto" w:fill="auto"/>
        </w:rPr>
        <w:t>工作思路</w:t>
      </w: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 w:eastAsia="仿宋_GB2312" w:cs="仿宋_GB2312"/>
          <w:color w:val="auto"/>
          <w:sz w:val="32"/>
          <w:szCs w:val="32"/>
          <w:lang w:eastAsia="zh-CN"/>
        </w:rPr>
      </w:pP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黑体" w:hAnsi="黑体" w:eastAsia="黑体" w:cs="黑体"/>
          <w:color w:val="000000"/>
          <w:sz w:val="32"/>
          <w:szCs w:val="32"/>
          <w:highlight w:val="none"/>
          <w:shd w:val="clear" w:color="auto" w:fill="auto"/>
        </w:rPr>
      </w:pPr>
      <w:r>
        <w:rPr>
          <w:rFonts w:hint="eastAsia" w:ascii="仿宋_GB2312" w:hAnsi="Calibri" w:eastAsia="仿宋_GB2312" w:cs="Times New Roman"/>
          <w:sz w:val="32"/>
          <w:szCs w:val="32"/>
          <w:highlight w:val="none"/>
          <w:shd w:val="clear" w:color="auto" w:fill="auto"/>
        </w:rPr>
        <w:t>202</w:t>
      </w:r>
      <w:r>
        <w:rPr>
          <w:rFonts w:hint="eastAsia" w:ascii="仿宋_GB2312" w:hAnsi="Calibri" w:eastAsia="仿宋_GB2312" w:cs="Times New Roman"/>
          <w:sz w:val="32"/>
          <w:szCs w:val="32"/>
          <w:highlight w:val="none"/>
          <w:shd w:val="clear" w:color="auto" w:fill="auto"/>
          <w:lang w:val="en-US" w:eastAsia="zh-CN"/>
        </w:rPr>
        <w:t>2</w:t>
      </w:r>
      <w:r>
        <w:rPr>
          <w:rFonts w:hint="eastAsia" w:ascii="仿宋_GB2312" w:hAnsi="Calibri" w:eastAsia="仿宋_GB2312" w:cs="Times New Roman"/>
          <w:sz w:val="32"/>
          <w:szCs w:val="32"/>
          <w:highlight w:val="none"/>
          <w:shd w:val="clear" w:color="auto" w:fill="auto"/>
        </w:rPr>
        <w:t>年，</w:t>
      </w:r>
      <w:r>
        <w:rPr>
          <w:rFonts w:hint="eastAsia" w:ascii="仿宋_GB2312" w:hAnsi="Calibri" w:eastAsia="仿宋_GB2312" w:cs="Times New Roman"/>
          <w:sz w:val="32"/>
          <w:szCs w:val="32"/>
          <w:highlight w:val="none"/>
          <w:shd w:val="clear" w:color="auto" w:fill="auto"/>
          <w:lang w:eastAsia="zh-CN"/>
        </w:rPr>
        <w:t>广外</w:t>
      </w:r>
      <w:r>
        <w:rPr>
          <w:rFonts w:hint="eastAsia" w:ascii="仿宋_GB2312" w:hAnsi="Calibri" w:eastAsia="仿宋_GB2312" w:cs="Times New Roman"/>
          <w:sz w:val="32"/>
          <w:szCs w:val="32"/>
          <w:highlight w:val="none"/>
          <w:shd w:val="clear" w:color="auto" w:fill="auto"/>
        </w:rPr>
        <w:t>街道按照市委、市政府的总体部署，在区委、区政府的坚强领导下，</w:t>
      </w:r>
      <w:r>
        <w:rPr>
          <w:rFonts w:hint="eastAsia" w:ascii="仿宋_GB2312" w:hAnsi="Calibri" w:eastAsia="仿宋_GB2312" w:cs="Times New Roman"/>
          <w:sz w:val="32"/>
          <w:szCs w:val="32"/>
          <w:highlight w:val="none"/>
          <w:shd w:val="clear" w:color="auto" w:fill="auto"/>
          <w:lang w:eastAsia="zh-CN"/>
        </w:rPr>
        <w:t>坚持</w:t>
      </w:r>
      <w:r>
        <w:rPr>
          <w:rFonts w:hint="eastAsia" w:ascii="仿宋_GB2312" w:hAnsi="仿宋_GB2312" w:eastAsia="仿宋_GB2312" w:cs="仿宋_GB2312"/>
          <w:color w:val="000000"/>
          <w:sz w:val="32"/>
          <w:szCs w:val="32"/>
          <w:highlight w:val="none"/>
          <w:shd w:val="clear" w:color="auto" w:fill="auto"/>
          <w:lang w:eastAsia="zh-CN"/>
        </w:rPr>
        <w:t>一手抓疫情防控，一手抓地区经济社会发展，紧紧依靠辖区人民，凝心聚力、开拓创新，</w:t>
      </w:r>
      <w:r>
        <w:rPr>
          <w:rFonts w:hint="eastAsia" w:ascii="仿宋_GB2312" w:hAnsi="Calibri" w:eastAsia="仿宋_GB2312" w:cs="Times New Roman"/>
          <w:sz w:val="32"/>
          <w:szCs w:val="32"/>
          <w:highlight w:val="none"/>
          <w:shd w:val="clear" w:color="auto" w:fill="auto"/>
          <w:lang w:eastAsia="zh-CN"/>
        </w:rPr>
        <w:t>在提升城市品质、创新社会治理、服务民生保障上谋大局、抓落实、促发展，圆满完成全年目标任务</w:t>
      </w:r>
      <w:r>
        <w:rPr>
          <w:rFonts w:hint="eastAsia" w:ascii="仿宋_GB2312" w:hAnsi="Calibri" w:eastAsia="仿宋_GB2312" w:cs="Times New Roman"/>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highlight w:val="none"/>
          <w:shd w:val="clear" w:color="auto" w:fill="auto"/>
        </w:rPr>
      </w:pPr>
      <w:r>
        <w:rPr>
          <w:rFonts w:hint="eastAsia" w:ascii="黑体" w:hAnsi="黑体" w:eastAsia="黑体" w:cs="黑体"/>
          <w:color w:val="000000"/>
          <w:sz w:val="32"/>
          <w:szCs w:val="32"/>
          <w:highlight w:val="none"/>
          <w:shd w:val="clear" w:color="auto" w:fill="auto"/>
        </w:rPr>
        <w:t>一、202</w:t>
      </w:r>
      <w:r>
        <w:rPr>
          <w:rFonts w:hint="eastAsia" w:ascii="黑体" w:hAnsi="黑体" w:eastAsia="黑体" w:cs="黑体"/>
          <w:color w:val="000000"/>
          <w:sz w:val="32"/>
          <w:szCs w:val="32"/>
          <w:highlight w:val="none"/>
          <w:shd w:val="clear" w:color="auto" w:fill="auto"/>
          <w:lang w:val="en-US" w:eastAsia="zh-CN"/>
        </w:rPr>
        <w:t>2</w:t>
      </w:r>
      <w:r>
        <w:rPr>
          <w:rFonts w:hint="eastAsia" w:ascii="黑体" w:hAnsi="黑体" w:eastAsia="黑体" w:cs="黑体"/>
          <w:color w:val="000000"/>
          <w:sz w:val="32"/>
          <w:szCs w:val="32"/>
          <w:highlight w:val="none"/>
          <w:shd w:val="clear" w:color="auto" w:fill="auto"/>
        </w:rPr>
        <w:t>年工作回顾</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shd w:val="clear" w:color="auto" w:fill="auto"/>
          <w:lang w:eastAsia="zh-CN"/>
        </w:rPr>
      </w:pPr>
      <w:r>
        <w:rPr>
          <w:rFonts w:hint="eastAsia" w:ascii="楷体_GB2312" w:hAnsi="楷体_GB2312" w:eastAsia="楷体_GB2312" w:cs="楷体_GB2312"/>
          <w:sz w:val="32"/>
          <w:szCs w:val="32"/>
          <w:highlight w:val="none"/>
          <w:shd w:val="clear" w:color="auto" w:fill="auto"/>
          <w:lang w:eastAsia="zh-CN"/>
        </w:rPr>
        <w:t>（一）坚持“人民至上”理念，疫情防控更加科学精准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shd w:val="clear" w:color="auto" w:fill="auto"/>
          <w:lang w:val="en-US" w:eastAsia="zh-CN"/>
        </w:rPr>
      </w:pPr>
      <w:r>
        <w:rPr>
          <w:rFonts w:hint="eastAsia" w:ascii="仿宋_GB2312" w:hAnsi="仿宋_GB2312" w:eastAsia="仿宋_GB2312" w:cs="仿宋_GB2312"/>
          <w:b/>
          <w:bCs/>
          <w:color w:val="000000"/>
          <w:sz w:val="32"/>
          <w:szCs w:val="32"/>
          <w:highlight w:val="none"/>
          <w:shd w:val="clear" w:color="auto" w:fill="auto"/>
          <w:lang w:val="en-US" w:eastAsia="zh-CN"/>
        </w:rPr>
        <w:t>1.切实筑牢疫情防控严密防线。</w:t>
      </w:r>
      <w:r>
        <w:rPr>
          <w:rFonts w:hint="eastAsia" w:ascii="仿宋_GB2312" w:hAnsi="仿宋_GB2312" w:eastAsia="仿宋_GB2312" w:cs="仿宋_GB2312"/>
          <w:b w:val="0"/>
          <w:bCs w:val="0"/>
          <w:color w:val="000000"/>
          <w:sz w:val="32"/>
          <w:szCs w:val="32"/>
          <w:highlight w:val="none"/>
          <w:shd w:val="clear" w:color="auto" w:fill="auto"/>
          <w:lang w:val="en-US" w:eastAsia="zh-CN"/>
        </w:rPr>
        <w:t>做好力量统筹，高度关注重点人群，建立完善老幼病残孕等特殊人群台账，动态摸排、持续更新、用好台账，建立“零报告”机制，每日对重点人群，特别是阳性独居老人的健康状况和就医用药需求安排专人询问，记录在册。主动靠前，勠力同心共抗疫，全力确保西城区核酸检测服务站全流程快速高效运转，助力西城跑出核酸检测“加速度”。设置20处常态化核酸检测点位，及时向居民公布，方便居民就近就便核酸检测。寒来暑往，机关干部坚守在核酸检测现场，全年累计检测2231.7万人次，与病毒赛跑，为延缓传播赢得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val="0"/>
          <w:bCs w:val="0"/>
          <w:color w:val="000000"/>
          <w:sz w:val="32"/>
          <w:szCs w:val="32"/>
          <w:highlight w:val="yellow"/>
          <w:shd w:val="clear" w:color="auto" w:fill="auto"/>
          <w:lang w:val="en-US" w:eastAsia="zh-CN"/>
        </w:rPr>
      </w:pPr>
      <w:r>
        <w:rPr>
          <w:rFonts w:hint="eastAsia" w:hAnsi="仿宋_GB2312" w:cs="仿宋_GB2312"/>
          <w:b/>
          <w:bCs/>
          <w:color w:val="000000"/>
          <w:sz w:val="32"/>
          <w:szCs w:val="32"/>
          <w:highlight w:val="none"/>
          <w:shd w:val="clear" w:color="auto" w:fill="auto"/>
          <w:lang w:val="en-US" w:eastAsia="zh-CN"/>
        </w:rPr>
        <w:t>2.</w:t>
      </w:r>
      <w:r>
        <w:rPr>
          <w:rFonts w:hint="eastAsia" w:ascii="仿宋_GB2312" w:hAnsi="仿宋_GB2312" w:eastAsia="仿宋_GB2312" w:cs="仿宋_GB2312"/>
          <w:b/>
          <w:bCs/>
          <w:color w:val="000000"/>
          <w:sz w:val="32"/>
          <w:szCs w:val="32"/>
          <w:highlight w:val="none"/>
          <w:shd w:val="clear" w:color="auto" w:fill="auto"/>
          <w:lang w:val="en-US" w:eastAsia="zh-CN"/>
        </w:rPr>
        <w:t>加强非急症转运能力建设。</w:t>
      </w:r>
      <w:r>
        <w:rPr>
          <w:rFonts w:hint="eastAsia" w:ascii="仿宋_GB2312" w:hAnsi="仿宋_GB2312" w:eastAsia="仿宋_GB2312" w:cs="仿宋_GB2312"/>
          <w:b w:val="0"/>
          <w:bCs w:val="0"/>
          <w:color w:val="000000"/>
          <w:sz w:val="32"/>
          <w:szCs w:val="32"/>
          <w:highlight w:val="none"/>
          <w:shd w:val="clear" w:color="auto" w:fill="auto"/>
          <w:lang w:val="en-US" w:eastAsia="zh-CN"/>
        </w:rPr>
        <w:t>针对非紧急医疗需求，街道成立转运专班，设置转运热线，建立24小时值守机制，并安排两个转运车组，对接属地社区卫生服务中心，接到转运需求后及时开展病人健康状况评估及处置，联系本片区属医院和三级医院，做好对接工作，因转运问题无法就医人员，由转运专班提供车辆转运，满足相应的转运需求。同时持续开展防疫包发放行动，优先对孤寡，残疾，失独家庭，失能失智老人等入户发放，之后向居民普遍发放，2022年共发放防疫包87121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sz w:val="32"/>
          <w:szCs w:val="32"/>
          <w:highlight w:val="yellow"/>
          <w:shd w:val="clear" w:color="auto" w:fill="auto"/>
        </w:rPr>
      </w:pPr>
      <w:r>
        <w:rPr>
          <w:rFonts w:hint="eastAsia" w:ascii="仿宋_GB2312" w:hAnsi="仿宋_GB2312" w:eastAsia="仿宋_GB2312" w:cs="仿宋_GB2312"/>
          <w:b/>
          <w:bCs/>
          <w:color w:val="000000"/>
          <w:sz w:val="32"/>
          <w:szCs w:val="32"/>
          <w:highlight w:val="none"/>
          <w:shd w:val="clear" w:color="auto" w:fill="auto"/>
          <w:lang w:val="en-US" w:eastAsia="zh-CN"/>
        </w:rPr>
        <w:t>3.加快推进疫苗接种工作。</w:t>
      </w:r>
      <w:r>
        <w:rPr>
          <w:rFonts w:hint="eastAsia" w:ascii="仿宋_GB2312" w:hAnsi="仿宋_GB2312" w:eastAsia="仿宋_GB2312" w:cs="仿宋_GB2312"/>
          <w:b w:val="0"/>
          <w:bCs w:val="0"/>
          <w:color w:val="000000"/>
          <w:sz w:val="32"/>
          <w:szCs w:val="32"/>
          <w:highlight w:val="none"/>
          <w:shd w:val="clear" w:color="auto" w:fill="auto"/>
          <w:lang w:val="en-US" w:eastAsia="zh-CN"/>
        </w:rPr>
        <w:t>街道主要领导坚持高频次调度，层层传导压力，全面提速60岁以上人群疫苗接种节奏。建立街道及38个社区数字化接种台账，明确重点宣传动员人群，精准开展60岁以上人群疫苗宣传动员工作。持续优化接种服务，开辟老年人绿色通道、老年人休息专区、开设老年人专场。采取送“苗”上门、组建“爱心专车”、临时疫苗接种点进社区等多样化服务，打通疫苗接种“最后一公里”。累计开设老年人接种专场620人次，安排专车接送老年人接种 156人次。流动接种小分队上门为养老机构老人接种29人次。其中，广外街道怡乐园敬老院全区首家在院老人疫苗接种率达100%。自1月1日开展60岁及以上人群疫苗接种攻坚战以来，60岁以上老人接种率由74.3%提升至89.7%，累计提升15.4个百分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shd w:val="clear" w:color="auto" w:fill="auto"/>
          <w:lang w:eastAsia="zh-CN"/>
        </w:rPr>
      </w:pP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二</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坚持党建引领为核心</w:t>
      </w:r>
      <w:r>
        <w:rPr>
          <w:rFonts w:hint="eastAsia" w:ascii="楷体_GB2312" w:hAnsi="楷体_GB2312" w:eastAsia="楷体_GB2312" w:cs="楷体_GB2312"/>
          <w:sz w:val="32"/>
          <w:szCs w:val="32"/>
          <w:highlight w:val="none"/>
          <w:shd w:val="clear" w:color="auto" w:fill="auto"/>
        </w:rPr>
        <w:t>，基层</w:t>
      </w:r>
      <w:r>
        <w:rPr>
          <w:rFonts w:hint="eastAsia" w:ascii="楷体_GB2312" w:hAnsi="楷体_GB2312" w:eastAsia="楷体_GB2312" w:cs="楷体_GB2312"/>
          <w:sz w:val="32"/>
          <w:szCs w:val="32"/>
          <w:highlight w:val="none"/>
          <w:shd w:val="clear" w:color="auto" w:fill="auto"/>
          <w:lang w:eastAsia="zh-CN"/>
        </w:rPr>
        <w:t>党</w:t>
      </w:r>
      <w:r>
        <w:rPr>
          <w:rFonts w:hint="eastAsia" w:ascii="楷体_GB2312" w:hAnsi="楷体_GB2312" w:eastAsia="楷体_GB2312" w:cs="楷体_GB2312"/>
          <w:sz w:val="32"/>
          <w:szCs w:val="32"/>
          <w:highlight w:val="none"/>
          <w:shd w:val="clear" w:color="auto" w:fill="auto"/>
        </w:rPr>
        <w:t>组织</w:t>
      </w:r>
      <w:r>
        <w:rPr>
          <w:rFonts w:hint="eastAsia" w:ascii="楷体_GB2312" w:hAnsi="楷体_GB2312" w:eastAsia="楷体_GB2312" w:cs="楷体_GB2312"/>
          <w:sz w:val="32"/>
          <w:szCs w:val="32"/>
          <w:highlight w:val="none"/>
          <w:shd w:val="clear" w:color="auto" w:fill="auto"/>
          <w:lang w:eastAsia="zh-CN"/>
        </w:rPr>
        <w:t>更加坚强有力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b/>
          <w:bCs/>
          <w:color w:val="000000"/>
          <w:sz w:val="32"/>
          <w:szCs w:val="32"/>
          <w:highlight w:val="none"/>
          <w:shd w:val="clear" w:color="auto" w:fill="auto"/>
        </w:rPr>
        <w:t>1.</w:t>
      </w:r>
      <w:r>
        <w:rPr>
          <w:rFonts w:hint="eastAsia" w:ascii="仿宋_GB2312" w:hAnsi="仿宋_GB2312" w:eastAsia="仿宋_GB2312" w:cs="仿宋_GB2312"/>
          <w:b/>
          <w:bCs/>
          <w:color w:val="000000"/>
          <w:sz w:val="32"/>
          <w:szCs w:val="32"/>
          <w:highlight w:val="none"/>
          <w:shd w:val="clear" w:color="auto" w:fill="auto"/>
          <w:lang w:eastAsia="zh-CN"/>
        </w:rPr>
        <w:t>持续</w:t>
      </w:r>
      <w:r>
        <w:rPr>
          <w:rFonts w:hint="eastAsia" w:ascii="仿宋_GB2312" w:hAnsi="仿宋_GB2312" w:eastAsia="仿宋_GB2312" w:cs="仿宋_GB2312"/>
          <w:b/>
          <w:bCs/>
          <w:color w:val="000000"/>
          <w:sz w:val="32"/>
          <w:szCs w:val="32"/>
          <w:highlight w:val="none"/>
          <w:shd w:val="clear" w:color="auto" w:fill="auto"/>
        </w:rPr>
        <w:t>强化思想政治引领</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坚持把学习贯彻习近平新时代中国特色社会主义思想作为首要政治任务，开展理论中心组学习、参加区委理论中心组（扩大）学习</w:t>
      </w:r>
      <w:r>
        <w:rPr>
          <w:rFonts w:hint="eastAsia" w:ascii="仿宋_GB2312" w:hAnsi="仿宋_GB2312" w:eastAsia="仿宋_GB2312" w:cs="仿宋_GB2312"/>
          <w:color w:val="000000"/>
          <w:sz w:val="32"/>
          <w:szCs w:val="32"/>
          <w:highlight w:val="none"/>
          <w:shd w:val="clear" w:color="auto" w:fill="auto"/>
          <w:lang w:val="en-US" w:eastAsia="zh-CN"/>
        </w:rPr>
        <w:t>26</w:t>
      </w:r>
      <w:r>
        <w:rPr>
          <w:rFonts w:hint="eastAsia" w:ascii="仿宋_GB2312" w:hAnsi="仿宋_GB2312" w:eastAsia="仿宋_GB2312" w:cs="仿宋_GB2312"/>
          <w:color w:val="000000"/>
          <w:sz w:val="32"/>
          <w:szCs w:val="32"/>
          <w:highlight w:val="none"/>
          <w:shd w:val="clear" w:color="auto" w:fill="auto"/>
          <w:lang w:eastAsia="zh-CN"/>
        </w:rPr>
        <w:t>次，把学习贯彻党的二十大报告精神与习近平新时代中国特色社会主义思想相结合，把学习党的二十大精神作为组织党员学习的重中之重，推动基层党组织党员深刻领会二十大报告精神和习近平新时代中国特色社会主义思想的核心要义、精神实质、科学内涵、实践要求，推动基层党组织不断增强“四个意识”、坚定“四个自信”、做到“两个维护”。制定《广外街道工委网络意识形态工作责任制实施细则》，及时处置、回复舆情</w:t>
      </w:r>
      <w:r>
        <w:rPr>
          <w:rFonts w:hint="eastAsia" w:ascii="仿宋_GB2312" w:hAnsi="仿宋_GB2312" w:eastAsia="仿宋_GB2312" w:cs="仿宋_GB2312"/>
          <w:color w:val="000000"/>
          <w:sz w:val="32"/>
          <w:szCs w:val="32"/>
          <w:highlight w:val="none"/>
          <w:shd w:val="clear" w:color="auto" w:fill="auto"/>
          <w:lang w:val="en-US" w:eastAsia="zh-CN"/>
        </w:rPr>
        <w:t>90</w:t>
      </w:r>
      <w:r>
        <w:rPr>
          <w:rFonts w:hint="eastAsia" w:ascii="仿宋_GB2312" w:hAnsi="仿宋_GB2312" w:eastAsia="仿宋_GB2312" w:cs="仿宋_GB2312"/>
          <w:color w:val="000000"/>
          <w:sz w:val="32"/>
          <w:szCs w:val="32"/>
          <w:highlight w:val="none"/>
          <w:shd w:val="clear" w:color="auto" w:fill="auto"/>
          <w:lang w:eastAsia="zh-CN"/>
        </w:rPr>
        <w:t>余篇，发好广外声音，筑牢网络意识形态阵地。深化文明城区常态化创建工作，规范新时代文明实践工作开展，完成1个新时代文明实践所、38个实践站规范化建设。</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b/>
          <w:bCs/>
          <w:color w:val="000000"/>
          <w:sz w:val="32"/>
          <w:szCs w:val="32"/>
          <w:highlight w:val="none"/>
          <w:shd w:val="clear" w:color="auto" w:fill="auto"/>
          <w:lang w:val="en-US" w:eastAsia="zh-CN"/>
        </w:rPr>
        <w:t>2.</w:t>
      </w:r>
      <w:r>
        <w:rPr>
          <w:rFonts w:hint="eastAsia" w:ascii="仿宋_GB2312" w:hAnsi="仿宋_GB2312" w:eastAsia="仿宋_GB2312" w:cs="仿宋_GB2312"/>
          <w:b/>
          <w:bCs/>
          <w:color w:val="000000"/>
          <w:sz w:val="32"/>
          <w:szCs w:val="32"/>
          <w:highlight w:val="none"/>
          <w:shd w:val="clear" w:color="auto" w:fill="auto"/>
        </w:rPr>
        <w:t>着力提升基层党建工作质量</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严格代表资格条件，精准精细考量，做好党的二十大代表推荐提名和市党代表选举工作，基层党组织参与率和党员推荐提名率实现100%。把实施“红墙先锋工程”作为学习贯彻党的二十大精神</w:t>
      </w:r>
      <w:bookmarkStart w:id="12" w:name="_GoBack"/>
      <w:bookmarkEnd w:id="12"/>
      <w:r>
        <w:rPr>
          <w:rFonts w:hint="eastAsia" w:ascii="仿宋_GB2312" w:hAnsi="仿宋_GB2312" w:eastAsia="仿宋_GB2312" w:cs="仿宋_GB2312"/>
          <w:color w:val="000000"/>
          <w:sz w:val="32"/>
          <w:szCs w:val="32"/>
          <w:highlight w:val="none"/>
          <w:shd w:val="clear" w:color="auto" w:fill="auto"/>
          <w:lang w:eastAsia="zh-CN"/>
        </w:rPr>
        <w:t>的重要载体，制定街道贯彻落实“红墙先锋工程”实施方案和52项工作措施。不断提升党建引领基层治理效能，进一步巩固深化“红墙先锋在社区 我为群众办实事”实践活动成果，落实机关企事业党组织与社区党组织结对共建机制，11个机关43个党支部、19个企事业单位党组织与38个社区党组织结对共建，聚焦群众“急难愁盼”，形成42项年度结对共建项目。“两新”组织主动申报、认领34项为民办实事项目。持续开展“两个覆盖”集中攻坚行动，辖区非公有制企业党组织覆盖率达到94.6%，实体覆盖率44.6%，党的工作覆盖率达到100%。社会组织党组织和党的工作覆盖率均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楷体" w:eastAsia="仿宋_GB2312" w:cs="仿宋_GB2312"/>
          <w:color w:val="000000"/>
          <w:sz w:val="32"/>
          <w:szCs w:val="32"/>
          <w:highlight w:val="none"/>
          <w:shd w:val="clear" w:color="auto" w:fill="auto"/>
          <w:lang w:val="en-US" w:eastAsia="zh-CN"/>
        </w:rPr>
      </w:pPr>
      <w:r>
        <w:rPr>
          <w:rFonts w:hint="eastAsia" w:ascii="仿宋_GB2312" w:hAnsi="楷体" w:eastAsia="仿宋_GB2312" w:cs="仿宋_GB2312"/>
          <w:b/>
          <w:bCs/>
          <w:color w:val="000000"/>
          <w:sz w:val="32"/>
          <w:szCs w:val="32"/>
          <w:highlight w:val="none"/>
          <w:shd w:val="clear" w:color="auto" w:fill="auto"/>
        </w:rPr>
        <w:t>3.</w:t>
      </w:r>
      <w:r>
        <w:rPr>
          <w:rFonts w:hint="eastAsia" w:ascii="仿宋_GB2312" w:hAnsi="楷体" w:eastAsia="仿宋_GB2312" w:cs="仿宋_GB2312"/>
          <w:b/>
          <w:bCs/>
          <w:color w:val="000000"/>
          <w:sz w:val="32"/>
          <w:szCs w:val="32"/>
          <w:highlight w:val="none"/>
          <w:shd w:val="clear" w:color="auto" w:fill="auto"/>
          <w:lang w:eastAsia="zh-CN"/>
        </w:rPr>
        <w:t>坚持转作风全面加强自身建设。</w:t>
      </w:r>
      <w:r>
        <w:rPr>
          <w:rFonts w:hint="eastAsia" w:ascii="仿宋_GB2312" w:hAnsi="仿宋_GB2312" w:eastAsia="仿宋_GB2312" w:cs="仿宋_GB2312"/>
          <w:color w:val="000000"/>
          <w:sz w:val="32"/>
          <w:szCs w:val="32"/>
          <w:highlight w:val="none"/>
          <w:shd w:val="clear" w:color="auto" w:fill="auto"/>
          <w:lang w:val="en-US" w:eastAsia="zh-CN"/>
        </w:rPr>
        <w:t>持之以恒整治“四风”，严格执纪审查。开展约谈提醒78人次。围绕“接诉即办”、办公用房整治、党务外包等</w:t>
      </w:r>
      <w:r>
        <w:rPr>
          <w:rFonts w:hint="eastAsia" w:ascii="仿宋_GB2312" w:hAnsi="楷体" w:eastAsia="仿宋_GB2312" w:cs="仿宋_GB2312"/>
          <w:color w:val="000000"/>
          <w:sz w:val="32"/>
          <w:szCs w:val="32"/>
          <w:highlight w:val="none"/>
          <w:shd w:val="clear" w:color="auto" w:fill="auto"/>
        </w:rPr>
        <w:t>重点工作开展</w:t>
      </w:r>
      <w:r>
        <w:rPr>
          <w:rFonts w:hint="eastAsia" w:ascii="仿宋_GB2312" w:hAnsi="仿宋_GB2312" w:eastAsia="仿宋_GB2312" w:cs="仿宋_GB2312"/>
          <w:color w:val="000000"/>
          <w:sz w:val="32"/>
          <w:szCs w:val="32"/>
          <w:highlight w:val="none"/>
          <w:shd w:val="clear" w:color="auto" w:fill="auto"/>
          <w:lang w:val="en-US" w:eastAsia="zh-CN"/>
        </w:rPr>
        <w:t>日常</w:t>
      </w:r>
      <w:r>
        <w:rPr>
          <w:rFonts w:hint="eastAsia" w:ascii="仿宋_GB2312" w:hAnsi="楷体" w:eastAsia="仿宋_GB2312" w:cs="仿宋_GB2312"/>
          <w:color w:val="000000"/>
          <w:sz w:val="32"/>
          <w:szCs w:val="32"/>
          <w:highlight w:val="none"/>
          <w:shd w:val="clear" w:color="auto" w:fill="auto"/>
        </w:rPr>
        <w:t>专项</w:t>
      </w:r>
      <w:r>
        <w:rPr>
          <w:rFonts w:hint="eastAsia" w:ascii="仿宋_GB2312" w:hAnsi="仿宋_GB2312" w:eastAsia="仿宋_GB2312" w:cs="仿宋_GB2312"/>
          <w:color w:val="000000"/>
          <w:sz w:val="32"/>
          <w:szCs w:val="32"/>
          <w:highlight w:val="none"/>
          <w:shd w:val="clear" w:color="auto" w:fill="auto"/>
          <w:lang w:val="en-US" w:eastAsia="zh-CN"/>
        </w:rPr>
        <w:t>监督检查2000余</w:t>
      </w:r>
      <w:r>
        <w:rPr>
          <w:rFonts w:hint="eastAsia" w:ascii="仿宋_GB2312" w:hAnsi="楷体" w:eastAsia="仿宋_GB2312" w:cs="仿宋_GB2312"/>
          <w:color w:val="000000"/>
          <w:sz w:val="32"/>
          <w:szCs w:val="32"/>
          <w:highlight w:val="none"/>
          <w:shd w:val="clear" w:color="auto" w:fill="auto"/>
        </w:rPr>
        <w:t>次</w:t>
      </w:r>
      <w:r>
        <w:rPr>
          <w:rFonts w:hint="eastAsia" w:ascii="仿宋_GB2312" w:hAnsi="楷体"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作风建设持续向好。</w:t>
      </w:r>
      <w:r>
        <w:rPr>
          <w:rFonts w:hint="eastAsia" w:ascii="仿宋_GB2312" w:hAnsi="楷体" w:eastAsia="仿宋_GB2312" w:cs="仿宋_GB2312"/>
          <w:color w:val="000000"/>
          <w:sz w:val="32"/>
          <w:szCs w:val="32"/>
          <w:highlight w:val="none"/>
          <w:shd w:val="clear" w:color="auto" w:fill="auto"/>
          <w:lang w:eastAsia="zh-CN"/>
        </w:rPr>
        <w:t>深入推进法治政府建设，严格落实重大执法决定法制审核制度，开展重大案件集体讨论3次，讨论重大案件7件，审核重大案件</w:t>
      </w:r>
      <w:r>
        <w:rPr>
          <w:rFonts w:hint="eastAsia" w:ascii="仿宋_GB2312" w:hAnsi="黑体" w:eastAsia="仿宋_GB2312"/>
          <w:sz w:val="32"/>
          <w:szCs w:val="32"/>
          <w:highlight w:val="none"/>
          <w:lang w:val="en-US" w:eastAsia="zh-CN"/>
        </w:rPr>
        <w:t>68</w:t>
      </w:r>
      <w:r>
        <w:rPr>
          <w:rFonts w:hint="eastAsia" w:ascii="仿宋_GB2312" w:hAnsi="楷体" w:eastAsia="仿宋_GB2312" w:cs="仿宋_GB2312"/>
          <w:color w:val="000000"/>
          <w:sz w:val="32"/>
          <w:szCs w:val="32"/>
          <w:highlight w:val="none"/>
          <w:shd w:val="clear" w:color="auto" w:fill="auto"/>
          <w:lang w:eastAsia="zh-CN"/>
        </w:rPr>
        <w:t>件。依法依规做好行政复议诉讼工作，办理行政诉讼案件</w:t>
      </w:r>
      <w:r>
        <w:rPr>
          <w:rFonts w:hint="eastAsia" w:ascii="仿宋_GB2312" w:hAnsi="楷体" w:eastAsia="仿宋_GB2312" w:cs="仿宋_GB2312"/>
          <w:color w:val="000000"/>
          <w:sz w:val="32"/>
          <w:szCs w:val="32"/>
          <w:highlight w:val="none"/>
          <w:shd w:val="clear" w:color="auto" w:fill="auto"/>
          <w:lang w:val="en-US" w:eastAsia="zh-CN"/>
        </w:rPr>
        <w:t>4</w:t>
      </w:r>
      <w:r>
        <w:rPr>
          <w:rFonts w:hint="eastAsia" w:ascii="仿宋_GB2312" w:hAnsi="楷体" w:eastAsia="仿宋_GB2312" w:cs="仿宋_GB2312"/>
          <w:color w:val="000000"/>
          <w:sz w:val="32"/>
          <w:szCs w:val="32"/>
          <w:highlight w:val="none"/>
          <w:shd w:val="clear" w:color="auto" w:fill="auto"/>
          <w:lang w:eastAsia="zh-CN"/>
        </w:rPr>
        <w:t>起。充分发挥38个社区法律服务站优势作用，</w:t>
      </w:r>
      <w:r>
        <w:rPr>
          <w:rFonts w:hint="eastAsia" w:hAnsi="楷体" w:cs="仿宋_GB2312"/>
          <w:color w:val="000000"/>
          <w:sz w:val="32"/>
          <w:szCs w:val="32"/>
          <w:highlight w:val="none"/>
          <w:shd w:val="clear" w:color="auto" w:fill="auto"/>
          <w:lang w:eastAsia="zh-CN"/>
        </w:rPr>
        <w:t>为居民及时</w:t>
      </w:r>
      <w:r>
        <w:rPr>
          <w:rFonts w:hint="eastAsia" w:ascii="仿宋_GB2312" w:hAnsi="楷体" w:eastAsia="仿宋_GB2312" w:cs="仿宋_GB2312"/>
          <w:color w:val="000000"/>
          <w:sz w:val="32"/>
          <w:szCs w:val="32"/>
          <w:highlight w:val="none"/>
          <w:shd w:val="clear" w:color="auto" w:fill="auto"/>
          <w:lang w:eastAsia="zh-CN"/>
        </w:rPr>
        <w:t>提供律师咨询援助。主动接受各方监督，</w:t>
      </w:r>
      <w:r>
        <w:rPr>
          <w:rFonts w:hint="eastAsia" w:ascii="仿宋_GB2312" w:hAnsi="楷体" w:eastAsia="仿宋_GB2312" w:cs="仿宋_GB2312"/>
          <w:color w:val="000000"/>
          <w:sz w:val="32"/>
          <w:szCs w:val="32"/>
          <w:highlight w:val="none"/>
          <w:shd w:val="clear" w:color="auto" w:fill="auto"/>
          <w:lang w:val="en-US" w:eastAsia="zh-CN"/>
        </w:rPr>
        <w:t>办理区政协提案11件。</w:t>
      </w:r>
      <w:r>
        <w:rPr>
          <w:rFonts w:hint="eastAsia" w:ascii="仿宋_GB2312" w:hAnsi="楷体" w:eastAsia="仿宋_GB2312" w:cs="仿宋_GB2312"/>
          <w:color w:val="000000"/>
          <w:sz w:val="32"/>
          <w:szCs w:val="32"/>
          <w:highlight w:val="none"/>
          <w:shd w:val="clear" w:color="auto" w:fill="auto"/>
          <w:lang w:eastAsia="zh-CN"/>
        </w:rPr>
        <w:t>落实主动向群众报告制度，</w:t>
      </w:r>
      <w:r>
        <w:rPr>
          <w:rFonts w:hint="eastAsia" w:hAnsi="楷体" w:cs="仿宋_GB2312"/>
          <w:color w:val="000000"/>
          <w:sz w:val="32"/>
          <w:szCs w:val="32"/>
          <w:highlight w:val="none"/>
          <w:shd w:val="clear" w:color="auto" w:fill="auto"/>
          <w:lang w:eastAsia="zh-CN"/>
        </w:rPr>
        <w:t>每月向</w:t>
      </w:r>
      <w:r>
        <w:rPr>
          <w:rFonts w:hint="eastAsia" w:ascii="仿宋_GB2312" w:hAnsi="楷体" w:eastAsia="仿宋_GB2312" w:cs="仿宋_GB2312"/>
          <w:color w:val="000000"/>
          <w:sz w:val="32"/>
          <w:szCs w:val="32"/>
          <w:highlight w:val="none"/>
          <w:shd w:val="clear" w:color="auto" w:fill="auto"/>
          <w:lang w:eastAsia="zh-CN"/>
        </w:rPr>
        <w:t>地区居民通报情况</w:t>
      </w:r>
      <w:r>
        <w:rPr>
          <w:rFonts w:hint="eastAsia" w:hAnsi="楷体" w:cs="仿宋_GB2312"/>
          <w:color w:val="000000"/>
          <w:sz w:val="32"/>
          <w:szCs w:val="32"/>
          <w:highlight w:val="none"/>
          <w:shd w:val="clear" w:color="auto" w:fill="auto"/>
          <w:lang w:eastAsia="zh-CN"/>
        </w:rPr>
        <w:t>，</w:t>
      </w:r>
      <w:r>
        <w:rPr>
          <w:rFonts w:hint="eastAsia" w:ascii="仿宋_GB2312" w:hAnsi="楷体" w:eastAsia="仿宋_GB2312" w:cs="仿宋_GB2312"/>
          <w:color w:val="000000"/>
          <w:sz w:val="32"/>
          <w:szCs w:val="32"/>
          <w:highlight w:val="none"/>
          <w:shd w:val="clear" w:color="auto" w:fill="auto"/>
          <w:lang w:eastAsia="zh-CN"/>
        </w:rPr>
        <w:t>向居民交“真实账”、“放心账”。</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楷体_GB2312" w:cs="楷体_GB2312"/>
          <w:sz w:val="32"/>
          <w:szCs w:val="32"/>
          <w:highlight w:val="none"/>
          <w:shd w:val="clear" w:color="auto" w:fill="auto"/>
          <w:lang w:val="en-US" w:eastAsia="zh-CN"/>
        </w:rPr>
      </w:pP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三</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坚持</w:t>
      </w:r>
      <w:r>
        <w:rPr>
          <w:rFonts w:hint="eastAsia" w:ascii="楷体_GB2312" w:hAnsi="楷体_GB2312" w:eastAsia="楷体_GB2312" w:cs="楷体_GB2312"/>
          <w:sz w:val="32"/>
          <w:szCs w:val="32"/>
          <w:highlight w:val="none"/>
          <w:shd w:val="clear" w:color="auto" w:fill="auto"/>
          <w:lang w:val="en-US" w:eastAsia="zh-CN"/>
        </w:rPr>
        <w:t>疏解非首都功能，城市环境品质更加优美宜居</w:t>
      </w:r>
    </w:p>
    <w:p>
      <w:pPr>
        <w:pageBreakBefore w:val="0"/>
        <w:widowControl w:val="0"/>
        <w:kinsoku/>
        <w:wordWrap/>
        <w:topLinePunct w:val="0"/>
        <w:bidi w:val="0"/>
        <w:spacing w:line="560" w:lineRule="exact"/>
        <w:ind w:firstLine="643" w:firstLineChars="200"/>
        <w:rPr>
          <w:rFonts w:hint="eastAsia" w:ascii="仿宋_GB2312" w:hAnsi="仿宋_GB2312" w:eastAsia="仿宋_GB2312" w:cs="仿宋_GB2312"/>
          <w:color w:val="000000"/>
          <w:sz w:val="32"/>
          <w:szCs w:val="32"/>
          <w:highlight w:val="none"/>
          <w:shd w:val="clear" w:color="FFFFFF" w:fill="D9D9D9"/>
          <w:lang w:val="en-US" w:eastAsia="zh-CN"/>
        </w:rPr>
      </w:pPr>
      <w:r>
        <w:rPr>
          <w:rFonts w:hint="eastAsia" w:ascii="仿宋_GB2312" w:hAnsi="Calibri" w:eastAsia="仿宋_GB2312" w:cs="Times New Roman"/>
          <w:b/>
          <w:bCs/>
          <w:color w:val="000000"/>
          <w:sz w:val="32"/>
          <w:szCs w:val="32"/>
          <w:highlight w:val="none"/>
          <w:shd w:val="clear" w:color="auto" w:fill="auto"/>
        </w:rPr>
        <w:t>1.“疏整促”行动持续加力</w:t>
      </w:r>
      <w:r>
        <w:rPr>
          <w:rFonts w:hint="eastAsia" w:ascii="仿宋_GB2312" w:hAnsi="Calibri" w:eastAsia="仿宋_GB2312" w:cs="Times New Roman"/>
          <w:b/>
          <w:bCs/>
          <w:color w:val="000000"/>
          <w:sz w:val="32"/>
          <w:szCs w:val="32"/>
          <w:highlight w:val="none"/>
          <w:shd w:val="clear" w:color="auto" w:fill="auto"/>
          <w:lang w:eastAsia="zh-CN"/>
        </w:rPr>
        <w:t>。</w:t>
      </w:r>
      <w:r>
        <w:rPr>
          <w:rFonts w:hint="eastAsia" w:ascii="仿宋_GB2312" w:hAnsi="Calibri" w:eastAsia="仿宋_GB2312" w:cs="Times New Roman"/>
          <w:color w:val="000000"/>
          <w:sz w:val="32"/>
          <w:szCs w:val="32"/>
          <w:highlight w:val="none"/>
          <w:shd w:val="clear" w:color="auto" w:fill="auto"/>
        </w:rPr>
        <w:t>坚持</w:t>
      </w:r>
      <w:r>
        <w:rPr>
          <w:rFonts w:hint="eastAsia" w:ascii="仿宋_GB2312" w:hAnsi="Calibri" w:eastAsia="仿宋_GB2312" w:cs="Times New Roman"/>
          <w:color w:val="000000"/>
          <w:sz w:val="32"/>
          <w:szCs w:val="32"/>
          <w:highlight w:val="none"/>
          <w:shd w:val="clear" w:color="auto" w:fill="auto"/>
          <w:lang w:val="en-US" w:eastAsia="zh-CN"/>
        </w:rPr>
        <w:t>疏解提质</w:t>
      </w:r>
      <w:r>
        <w:rPr>
          <w:rFonts w:hint="eastAsia" w:ascii="仿宋_GB2312" w:hAnsi="Calibri" w:eastAsia="仿宋_GB2312" w:cs="Times New Roman"/>
          <w:color w:val="000000"/>
          <w:sz w:val="32"/>
          <w:szCs w:val="32"/>
          <w:highlight w:val="none"/>
          <w:shd w:val="clear" w:color="auto" w:fill="auto"/>
        </w:rPr>
        <w:t>并举，</w:t>
      </w:r>
      <w:r>
        <w:rPr>
          <w:rFonts w:hint="eastAsia" w:ascii="仿宋_GB2312" w:hAnsi="仿宋_GB2312" w:eastAsia="仿宋_GB2312" w:cs="仿宋_GB2312"/>
          <w:color w:val="000000"/>
          <w:sz w:val="32"/>
          <w:szCs w:val="32"/>
          <w:highlight w:val="none"/>
          <w:shd w:val="clear" w:color="auto" w:fill="auto"/>
        </w:rPr>
        <w:t>“开墙打洞”</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群租房</w:t>
      </w:r>
      <w:r>
        <w:rPr>
          <w:rFonts w:hint="eastAsia" w:ascii="仿宋_GB2312" w:hAnsi="仿宋_GB2312" w:eastAsia="仿宋_GB2312" w:cs="仿宋_GB2312"/>
          <w:color w:val="000000"/>
          <w:sz w:val="32"/>
          <w:szCs w:val="32"/>
          <w:highlight w:val="none"/>
          <w:shd w:val="clear" w:color="auto" w:fill="auto"/>
          <w:lang w:eastAsia="zh-CN"/>
        </w:rPr>
        <w:t>等治理成效明显，地区常住人口减少</w:t>
      </w:r>
      <w:r>
        <w:rPr>
          <w:rFonts w:hint="eastAsia" w:ascii="仿宋_GB2312" w:hAnsi="仿宋_GB2312" w:eastAsia="仿宋_GB2312" w:cs="仿宋_GB2312"/>
          <w:color w:val="000000"/>
          <w:sz w:val="32"/>
          <w:szCs w:val="32"/>
          <w:highlight w:val="none"/>
          <w:shd w:val="clear" w:color="auto" w:fill="auto"/>
          <w:lang w:val="en-US" w:eastAsia="zh-CN"/>
        </w:rPr>
        <w:t>201</w:t>
      </w:r>
      <w:r>
        <w:rPr>
          <w:rFonts w:hint="eastAsia" w:ascii="仿宋_GB2312" w:hAnsi="仿宋_GB2312" w:eastAsia="仿宋_GB2312" w:cs="仿宋_GB2312"/>
          <w:color w:val="000000"/>
          <w:sz w:val="32"/>
          <w:szCs w:val="32"/>
          <w:highlight w:val="none"/>
          <w:shd w:val="clear" w:color="auto" w:fill="auto"/>
        </w:rPr>
        <w:t>人。拆除违法建设</w:t>
      </w:r>
      <w:r>
        <w:rPr>
          <w:rFonts w:hint="eastAsia" w:ascii="仿宋_GB2312" w:hAnsi="仿宋_GB2312" w:eastAsia="仿宋_GB2312" w:cs="仿宋_GB2312"/>
          <w:color w:val="000000"/>
          <w:sz w:val="32"/>
          <w:szCs w:val="32"/>
          <w:highlight w:val="none"/>
          <w:shd w:val="clear" w:color="auto" w:fill="auto"/>
          <w:lang w:val="en-US" w:eastAsia="zh-CN"/>
        </w:rPr>
        <w:t>169</w:t>
      </w:r>
      <w:r>
        <w:rPr>
          <w:rFonts w:hint="eastAsia" w:ascii="仿宋_GB2312" w:hAnsi="仿宋_GB2312" w:eastAsia="仿宋_GB2312" w:cs="仿宋_GB2312"/>
          <w:color w:val="000000"/>
          <w:sz w:val="32"/>
          <w:szCs w:val="32"/>
          <w:highlight w:val="none"/>
          <w:shd w:val="clear" w:color="auto" w:fill="auto"/>
        </w:rPr>
        <w:t>处、7</w:t>
      </w:r>
      <w:r>
        <w:rPr>
          <w:rFonts w:hint="eastAsia" w:ascii="仿宋_GB2312" w:hAnsi="仿宋_GB2312" w:eastAsia="仿宋_GB2312" w:cs="仿宋_GB2312"/>
          <w:color w:val="000000"/>
          <w:sz w:val="32"/>
          <w:szCs w:val="32"/>
          <w:highlight w:val="none"/>
          <w:shd w:val="clear" w:color="auto" w:fill="auto"/>
          <w:lang w:val="en-US" w:eastAsia="zh-CN"/>
        </w:rPr>
        <w:t>800</w:t>
      </w:r>
      <w:r>
        <w:rPr>
          <w:rFonts w:hint="eastAsia" w:ascii="仿宋_GB2312" w:hAnsi="仿宋_GB2312" w:eastAsia="仿宋_GB2312" w:cs="仿宋_GB2312"/>
          <w:color w:val="000000"/>
          <w:sz w:val="32"/>
          <w:szCs w:val="32"/>
          <w:highlight w:val="none"/>
          <w:shd w:val="clear" w:color="auto" w:fill="auto"/>
        </w:rPr>
        <w:t>余平方米</w:t>
      </w:r>
      <w:r>
        <w:rPr>
          <w:rFonts w:hint="eastAsia" w:ascii="仿宋_GB2312" w:hAnsi="仿宋_GB2312" w:eastAsia="仿宋_GB2312" w:cs="仿宋_GB2312"/>
          <w:color w:val="000000"/>
          <w:sz w:val="32"/>
          <w:szCs w:val="32"/>
          <w:highlight w:val="none"/>
          <w:shd w:val="clear" w:color="auto" w:fill="auto"/>
          <w:lang w:eastAsia="zh-CN"/>
        </w:rPr>
        <w:t>，提前“交卷”，超额完成全年拆违目标</w:t>
      </w:r>
      <w:r>
        <w:rPr>
          <w:rFonts w:hint="eastAsia" w:ascii="仿宋_GB2312" w:hAnsi="仿宋_GB2312" w:eastAsia="仿宋_GB2312" w:cs="仿宋_GB2312"/>
          <w:color w:val="000000"/>
          <w:sz w:val="32"/>
          <w:szCs w:val="32"/>
          <w:highlight w:val="none"/>
          <w:shd w:val="clear" w:color="auto" w:fill="auto"/>
          <w:lang w:val="en-US" w:eastAsia="zh-CN"/>
        </w:rPr>
        <w:t>。其中，</w:t>
      </w:r>
      <w:r>
        <w:rPr>
          <w:rFonts w:hint="eastAsia" w:ascii="仿宋_GB2312" w:hAnsi="仿宋_GB2312" w:eastAsia="仿宋_GB2312" w:cs="仿宋_GB2312"/>
          <w:color w:val="000000"/>
          <w:sz w:val="32"/>
          <w:szCs w:val="32"/>
          <w:highlight w:val="none"/>
          <w:shd w:val="clear" w:color="auto" w:fill="auto"/>
          <w:lang w:eastAsia="zh-CN"/>
        </w:rPr>
        <w:t>运用系统思维，以拆违带动一揽子问题的解决，如拆除白菜湾小区70余处违法建设、面积500余平方米，助力白菜湾老旧小区改造；结合“六个一”行动，推进存在安全隐患违建的拆除，如重拳治理多处占压燃气管线违建，面积300余平方米，从源头消除隐患；持续重拳“清顶”，整治私搭乱建的“空中楼阁”，拆除手帕口南街一处规模较大的楼顶违建，面积150余平方米；“见缝插绿”打造城市绿色空间，拆除滨南2号、马连道胡同2000余平方米违建，“拆后空地‘变身’两个“口袋公园”、新增绿化面积4000余平方米，居民休闲又添好去处。</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color w:val="000000"/>
          <w:sz w:val="32"/>
          <w:szCs w:val="32"/>
          <w:highlight w:val="none"/>
          <w:shd w:val="clear" w:color="FFFFFF" w:fill="D9D9D9"/>
        </w:rPr>
      </w:pPr>
      <w:r>
        <w:rPr>
          <w:rFonts w:hint="eastAsia" w:ascii="仿宋_GB2312" w:hAnsi="仿宋_GB2312" w:eastAsia="仿宋_GB2312" w:cs="仿宋_GB2312"/>
          <w:color w:val="000000"/>
          <w:sz w:val="32"/>
          <w:szCs w:val="32"/>
          <w:highlight w:val="none"/>
          <w:shd w:val="clear" w:color="auto" w:fill="auto"/>
        </w:rPr>
        <w:t xml:space="preserve">   </w:t>
      </w:r>
      <w:r>
        <w:rPr>
          <w:rFonts w:hint="eastAsia" w:ascii="仿宋_GB2312" w:hAnsi="仿宋_GB2312" w:eastAsia="仿宋_GB2312" w:cs="仿宋_GB2312"/>
          <w:b/>
          <w:bCs/>
          <w:color w:val="000000"/>
          <w:sz w:val="32"/>
          <w:szCs w:val="32"/>
          <w:highlight w:val="none"/>
          <w:shd w:val="clear" w:color="auto" w:fill="auto"/>
        </w:rPr>
        <w:t xml:space="preserve"> 2.城市环境品质稳步提升</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全力推进灭脏、清障等专项整治工作，清理大件垃圾</w:t>
      </w:r>
      <w:r>
        <w:rPr>
          <w:rFonts w:hint="eastAsia" w:ascii="仿宋_GB2312" w:hAnsi="仿宋_GB2312" w:eastAsia="仿宋_GB2312" w:cs="仿宋_GB2312"/>
          <w:color w:val="000000"/>
          <w:sz w:val="32"/>
          <w:szCs w:val="32"/>
          <w:highlight w:val="none"/>
          <w:shd w:val="clear" w:color="auto" w:fill="auto"/>
          <w:lang w:val="en-US" w:eastAsia="zh-CN"/>
        </w:rPr>
        <w:t>1300余</w:t>
      </w:r>
      <w:r>
        <w:rPr>
          <w:rFonts w:hint="eastAsia" w:ascii="仿宋_GB2312" w:hAnsi="仿宋_GB2312" w:eastAsia="仿宋_GB2312" w:cs="仿宋_GB2312"/>
          <w:color w:val="000000"/>
          <w:sz w:val="32"/>
          <w:szCs w:val="32"/>
          <w:highlight w:val="none"/>
          <w:shd w:val="clear" w:color="auto" w:fill="auto"/>
        </w:rPr>
        <w:t>吨、废旧非机动车</w:t>
      </w:r>
      <w:r>
        <w:rPr>
          <w:rFonts w:hint="eastAsia" w:ascii="仿宋_GB2312" w:hAnsi="仿宋_GB2312" w:eastAsia="仿宋_GB2312" w:cs="仿宋_GB2312"/>
          <w:color w:val="000000"/>
          <w:sz w:val="32"/>
          <w:szCs w:val="32"/>
          <w:highlight w:val="none"/>
          <w:shd w:val="clear" w:color="auto" w:fill="auto"/>
          <w:lang w:val="en-US" w:eastAsia="zh-CN"/>
        </w:rPr>
        <w:t>1200余</w:t>
      </w:r>
      <w:r>
        <w:rPr>
          <w:rFonts w:hint="eastAsia" w:ascii="仿宋_GB2312" w:hAnsi="仿宋_GB2312" w:eastAsia="仿宋_GB2312" w:cs="仿宋_GB2312"/>
          <w:color w:val="000000"/>
          <w:sz w:val="32"/>
          <w:szCs w:val="32"/>
          <w:highlight w:val="none"/>
          <w:shd w:val="clear" w:color="auto" w:fill="auto"/>
        </w:rPr>
        <w:t>辆、僵尸车</w:t>
      </w:r>
      <w:r>
        <w:rPr>
          <w:rFonts w:hint="eastAsia" w:ascii="仿宋_GB2312" w:hAnsi="仿宋_GB2312" w:eastAsia="仿宋_GB2312" w:cs="仿宋_GB2312"/>
          <w:color w:val="000000"/>
          <w:sz w:val="32"/>
          <w:szCs w:val="32"/>
          <w:highlight w:val="none"/>
          <w:shd w:val="clear" w:color="auto" w:fill="auto"/>
          <w:lang w:val="en-US" w:eastAsia="zh-CN"/>
        </w:rPr>
        <w:t>13</w:t>
      </w:r>
      <w:r>
        <w:rPr>
          <w:rFonts w:hint="eastAsia" w:ascii="仿宋_GB2312" w:hAnsi="仿宋_GB2312" w:eastAsia="仿宋_GB2312" w:cs="仿宋_GB2312"/>
          <w:color w:val="000000"/>
          <w:sz w:val="32"/>
          <w:szCs w:val="32"/>
          <w:highlight w:val="none"/>
          <w:shd w:val="clear" w:color="auto" w:fill="auto"/>
        </w:rPr>
        <w:t>辆；拆除地桩地锁</w:t>
      </w:r>
      <w:r>
        <w:rPr>
          <w:rFonts w:hint="eastAsia" w:ascii="仿宋_GB2312" w:hAnsi="仿宋_GB2312" w:eastAsia="仿宋_GB2312" w:cs="仿宋_GB2312"/>
          <w:color w:val="000000"/>
          <w:sz w:val="32"/>
          <w:szCs w:val="32"/>
          <w:highlight w:val="none"/>
          <w:shd w:val="clear" w:color="auto" w:fill="auto"/>
          <w:lang w:val="en-US" w:eastAsia="zh-CN"/>
        </w:rPr>
        <w:t>660</w:t>
      </w:r>
      <w:r>
        <w:rPr>
          <w:rFonts w:hint="eastAsia" w:ascii="仿宋_GB2312" w:hAnsi="仿宋_GB2312" w:eastAsia="仿宋_GB2312" w:cs="仿宋_GB2312"/>
          <w:color w:val="000000"/>
          <w:sz w:val="32"/>
          <w:szCs w:val="32"/>
          <w:highlight w:val="none"/>
          <w:shd w:val="clear" w:color="auto" w:fill="auto"/>
        </w:rPr>
        <w:t>个、违规广告牌匾</w:t>
      </w:r>
      <w:r>
        <w:rPr>
          <w:rFonts w:hint="eastAsia" w:ascii="仿宋_GB2312" w:hAnsi="仿宋_GB2312" w:eastAsia="仿宋_GB2312" w:cs="仿宋_GB2312"/>
          <w:color w:val="000000"/>
          <w:sz w:val="32"/>
          <w:szCs w:val="32"/>
          <w:highlight w:val="none"/>
          <w:shd w:val="clear" w:color="auto" w:fill="auto"/>
          <w:lang w:val="en-US" w:eastAsia="zh-CN"/>
        </w:rPr>
        <w:t>16</w:t>
      </w:r>
      <w:r>
        <w:rPr>
          <w:rFonts w:hint="eastAsia" w:ascii="仿宋_GB2312" w:hAnsi="仿宋_GB2312" w:eastAsia="仿宋_GB2312" w:cs="仿宋_GB2312"/>
          <w:color w:val="000000"/>
          <w:sz w:val="32"/>
          <w:szCs w:val="32"/>
          <w:highlight w:val="none"/>
          <w:shd w:val="clear" w:color="auto" w:fill="auto"/>
        </w:rPr>
        <w:t>块。</w:t>
      </w:r>
      <w:r>
        <w:rPr>
          <w:rFonts w:hint="eastAsia" w:ascii="仿宋_GB2312" w:hAnsi="仿宋_GB2312" w:eastAsia="仿宋_GB2312" w:cs="仿宋_GB2312"/>
          <w:color w:val="000000"/>
          <w:sz w:val="32"/>
          <w:szCs w:val="32"/>
          <w:highlight w:val="none"/>
          <w:shd w:val="clear" w:color="auto" w:fill="auto"/>
          <w:lang w:eastAsia="zh-CN"/>
        </w:rPr>
        <w:t>强化</w:t>
      </w:r>
      <w:r>
        <w:rPr>
          <w:rFonts w:hint="eastAsia" w:ascii="仿宋_GB2312" w:hAnsi="仿宋_GB2312" w:eastAsia="仿宋_GB2312" w:cs="仿宋_GB2312"/>
          <w:color w:val="000000"/>
          <w:sz w:val="32"/>
          <w:szCs w:val="32"/>
          <w:highlight w:val="none"/>
          <w:shd w:val="clear" w:color="auto" w:fill="auto"/>
        </w:rPr>
        <w:t>源头治理，打好蓝天碧水保卫战</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开展各类</w:t>
      </w:r>
      <w:r>
        <w:rPr>
          <w:rFonts w:hint="eastAsia" w:ascii="仿宋_GB2312" w:hAnsi="仿宋_GB2312" w:eastAsia="仿宋_GB2312" w:cs="仿宋_GB2312"/>
          <w:color w:val="000000"/>
          <w:sz w:val="32"/>
          <w:szCs w:val="32"/>
          <w:highlight w:val="none"/>
          <w:shd w:val="clear" w:color="auto" w:fill="auto"/>
          <w:lang w:eastAsia="zh-CN"/>
        </w:rPr>
        <w:t>环保</w:t>
      </w:r>
      <w:r>
        <w:rPr>
          <w:rFonts w:hint="eastAsia" w:ascii="仿宋_GB2312" w:hAnsi="仿宋_GB2312" w:eastAsia="仿宋_GB2312" w:cs="仿宋_GB2312"/>
          <w:color w:val="000000"/>
          <w:sz w:val="32"/>
          <w:szCs w:val="32"/>
          <w:highlight w:val="none"/>
          <w:shd w:val="clear" w:color="auto" w:fill="auto"/>
        </w:rPr>
        <w:t>执法检查2</w:t>
      </w:r>
      <w:r>
        <w:rPr>
          <w:rFonts w:hint="eastAsia" w:ascii="仿宋_GB2312" w:hAnsi="仿宋_GB2312" w:eastAsia="仿宋_GB2312" w:cs="仿宋_GB2312"/>
          <w:color w:val="000000"/>
          <w:sz w:val="32"/>
          <w:szCs w:val="32"/>
          <w:highlight w:val="none"/>
          <w:shd w:val="clear" w:color="auto" w:fill="auto"/>
          <w:lang w:val="en-US" w:eastAsia="zh-CN"/>
        </w:rPr>
        <w:t>300</w:t>
      </w:r>
      <w:r>
        <w:rPr>
          <w:rFonts w:hint="eastAsia" w:ascii="仿宋_GB2312" w:hAnsi="仿宋_GB2312" w:eastAsia="仿宋_GB2312" w:cs="仿宋_GB2312"/>
          <w:color w:val="000000"/>
          <w:sz w:val="32"/>
          <w:szCs w:val="32"/>
          <w:highlight w:val="none"/>
          <w:shd w:val="clear" w:color="auto" w:fill="auto"/>
        </w:rPr>
        <w:t>次，查处扬尘问题</w:t>
      </w:r>
      <w:r>
        <w:rPr>
          <w:rFonts w:hint="eastAsia" w:ascii="仿宋_GB2312" w:hAnsi="仿宋_GB2312" w:eastAsia="仿宋_GB2312" w:cs="仿宋_GB2312"/>
          <w:color w:val="000000"/>
          <w:sz w:val="32"/>
          <w:szCs w:val="32"/>
          <w:highlight w:val="none"/>
          <w:shd w:val="clear" w:color="auto" w:fill="auto"/>
          <w:lang w:val="en-US" w:eastAsia="zh-CN"/>
        </w:rPr>
        <w:t>69</w:t>
      </w:r>
      <w:r>
        <w:rPr>
          <w:rFonts w:hint="eastAsia" w:ascii="仿宋_GB2312" w:hAnsi="仿宋_GB2312" w:eastAsia="仿宋_GB2312" w:cs="仿宋_GB2312"/>
          <w:color w:val="000000"/>
          <w:sz w:val="32"/>
          <w:szCs w:val="32"/>
          <w:highlight w:val="none"/>
          <w:shd w:val="clear" w:color="auto" w:fill="auto"/>
        </w:rPr>
        <w:t>起；建立、更新小微工地台</w:t>
      </w:r>
      <w:r>
        <w:rPr>
          <w:rFonts w:hint="eastAsia" w:ascii="仿宋_GB2312" w:hAnsi="仿宋_GB2312" w:eastAsia="仿宋_GB2312" w:cs="仿宋_GB2312"/>
          <w:color w:val="000000"/>
          <w:sz w:val="32"/>
          <w:szCs w:val="32"/>
          <w:highlight w:val="none"/>
          <w:shd w:val="clear" w:color="auto" w:fill="auto"/>
          <w:lang w:eastAsia="zh-CN"/>
        </w:rPr>
        <w:t>账</w:t>
      </w:r>
      <w:r>
        <w:rPr>
          <w:rFonts w:hint="eastAsia" w:ascii="仿宋_GB2312" w:hAnsi="仿宋_GB2312" w:eastAsia="仿宋_GB2312" w:cs="仿宋_GB2312"/>
          <w:color w:val="000000"/>
          <w:sz w:val="32"/>
          <w:szCs w:val="32"/>
          <w:highlight w:val="none"/>
          <w:shd w:val="clear" w:color="auto" w:fill="auto"/>
          <w:lang w:val="en-US" w:eastAsia="zh-CN"/>
        </w:rPr>
        <w:t>142</w:t>
      </w:r>
      <w:r>
        <w:rPr>
          <w:rFonts w:hint="eastAsia" w:ascii="仿宋_GB2312" w:hAnsi="仿宋_GB2312" w:eastAsia="仿宋_GB2312" w:cs="仿宋_GB2312"/>
          <w:color w:val="000000"/>
          <w:sz w:val="32"/>
          <w:szCs w:val="32"/>
          <w:highlight w:val="none"/>
          <w:shd w:val="clear" w:color="auto" w:fill="auto"/>
        </w:rPr>
        <w:t>处，小微工地管理覆盖率</w:t>
      </w:r>
      <w:r>
        <w:rPr>
          <w:rFonts w:hint="eastAsia" w:ascii="仿宋_GB2312" w:hAnsi="仿宋_GB2312" w:eastAsia="仿宋_GB2312" w:cs="仿宋_GB2312"/>
          <w:color w:val="000000"/>
          <w:sz w:val="32"/>
          <w:szCs w:val="32"/>
          <w:highlight w:val="none"/>
          <w:shd w:val="clear" w:color="auto" w:fill="auto"/>
          <w:lang w:val="en-US" w:eastAsia="zh-CN"/>
        </w:rPr>
        <w:t>85</w:t>
      </w:r>
      <w:r>
        <w:rPr>
          <w:rFonts w:hint="eastAsia" w:ascii="仿宋_GB2312" w:hAnsi="仿宋_GB2312" w:eastAsia="仿宋_GB2312" w:cs="仿宋_GB2312"/>
          <w:color w:val="000000"/>
          <w:sz w:val="32"/>
          <w:szCs w:val="32"/>
          <w:highlight w:val="none"/>
          <w:shd w:val="clear" w:color="auto" w:fill="auto"/>
        </w:rPr>
        <w:t>%；苫盖、补植裸地</w:t>
      </w:r>
      <w:r>
        <w:rPr>
          <w:rFonts w:hint="eastAsia" w:ascii="仿宋_GB2312" w:hAnsi="仿宋_GB2312" w:eastAsia="仿宋_GB2312" w:cs="仿宋_GB2312"/>
          <w:color w:val="000000"/>
          <w:sz w:val="32"/>
          <w:szCs w:val="32"/>
          <w:highlight w:val="none"/>
          <w:shd w:val="clear" w:color="auto" w:fill="auto"/>
          <w:lang w:val="en-US" w:eastAsia="zh-CN"/>
        </w:rPr>
        <w:t>16000</w:t>
      </w:r>
      <w:r>
        <w:rPr>
          <w:rFonts w:hint="eastAsia" w:ascii="仿宋_GB2312" w:hAnsi="仿宋_GB2312" w:eastAsia="仿宋_GB2312" w:cs="仿宋_GB2312"/>
          <w:color w:val="000000"/>
          <w:sz w:val="32"/>
          <w:szCs w:val="32"/>
          <w:highlight w:val="none"/>
          <w:shd w:val="clear" w:color="auto" w:fill="auto"/>
        </w:rPr>
        <w:t>平方米，苫盖破损树坑</w:t>
      </w:r>
      <w:r>
        <w:rPr>
          <w:rFonts w:hint="eastAsia" w:ascii="仿宋_GB2312" w:hAnsi="仿宋_GB2312" w:eastAsia="仿宋_GB2312" w:cs="仿宋_GB2312"/>
          <w:color w:val="000000"/>
          <w:sz w:val="32"/>
          <w:szCs w:val="32"/>
          <w:highlight w:val="none"/>
          <w:shd w:val="clear" w:color="auto" w:fill="auto"/>
          <w:lang w:val="en-US" w:eastAsia="zh-CN"/>
        </w:rPr>
        <w:t>3315</w:t>
      </w:r>
      <w:r>
        <w:rPr>
          <w:rFonts w:hint="eastAsia" w:ascii="仿宋_GB2312" w:hAnsi="仿宋_GB2312" w:eastAsia="仿宋_GB2312" w:cs="仿宋_GB2312"/>
          <w:color w:val="000000"/>
          <w:sz w:val="32"/>
          <w:szCs w:val="32"/>
          <w:highlight w:val="none"/>
          <w:shd w:val="clear" w:color="auto" w:fill="auto"/>
        </w:rPr>
        <w:t>个。</w:t>
      </w:r>
      <w:r>
        <w:rPr>
          <w:rFonts w:hint="eastAsia" w:ascii="仿宋_GB2312" w:hAnsi="仿宋_GB2312" w:eastAsia="仿宋_GB2312" w:cs="仿宋_GB2312"/>
          <w:color w:val="000000"/>
          <w:sz w:val="32"/>
          <w:szCs w:val="32"/>
          <w:highlight w:val="none"/>
          <w:shd w:val="clear" w:color="auto" w:fill="auto"/>
          <w:lang w:eastAsia="zh-CN"/>
        </w:rPr>
        <w:t>全年</w:t>
      </w:r>
      <w:r>
        <w:rPr>
          <w:rFonts w:hint="eastAsia" w:ascii="仿宋_GB2312" w:hAnsi="仿宋_GB2312" w:eastAsia="仿宋_GB2312" w:cs="仿宋_GB2312"/>
          <w:color w:val="000000"/>
          <w:sz w:val="32"/>
          <w:szCs w:val="32"/>
          <w:highlight w:val="none"/>
          <w:shd w:val="clear" w:color="auto" w:fill="auto"/>
        </w:rPr>
        <w:t>地区PM2.5累计浓度</w:t>
      </w:r>
      <w:r>
        <w:rPr>
          <w:rFonts w:hint="eastAsia" w:ascii="仿宋_GB2312" w:hAnsi="仿宋_GB2312" w:eastAsia="仿宋_GB2312" w:cs="仿宋_GB2312"/>
          <w:color w:val="000000"/>
          <w:sz w:val="32"/>
          <w:szCs w:val="32"/>
          <w:highlight w:val="none"/>
          <w:shd w:val="clear" w:color="auto" w:fill="auto"/>
          <w:lang w:eastAsia="zh-CN"/>
        </w:rPr>
        <w:t>同比改善</w:t>
      </w:r>
      <w:r>
        <w:rPr>
          <w:rFonts w:hint="eastAsia" w:ascii="仿宋_GB2312" w:hAnsi="仿宋_GB2312" w:eastAsia="仿宋_GB2312" w:cs="仿宋_GB2312"/>
          <w:color w:val="000000"/>
          <w:sz w:val="32"/>
          <w:szCs w:val="32"/>
          <w:highlight w:val="none"/>
          <w:shd w:val="clear" w:color="auto" w:fill="auto"/>
          <w:lang w:val="en-US" w:eastAsia="zh-CN"/>
        </w:rPr>
        <w:t>14</w:t>
      </w:r>
      <w:r>
        <w:rPr>
          <w:rFonts w:hint="eastAsia" w:ascii="仿宋_GB2312" w:hAnsi="仿宋_GB2312" w:eastAsia="仿宋_GB2312" w:cs="仿宋_GB2312"/>
          <w:color w:val="000000"/>
          <w:sz w:val="32"/>
          <w:szCs w:val="32"/>
          <w:highlight w:val="none"/>
          <w:shd w:val="clear" w:color="auto" w:fill="auto"/>
        </w:rPr>
        <w:t>.3%</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TSP累计浓度同比改善</w:t>
      </w:r>
      <w:r>
        <w:rPr>
          <w:rFonts w:hint="eastAsia" w:ascii="仿宋_GB2312" w:hAnsi="仿宋_GB2312" w:eastAsia="仿宋_GB2312" w:cs="仿宋_GB2312"/>
          <w:color w:val="000000"/>
          <w:sz w:val="32"/>
          <w:szCs w:val="32"/>
          <w:highlight w:val="none"/>
          <w:shd w:val="clear" w:color="auto" w:fill="auto"/>
          <w:lang w:val="en-US" w:eastAsia="zh-CN"/>
        </w:rPr>
        <w:t>4</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val="en-US" w:eastAsia="zh-CN"/>
        </w:rPr>
        <w:t>6</w:t>
      </w:r>
      <w:r>
        <w:rPr>
          <w:rFonts w:hint="eastAsia" w:ascii="仿宋_GB2312" w:hAnsi="仿宋_GB2312" w:eastAsia="仿宋_GB2312" w:cs="仿宋_GB2312"/>
          <w:color w:val="000000"/>
          <w:sz w:val="32"/>
          <w:szCs w:val="32"/>
          <w:highlight w:val="none"/>
          <w:shd w:val="clear" w:color="auto" w:fill="auto"/>
        </w:rPr>
        <w:t>%。以辖区“两河”管理为重点，强化河长制工作落实。各级河长共开展7040次巡河工作，巡河里程8900余公里，处理各类涉河问题180余件。凉水河水质IV级、通惠河水质IV级均</w:t>
      </w:r>
      <w:r>
        <w:rPr>
          <w:rFonts w:hint="eastAsia" w:ascii="仿宋_GB2312" w:hAnsi="仿宋_GB2312" w:eastAsia="仿宋_GB2312" w:cs="仿宋_GB2312"/>
          <w:color w:val="000000"/>
          <w:sz w:val="32"/>
          <w:szCs w:val="32"/>
          <w:highlight w:val="none"/>
          <w:shd w:val="clear" w:color="auto" w:fill="auto"/>
          <w:lang w:eastAsia="zh-CN"/>
        </w:rPr>
        <w:t>已</w:t>
      </w:r>
      <w:r>
        <w:rPr>
          <w:rFonts w:hint="eastAsia" w:ascii="仿宋_GB2312" w:hAnsi="仿宋_GB2312" w:eastAsia="仿宋_GB2312" w:cs="仿宋_GB2312"/>
          <w:color w:val="000000"/>
          <w:sz w:val="32"/>
          <w:szCs w:val="32"/>
          <w:highlight w:val="none"/>
          <w:shd w:val="clear" w:color="auto" w:fill="auto"/>
        </w:rPr>
        <w:t>达标。</w:t>
      </w:r>
    </w:p>
    <w:p>
      <w:pPr>
        <w:pStyle w:val="7"/>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hAnsi="仿宋_GB2312" w:cs="仿宋_GB2312"/>
          <w:b/>
          <w:bCs/>
          <w:color w:val="000000"/>
          <w:sz w:val="32"/>
          <w:szCs w:val="32"/>
          <w:highlight w:val="none"/>
          <w:shd w:val="clear" w:color="auto" w:fill="auto"/>
        </w:rPr>
        <w:t>3.居民生活环境更加宜居</w:t>
      </w:r>
      <w:r>
        <w:rPr>
          <w:rFonts w:hint="eastAsia" w:hAnsi="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kern w:val="2"/>
          <w:sz w:val="32"/>
          <w:szCs w:val="32"/>
          <w:highlight w:val="none"/>
          <w:shd w:val="clear" w:color="auto" w:fill="auto"/>
          <w:lang w:val="en-US" w:eastAsia="zh-CN" w:bidi="ar-SA"/>
        </w:rPr>
        <w:t>以居民需求为指挥棒，把“民生工程”办成“民心工程”。完成</w:t>
      </w:r>
      <w:r>
        <w:rPr>
          <w:rFonts w:hint="eastAsia" w:hAnsi="仿宋_GB2312" w:cs="仿宋_GB2312"/>
          <w:color w:val="000000"/>
          <w:kern w:val="2"/>
          <w:sz w:val="32"/>
          <w:szCs w:val="32"/>
          <w:highlight w:val="none"/>
          <w:shd w:val="clear" w:color="auto" w:fill="auto"/>
          <w:lang w:val="en-US" w:eastAsia="zh-CN" w:bidi="ar-SA"/>
        </w:rPr>
        <w:t>广外</w:t>
      </w:r>
      <w:r>
        <w:rPr>
          <w:rFonts w:hint="eastAsia" w:ascii="仿宋_GB2312" w:hAnsi="仿宋_GB2312" w:eastAsia="仿宋_GB2312" w:cs="仿宋_GB2312"/>
          <w:color w:val="000000"/>
          <w:kern w:val="2"/>
          <w:sz w:val="32"/>
          <w:szCs w:val="32"/>
          <w:highlight w:val="none"/>
          <w:shd w:val="clear" w:color="auto" w:fill="auto"/>
          <w:lang w:val="en-US" w:eastAsia="zh-CN" w:bidi="ar-SA"/>
        </w:rPr>
        <w:t>南街甲47号楼、</w:t>
      </w:r>
      <w:r>
        <w:rPr>
          <w:rFonts w:hint="eastAsia" w:hAnsi="仿宋_GB2312" w:cs="仿宋_GB2312"/>
          <w:color w:val="000000"/>
          <w:kern w:val="2"/>
          <w:sz w:val="32"/>
          <w:szCs w:val="32"/>
          <w:highlight w:val="none"/>
          <w:shd w:val="clear" w:color="auto" w:fill="auto"/>
          <w:lang w:val="en-US" w:eastAsia="zh-CN" w:bidi="ar-SA"/>
        </w:rPr>
        <w:t>广外</w:t>
      </w:r>
      <w:r>
        <w:rPr>
          <w:rFonts w:hint="eastAsia" w:ascii="仿宋_GB2312" w:hAnsi="仿宋_GB2312" w:eastAsia="仿宋_GB2312" w:cs="仿宋_GB2312"/>
          <w:color w:val="000000"/>
          <w:kern w:val="2"/>
          <w:sz w:val="32"/>
          <w:szCs w:val="32"/>
          <w:highlight w:val="none"/>
          <w:shd w:val="clear" w:color="auto" w:fill="auto"/>
          <w:lang w:val="en-US" w:eastAsia="zh-CN" w:bidi="ar-SA"/>
        </w:rPr>
        <w:t>南街戊26号楼等9个老旧小区改造项目。积极</w:t>
      </w:r>
      <w:r>
        <w:rPr>
          <w:rFonts w:hint="eastAsia" w:hAnsi="仿宋_GB2312" w:cs="仿宋_GB2312"/>
          <w:color w:val="000000"/>
          <w:kern w:val="2"/>
          <w:sz w:val="32"/>
          <w:szCs w:val="32"/>
          <w:highlight w:val="none"/>
          <w:shd w:val="clear" w:color="auto" w:fill="auto"/>
          <w:lang w:val="en-US" w:eastAsia="zh-CN" w:bidi="ar-SA"/>
        </w:rPr>
        <w:t>开展</w:t>
      </w:r>
      <w:r>
        <w:rPr>
          <w:rFonts w:hint="eastAsia" w:ascii="仿宋_GB2312" w:hAnsi="仿宋_GB2312" w:eastAsia="仿宋_GB2312" w:cs="仿宋_GB2312"/>
          <w:color w:val="000000"/>
          <w:kern w:val="2"/>
          <w:sz w:val="32"/>
          <w:szCs w:val="32"/>
          <w:highlight w:val="none"/>
          <w:shd w:val="clear" w:color="auto" w:fill="auto"/>
          <w:lang w:val="en-US" w:eastAsia="zh-CN" w:bidi="ar-SA"/>
        </w:rPr>
        <w:t>恒昌花园小区污水管线改造及围墙修复项目、马西里7、8号楼东侧平房雨污水管线改造及地面翻修项目、红莲路南段精细化提升项目等13个市级街道整治提升项目</w:t>
      </w:r>
      <w:r>
        <w:rPr>
          <w:rFonts w:hint="eastAsia" w:hAnsi="仿宋_GB2312" w:cs="仿宋_GB2312"/>
          <w:color w:val="000000"/>
          <w:kern w:val="2"/>
          <w:sz w:val="32"/>
          <w:szCs w:val="32"/>
          <w:highlight w:val="none"/>
          <w:shd w:val="clear" w:color="auto" w:fill="auto"/>
          <w:lang w:val="en-US" w:eastAsia="zh-CN" w:bidi="ar-SA"/>
        </w:rPr>
        <w:t>，现已全部完工</w:t>
      </w:r>
      <w:r>
        <w:rPr>
          <w:rFonts w:hint="eastAsia" w:ascii="仿宋_GB2312" w:hAnsi="仿宋_GB2312" w:eastAsia="仿宋_GB2312" w:cs="仿宋_GB2312"/>
          <w:color w:val="000000"/>
          <w:kern w:val="2"/>
          <w:sz w:val="32"/>
          <w:szCs w:val="32"/>
          <w:highlight w:val="none"/>
          <w:shd w:val="clear" w:color="auto" w:fill="auto"/>
          <w:lang w:val="en-US" w:eastAsia="zh-CN" w:bidi="ar-SA"/>
        </w:rPr>
        <w:t>。配合推进天宁寺东里3号楼等34个老旧楼房上下水改造工程，其中三义里6号楼上下水改造项目已完成，获居民认可点赞。新增天宁寺前街、鸭子桥路等5条道路路侧停车，施划停车泊位147个。</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shd w:val="clear" w:color="auto" w:fill="auto"/>
          <w:lang w:eastAsia="zh-CN"/>
        </w:rPr>
      </w:pP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四</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坚持“</w:t>
      </w:r>
      <w:r>
        <w:rPr>
          <w:rFonts w:hint="eastAsia" w:ascii="楷体_GB2312" w:hAnsi="楷体_GB2312" w:eastAsia="楷体_GB2312" w:cs="楷体_GB2312"/>
          <w:sz w:val="32"/>
          <w:szCs w:val="32"/>
          <w:highlight w:val="none"/>
          <w:shd w:val="clear" w:color="auto" w:fill="auto"/>
        </w:rPr>
        <w:t>平安</w:t>
      </w:r>
      <w:r>
        <w:rPr>
          <w:rFonts w:hint="eastAsia" w:ascii="楷体_GB2312" w:hAnsi="楷体_GB2312" w:eastAsia="楷体_GB2312" w:cs="楷体_GB2312"/>
          <w:sz w:val="32"/>
          <w:szCs w:val="32"/>
          <w:highlight w:val="none"/>
          <w:shd w:val="clear" w:color="auto" w:fill="auto"/>
          <w:lang w:eastAsia="zh-CN"/>
        </w:rPr>
        <w:t>广外”</w:t>
      </w:r>
      <w:r>
        <w:rPr>
          <w:rFonts w:hint="eastAsia" w:ascii="楷体_GB2312" w:hAnsi="楷体_GB2312" w:eastAsia="楷体_GB2312" w:cs="楷体_GB2312"/>
          <w:sz w:val="32"/>
          <w:szCs w:val="32"/>
          <w:highlight w:val="none"/>
          <w:shd w:val="clear" w:color="auto" w:fill="auto"/>
        </w:rPr>
        <w:t>建设</w:t>
      </w:r>
      <w:r>
        <w:rPr>
          <w:rFonts w:hint="eastAsia" w:ascii="楷体_GB2312" w:hAnsi="楷体_GB2312" w:eastAsia="楷体_GB2312" w:cs="楷体_GB2312"/>
          <w:sz w:val="32"/>
          <w:szCs w:val="32"/>
          <w:highlight w:val="none"/>
          <w:shd w:val="clear" w:color="auto" w:fill="auto"/>
          <w:lang w:eastAsia="zh-CN"/>
        </w:rPr>
        <w:t>，安全稳定基础持续巩固完善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b/>
          <w:bCs/>
          <w:color w:val="000000"/>
          <w:kern w:val="0"/>
          <w:sz w:val="32"/>
          <w:szCs w:val="32"/>
          <w:highlight w:val="none"/>
          <w:shd w:val="clear" w:color="auto" w:fill="auto"/>
        </w:rPr>
        <w:t>1.</w:t>
      </w:r>
      <w:r>
        <w:rPr>
          <w:rFonts w:hint="eastAsia" w:ascii="仿宋_GB2312" w:hAnsi="仿宋_GB2312" w:eastAsia="仿宋_GB2312" w:cs="仿宋_GB2312"/>
          <w:b/>
          <w:bCs/>
          <w:color w:val="000000"/>
          <w:kern w:val="0"/>
          <w:sz w:val="32"/>
          <w:szCs w:val="32"/>
          <w:highlight w:val="none"/>
          <w:shd w:val="clear" w:color="auto" w:fill="auto"/>
          <w:lang w:eastAsia="zh-CN"/>
        </w:rPr>
        <w:t>居民安全指数不断刷新。</w:t>
      </w:r>
      <w:r>
        <w:rPr>
          <w:rFonts w:hint="eastAsia" w:ascii="仿宋_GB2312" w:hAnsi="仿宋_GB2312" w:eastAsia="仿宋_GB2312" w:cs="仿宋_GB2312"/>
          <w:color w:val="000000"/>
          <w:sz w:val="32"/>
          <w:szCs w:val="32"/>
          <w:highlight w:val="none"/>
          <w:shd w:val="clear" w:color="auto" w:fill="auto"/>
          <w:lang w:val="en-US" w:eastAsia="zh-CN"/>
        </w:rPr>
        <w:t>圆满完成北京冬奥会冬残奥会、全国“两会”、党的“二十大”等</w:t>
      </w:r>
      <w:r>
        <w:rPr>
          <w:rFonts w:hint="eastAsia" w:ascii="仿宋_GB2312" w:hAnsi="仿宋_GB2312" w:eastAsia="仿宋_GB2312" w:cs="仿宋_GB2312"/>
          <w:color w:val="000000"/>
          <w:sz w:val="32"/>
          <w:szCs w:val="32"/>
          <w:highlight w:val="none"/>
          <w:shd w:val="clear" w:color="auto" w:fill="auto"/>
        </w:rPr>
        <w:t>重大活动</w:t>
      </w:r>
      <w:r>
        <w:rPr>
          <w:rFonts w:hint="eastAsia" w:ascii="仿宋_GB2312" w:hAnsi="仿宋_GB2312" w:eastAsia="仿宋_GB2312" w:cs="仿宋_GB2312"/>
          <w:color w:val="000000"/>
          <w:sz w:val="32"/>
          <w:szCs w:val="32"/>
          <w:highlight w:val="none"/>
          <w:shd w:val="clear" w:color="auto" w:fill="auto"/>
          <w:lang w:eastAsia="zh-CN"/>
        </w:rPr>
        <w:t>、会议</w:t>
      </w:r>
      <w:r>
        <w:rPr>
          <w:rFonts w:hint="eastAsia" w:ascii="仿宋_GB2312" w:hAnsi="仿宋_GB2312" w:eastAsia="仿宋_GB2312" w:cs="仿宋_GB2312"/>
          <w:color w:val="000000"/>
          <w:sz w:val="32"/>
          <w:szCs w:val="32"/>
          <w:highlight w:val="none"/>
          <w:shd w:val="clear" w:color="auto" w:fill="auto"/>
        </w:rPr>
        <w:t>服务保障工作。加速推进智慧平安小区建设，完成地区39个封闭小区、114个开放式小区实地探勘和建设方案制定。</w:t>
      </w:r>
      <w:r>
        <w:rPr>
          <w:rFonts w:hint="eastAsia" w:ascii="仿宋_GB2312" w:hAnsi="仿宋_GB2312" w:eastAsia="仿宋_GB2312" w:cs="仿宋_GB2312"/>
          <w:color w:val="000000"/>
          <w:sz w:val="32"/>
          <w:szCs w:val="32"/>
          <w:highlight w:val="none"/>
          <w:shd w:val="clear" w:color="auto" w:fill="auto"/>
          <w:lang w:eastAsia="zh-CN"/>
        </w:rPr>
        <w:t>为</w:t>
      </w:r>
      <w:r>
        <w:rPr>
          <w:rFonts w:hint="eastAsia" w:ascii="仿宋_GB2312" w:hAnsi="仿宋_GB2312" w:eastAsia="仿宋_GB2312" w:cs="仿宋_GB2312"/>
          <w:color w:val="000000"/>
          <w:sz w:val="32"/>
          <w:szCs w:val="32"/>
          <w:highlight w:val="none"/>
          <w:shd w:val="clear" w:color="auto" w:fill="auto"/>
          <w:lang w:val="en-US" w:eastAsia="zh-CN"/>
        </w:rPr>
        <w:t>8</w:t>
      </w:r>
      <w:r>
        <w:rPr>
          <w:rFonts w:hint="eastAsia" w:ascii="仿宋_GB2312" w:hAnsi="仿宋_GB2312" w:eastAsia="仿宋_GB2312" w:cs="仿宋_GB2312"/>
          <w:color w:val="000000"/>
          <w:sz w:val="32"/>
          <w:szCs w:val="32"/>
          <w:highlight w:val="none"/>
          <w:shd w:val="clear" w:color="auto" w:fill="auto"/>
        </w:rPr>
        <w:t>00户居民更换门户C级锁芯。对辖区物技防设备进行</w:t>
      </w:r>
      <w:r>
        <w:rPr>
          <w:rFonts w:hint="eastAsia" w:ascii="仿宋_GB2312" w:hAnsi="仿宋_GB2312" w:eastAsia="仿宋_GB2312" w:cs="仿宋_GB2312"/>
          <w:color w:val="000000"/>
          <w:sz w:val="32"/>
          <w:szCs w:val="32"/>
          <w:highlight w:val="none"/>
          <w:shd w:val="clear" w:color="auto" w:fill="auto"/>
          <w:lang w:eastAsia="zh-CN"/>
        </w:rPr>
        <w:t>全面排查、</w:t>
      </w:r>
      <w:r>
        <w:rPr>
          <w:rFonts w:hint="eastAsia" w:ascii="仿宋_GB2312" w:hAnsi="仿宋_GB2312" w:eastAsia="仿宋_GB2312" w:cs="仿宋_GB2312"/>
          <w:color w:val="000000"/>
          <w:sz w:val="32"/>
          <w:szCs w:val="32"/>
          <w:highlight w:val="none"/>
          <w:shd w:val="clear" w:color="auto" w:fill="auto"/>
        </w:rPr>
        <w:t>维护，有效提高技防设施使用率。</w:t>
      </w:r>
      <w:bookmarkStart w:id="0" w:name="OLE_LINK2"/>
      <w:bookmarkStart w:id="1" w:name="OLE_LINK1"/>
      <w:bookmarkStart w:id="2" w:name="OLE_LINK8"/>
      <w:r>
        <w:rPr>
          <w:rFonts w:hint="eastAsia" w:ascii="仿宋_GB2312" w:hAnsi="仿宋_GB2312" w:eastAsia="仿宋_GB2312" w:cs="仿宋_GB2312"/>
          <w:color w:val="000000"/>
          <w:sz w:val="32"/>
          <w:szCs w:val="32"/>
          <w:highlight w:val="none"/>
          <w:shd w:val="clear" w:color="auto" w:fill="auto"/>
        </w:rPr>
        <w:t>深化“平安</w:t>
      </w:r>
      <w:r>
        <w:rPr>
          <w:rFonts w:hint="eastAsia" w:ascii="仿宋_GB2312" w:hAnsi="仿宋_GB2312" w:eastAsia="仿宋_GB2312" w:cs="仿宋_GB2312"/>
          <w:color w:val="000000"/>
          <w:sz w:val="32"/>
          <w:szCs w:val="32"/>
          <w:highlight w:val="none"/>
          <w:shd w:val="clear" w:color="auto" w:fill="auto"/>
          <w:lang w:eastAsia="zh-CN"/>
        </w:rPr>
        <w:t>铁路”建设，严格落实双段长机制，整治铁路安全问题</w:t>
      </w:r>
      <w:r>
        <w:rPr>
          <w:rFonts w:hint="default" w:ascii="仿宋_GB2312" w:hAnsi="仿宋_GB2312" w:eastAsia="仿宋_GB2312" w:cs="仿宋_GB2312"/>
          <w:color w:val="000000"/>
          <w:sz w:val="32"/>
          <w:szCs w:val="32"/>
          <w:highlight w:val="none"/>
          <w:shd w:val="clear" w:color="auto" w:fill="auto"/>
          <w:lang w:val="en-US" w:eastAsia="zh-CN"/>
        </w:rPr>
        <w:t>150</w:t>
      </w:r>
      <w:r>
        <w:rPr>
          <w:rFonts w:hint="eastAsia" w:ascii="仿宋_GB2312" w:hAnsi="仿宋_GB2312" w:eastAsia="仿宋_GB2312" w:cs="仿宋_GB2312"/>
          <w:color w:val="000000"/>
          <w:sz w:val="32"/>
          <w:szCs w:val="32"/>
          <w:highlight w:val="none"/>
          <w:shd w:val="clear" w:color="auto" w:fill="auto"/>
          <w:lang w:val="en-US" w:eastAsia="zh-CN"/>
        </w:rPr>
        <w:t>余</w:t>
      </w:r>
      <w:r>
        <w:rPr>
          <w:rFonts w:hint="eastAsia" w:ascii="仿宋_GB2312" w:hAnsi="仿宋_GB2312" w:eastAsia="仿宋_GB2312" w:cs="仿宋_GB2312"/>
          <w:color w:val="000000"/>
          <w:sz w:val="32"/>
          <w:szCs w:val="32"/>
          <w:highlight w:val="none"/>
          <w:shd w:val="clear" w:color="auto" w:fill="auto"/>
          <w:lang w:eastAsia="zh-CN"/>
        </w:rPr>
        <w:t>处，积极推进铁路沿线廊道整治“消隐促建”工作，拆除</w:t>
      </w:r>
      <w:r>
        <w:rPr>
          <w:rFonts w:hint="eastAsia" w:ascii="仿宋_GB2312" w:hAnsi="仿宋_GB2312" w:eastAsia="仿宋_GB2312" w:cs="仿宋_GB2312"/>
          <w:color w:val="000000"/>
          <w:sz w:val="32"/>
          <w:szCs w:val="32"/>
          <w:highlight w:val="none"/>
          <w:shd w:val="clear" w:color="auto" w:fill="auto"/>
        </w:rPr>
        <w:t>市区挂账点位6处共计321</w:t>
      </w:r>
      <w:r>
        <w:rPr>
          <w:rFonts w:hint="eastAsia" w:ascii="仿宋_GB2312" w:hAnsi="仿宋_GB2312" w:eastAsia="仿宋_GB2312" w:cs="仿宋_GB2312"/>
          <w:color w:val="000000"/>
          <w:sz w:val="32"/>
          <w:szCs w:val="32"/>
          <w:highlight w:val="none"/>
          <w:shd w:val="clear" w:color="auto" w:fill="auto"/>
          <w:lang w:val="en-US" w:eastAsia="zh-CN"/>
        </w:rPr>
        <w:t>0平方米</w:t>
      </w:r>
      <w:r>
        <w:rPr>
          <w:rFonts w:hint="eastAsia" w:ascii="仿宋_GB2312" w:hAnsi="仿宋_GB2312" w:eastAsia="仿宋_GB2312" w:cs="仿宋_GB2312"/>
          <w:color w:val="000000"/>
          <w:sz w:val="32"/>
          <w:szCs w:val="32"/>
          <w:highlight w:val="none"/>
          <w:shd w:val="clear" w:color="auto" w:fill="auto"/>
        </w:rPr>
        <w:t>。落实矛盾化解主体责任，化解重点矛盾案件1</w:t>
      </w:r>
      <w:r>
        <w:rPr>
          <w:rFonts w:hint="eastAsia" w:ascii="仿宋_GB2312" w:hAnsi="仿宋_GB2312" w:eastAsia="仿宋_GB2312" w:cs="仿宋_GB2312"/>
          <w:color w:val="000000"/>
          <w:sz w:val="32"/>
          <w:szCs w:val="32"/>
          <w:highlight w:val="none"/>
          <w:shd w:val="clear" w:color="auto" w:fill="auto"/>
          <w:lang w:val="en-US" w:eastAsia="zh-CN"/>
        </w:rPr>
        <w:t>5</w:t>
      </w:r>
      <w:r>
        <w:rPr>
          <w:rFonts w:hint="eastAsia" w:ascii="仿宋_GB2312" w:hAnsi="仿宋_GB2312" w:eastAsia="仿宋_GB2312" w:cs="仿宋_GB2312"/>
          <w:color w:val="000000"/>
          <w:sz w:val="32"/>
          <w:szCs w:val="32"/>
          <w:highlight w:val="none"/>
          <w:shd w:val="clear" w:color="auto" w:fill="auto"/>
        </w:rPr>
        <w:t>件，全国初信初访考核好评率100%。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b/>
          <w:bCs/>
          <w:color w:val="000000"/>
          <w:sz w:val="32"/>
          <w:szCs w:val="32"/>
          <w:highlight w:val="none"/>
          <w:shd w:val="clear" w:color="auto" w:fill="auto"/>
          <w:lang w:val="en-US" w:eastAsia="zh-CN"/>
        </w:rPr>
        <w:t>2.</w:t>
      </w:r>
      <w:r>
        <w:rPr>
          <w:rFonts w:hint="eastAsia" w:ascii="仿宋_GB2312" w:hAnsi="仿宋_GB2312" w:eastAsia="仿宋_GB2312" w:cs="仿宋_GB2312"/>
          <w:b/>
          <w:bCs/>
          <w:color w:val="000000"/>
          <w:sz w:val="32"/>
          <w:szCs w:val="32"/>
          <w:highlight w:val="none"/>
          <w:shd w:val="clear" w:color="auto" w:fill="auto"/>
        </w:rPr>
        <w:t>安全生产监督</w:t>
      </w:r>
      <w:r>
        <w:rPr>
          <w:rFonts w:hint="eastAsia" w:ascii="仿宋_GB2312" w:hAnsi="仿宋_GB2312" w:eastAsia="仿宋_GB2312" w:cs="仿宋_GB2312"/>
          <w:b/>
          <w:bCs/>
          <w:color w:val="000000"/>
          <w:sz w:val="32"/>
          <w:szCs w:val="32"/>
          <w:highlight w:val="none"/>
          <w:shd w:val="clear" w:color="auto" w:fill="auto"/>
          <w:lang w:eastAsia="zh-CN"/>
        </w:rPr>
        <w:t>更有力度。</w:t>
      </w:r>
      <w:r>
        <w:rPr>
          <w:rFonts w:hint="eastAsia" w:ascii="仿宋_GB2312" w:hAnsi="仿宋_GB2312" w:eastAsia="仿宋_GB2312" w:cs="仿宋_GB2312"/>
          <w:color w:val="000000"/>
          <w:sz w:val="32"/>
          <w:szCs w:val="32"/>
          <w:highlight w:val="none"/>
          <w:shd w:val="clear" w:color="auto" w:fill="auto"/>
        </w:rPr>
        <w:t>落实安全生产“</w:t>
      </w:r>
      <w:r>
        <w:rPr>
          <w:rFonts w:hint="eastAsia" w:ascii="仿宋_GB2312" w:hAnsi="仿宋_GB2312" w:eastAsia="仿宋_GB2312" w:cs="仿宋_GB2312"/>
          <w:color w:val="000000"/>
          <w:sz w:val="32"/>
          <w:szCs w:val="32"/>
          <w:highlight w:val="none"/>
          <w:shd w:val="clear" w:color="auto" w:fill="auto"/>
          <w:lang w:val="en-US" w:eastAsia="zh-CN"/>
        </w:rPr>
        <w:t>党政同责、</w:t>
      </w:r>
      <w:r>
        <w:rPr>
          <w:rFonts w:hint="eastAsia" w:ascii="仿宋_GB2312" w:hAnsi="仿宋_GB2312" w:eastAsia="仿宋_GB2312" w:cs="仿宋_GB2312"/>
          <w:color w:val="000000"/>
          <w:sz w:val="32"/>
          <w:szCs w:val="32"/>
          <w:highlight w:val="none"/>
          <w:shd w:val="clear" w:color="auto" w:fill="auto"/>
        </w:rPr>
        <w:t>一岗双责”要求，紧盯重点场所、重点人员、重点行业，不间断开展安全检查与隐患排查，排查各类生产经营场所9438家次，消除隐患23886处。围绕重大活动和重点时期，有序开展电化学储能电站隐患整治、餐饮燃气安全检查等专项检查行动，保障地区各行各业生产安全。圆满完成3880家企业城市安全风险辨识普查工作。纵深推进人防进社区，完成街道、社区人口疏散图、疏散安置图、就地掩蔽图绘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b/>
          <w:bCs/>
          <w:color w:val="000000"/>
          <w:sz w:val="32"/>
          <w:szCs w:val="32"/>
          <w:highlight w:val="none"/>
          <w:shd w:val="clear" w:color="auto" w:fill="auto"/>
          <w:lang w:val="en-US" w:eastAsia="zh-CN"/>
        </w:rPr>
        <w:t>3.全面构筑消防安全屏障。</w:t>
      </w:r>
      <w:r>
        <w:rPr>
          <w:rFonts w:hint="eastAsia" w:ascii="仿宋_GB2312" w:hAnsi="仿宋_GB2312" w:eastAsia="仿宋_GB2312" w:cs="仿宋_GB2312"/>
          <w:color w:val="000000"/>
          <w:sz w:val="32"/>
          <w:szCs w:val="32"/>
          <w:highlight w:val="none"/>
          <w:shd w:val="clear" w:color="auto" w:fill="auto"/>
          <w:lang w:val="en-US" w:eastAsia="zh-CN"/>
        </w:rPr>
        <w:t>严格火灾隐患执法检查，检查生产经营单位4846家，发现隐患1257处，查封90处，处罚36家。进一步提速“秒级响应”，加快推进建设湾子路口小型消防站，通过电台点名、实地拉动等形位式开展秒响应力量拉动培训980次。多维度提升全民消防安全意识，开展消防科普基地参观、“消防车进社区”演练等线下活动70余场次，创新开展网上直播消防宣传23场次。加快推进电动自行车充电设施安装，新增建设充电柜、充电桩135组，提供充电口1147个。</w:t>
      </w:r>
    </w:p>
    <w:bookmarkEnd w:id="0"/>
    <w:bookmarkEnd w:id="1"/>
    <w:bookmarkEnd w:id="2"/>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shd w:val="clear" w:color="auto" w:fill="auto"/>
          <w:lang w:eastAsia="zh-CN"/>
        </w:rPr>
      </w:pPr>
      <w:bookmarkStart w:id="3" w:name="OLE_LINK15"/>
      <w:bookmarkStart w:id="4" w:name="OLE_LINK18"/>
      <w:bookmarkStart w:id="5" w:name="OLE_LINK17"/>
      <w:bookmarkStart w:id="6" w:name="OLE_LINK16"/>
      <w:bookmarkStart w:id="7" w:name="OLE_LINK14"/>
      <w:bookmarkStart w:id="8" w:name="OLE_LINK12"/>
      <w:bookmarkStart w:id="9" w:name="OLE_LINK13"/>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五</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坚持高质量发展，</w:t>
      </w:r>
      <w:r>
        <w:rPr>
          <w:rFonts w:hint="eastAsia" w:ascii="楷体_GB2312" w:hAnsi="楷体_GB2312" w:eastAsia="楷体_GB2312" w:cs="楷体_GB2312"/>
          <w:sz w:val="32"/>
          <w:szCs w:val="32"/>
          <w:highlight w:val="none"/>
          <w:shd w:val="clear" w:color="auto" w:fill="auto"/>
        </w:rPr>
        <w:t>惠民利企举措</w:t>
      </w:r>
      <w:r>
        <w:rPr>
          <w:rFonts w:hint="eastAsia" w:ascii="楷体_GB2312" w:hAnsi="楷体_GB2312" w:eastAsia="楷体_GB2312" w:cs="楷体_GB2312"/>
          <w:sz w:val="32"/>
          <w:szCs w:val="32"/>
          <w:highlight w:val="none"/>
          <w:shd w:val="clear" w:color="auto" w:fill="auto"/>
          <w:lang w:eastAsia="zh-CN"/>
        </w:rPr>
        <w:t>展现新作为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b/>
          <w:bCs/>
          <w:color w:val="000000"/>
          <w:sz w:val="32"/>
          <w:szCs w:val="32"/>
          <w:highlight w:val="none"/>
          <w:shd w:val="clear" w:color="auto" w:fill="auto"/>
        </w:rPr>
        <w:t>1.</w:t>
      </w:r>
      <w:bookmarkEnd w:id="3"/>
      <w:bookmarkEnd w:id="4"/>
      <w:bookmarkEnd w:id="5"/>
      <w:bookmarkEnd w:id="6"/>
      <w:bookmarkEnd w:id="7"/>
      <w:bookmarkEnd w:id="8"/>
      <w:bookmarkEnd w:id="9"/>
      <w:r>
        <w:rPr>
          <w:rFonts w:hint="eastAsia" w:ascii="仿宋_GB2312" w:hAnsi="仿宋_GB2312" w:eastAsia="仿宋_GB2312" w:cs="仿宋_GB2312"/>
          <w:b/>
          <w:bCs/>
          <w:color w:val="000000"/>
          <w:sz w:val="32"/>
          <w:szCs w:val="32"/>
          <w:highlight w:val="none"/>
          <w:shd w:val="clear" w:color="auto" w:fill="auto"/>
        </w:rPr>
        <w:t>服务功能更加全面优质</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制定《广外街道“接诉即办”工作手册》，打造更加顺畅高效的“接诉即办”组织体系、责任体系和工作体系。全年共承办热线诉求21816件，解决率97.80%、满意率97.15%。进一步优化广外地区营商环境,重点打造“马连道国际·茶·数字孪生街区”，圆满保障2022全球数字经济大会西城分论坛在马连道第三区数字经济产业园顺利举办。制作发放《广外街道中央单位和驻京部队服务手册》，实行处级干部包片联系服务中央单位、重点税源企业工作机制。年内累计联系服务走访重点单位533家次，协助解决各类诉求388个。牵头组织区内相关职能部门开展“送服务进企业”宣讲座谈活动15家次。搭建“红黄蓝”就业服务网络体系，加快推进“数字化就业援助圈”进程，助力1480人成功就业。通过以工代赈等形式，精准做好中小微企业帮扶工作，积极对接辖区内97家中小微企业参与“以工代赈”工作人员共计384人次。</w:t>
      </w:r>
    </w:p>
    <w:p>
      <w:pPr>
        <w:keepNext w:val="0"/>
        <w:keepLines w:val="0"/>
        <w:pageBreakBefore w:val="0"/>
        <w:widowControl w:val="0"/>
        <w:kinsoku/>
        <w:wordWrap/>
        <w:topLinePunct w:val="0"/>
        <w:bidi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FFFFFF" w:fill="D9D9D9"/>
          <w:lang w:eastAsia="zh-CN"/>
        </w:rPr>
      </w:pPr>
      <w:r>
        <w:rPr>
          <w:rFonts w:hint="eastAsia" w:ascii="仿宋_GB2312" w:hAnsi="仿宋_GB2312" w:eastAsia="仿宋_GB2312" w:cs="仿宋_GB2312"/>
          <w:b/>
          <w:bCs/>
          <w:color w:val="000000"/>
          <w:sz w:val="32"/>
          <w:szCs w:val="32"/>
          <w:highlight w:val="none"/>
          <w:shd w:val="clear" w:color="auto" w:fill="auto"/>
        </w:rPr>
        <w:t>2.民生保障更加精准有效</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开展精准救助帮扶个案21户，帮扶次数54次。开展西城区广外街道慈善工作站试点建设工作，打造基层公益慈善平台，助力慈善事业高质量发展。以创建全国医疗保障服务示范点为契机，成立医保服务小分队，为行动不便、卧病在床的群众提供上门服务22次。推行“物业服务+养老服务” 模式，在白菜湾养老服务驿站实行套餐制，根据老年人需求不断调整和完善服务内容，受到了周边老人的好评。全年，累计签约家庭养老床位</w:t>
      </w:r>
      <w:r>
        <w:rPr>
          <w:rFonts w:hint="eastAsia" w:ascii="仿宋_GB2312" w:hAnsi="仿宋_GB2312" w:eastAsia="仿宋_GB2312" w:cs="仿宋_GB2312"/>
          <w:color w:val="000000"/>
          <w:sz w:val="32"/>
          <w:szCs w:val="32"/>
          <w:highlight w:val="none"/>
          <w:shd w:val="clear" w:color="auto" w:fill="auto"/>
          <w:lang w:val="en-US" w:eastAsia="zh-CN"/>
        </w:rPr>
        <w:t>630</w:t>
      </w:r>
      <w:r>
        <w:rPr>
          <w:rFonts w:hint="eastAsia" w:ascii="仿宋_GB2312" w:hAnsi="仿宋_GB2312" w:eastAsia="仿宋_GB2312" w:cs="仿宋_GB2312"/>
          <w:color w:val="000000"/>
          <w:sz w:val="32"/>
          <w:szCs w:val="32"/>
          <w:highlight w:val="none"/>
          <w:shd w:val="clear" w:color="auto" w:fill="auto"/>
          <w:lang w:eastAsia="zh-CN"/>
        </w:rPr>
        <w:t>张、签约基本养老服务对象9</w:t>
      </w:r>
      <w:r>
        <w:rPr>
          <w:rFonts w:hint="eastAsia" w:hAnsi="仿宋_GB2312" w:cs="仿宋_GB2312"/>
          <w:color w:val="000000"/>
          <w:sz w:val="32"/>
          <w:szCs w:val="32"/>
          <w:highlight w:val="none"/>
          <w:shd w:val="clear" w:color="auto" w:fill="auto"/>
          <w:lang w:val="en-US" w:eastAsia="zh-CN"/>
        </w:rPr>
        <w:t>2</w:t>
      </w:r>
      <w:r>
        <w:rPr>
          <w:rFonts w:hint="eastAsia" w:ascii="仿宋_GB2312" w:hAnsi="仿宋_GB2312" w:eastAsia="仿宋_GB2312" w:cs="仿宋_GB2312"/>
          <w:color w:val="000000"/>
          <w:sz w:val="32"/>
          <w:szCs w:val="32"/>
          <w:highlight w:val="none"/>
          <w:shd w:val="clear" w:color="auto" w:fill="auto"/>
          <w:lang w:eastAsia="zh-CN"/>
        </w:rPr>
        <w:t>8人。</w:t>
      </w:r>
    </w:p>
    <w:p>
      <w:pPr>
        <w:keepNext w:val="0"/>
        <w:keepLines w:val="0"/>
        <w:pageBreakBefore w:val="0"/>
        <w:widowControl w:val="0"/>
        <w:kinsoku/>
        <w:wordWrap/>
        <w:topLinePunct w:val="0"/>
        <w:bidi w:val="0"/>
        <w:spacing w:line="560" w:lineRule="exact"/>
        <w:ind w:firstLine="803" w:firstLineChars="250"/>
        <w:textAlignment w:val="auto"/>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Calibri" w:eastAsia="仿宋_GB2312" w:cs="Times New Roman"/>
          <w:b/>
          <w:bCs/>
          <w:color w:val="auto"/>
          <w:sz w:val="32"/>
          <w:szCs w:val="32"/>
          <w:highlight w:val="none"/>
          <w:shd w:val="clear" w:color="auto" w:fill="auto"/>
        </w:rPr>
        <w:t>3.群众生活更加便捷多彩</w:t>
      </w:r>
      <w:r>
        <w:rPr>
          <w:rFonts w:hint="eastAsia" w:ascii="仿宋_GB2312" w:hAnsi="Calibri" w:eastAsia="仿宋_GB2312" w:cs="Times New Roman"/>
          <w:b/>
          <w:bCs/>
          <w:color w:val="auto"/>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推广建成3</w:t>
      </w:r>
      <w:r>
        <w:rPr>
          <w:rFonts w:hint="eastAsia" w:ascii="仿宋_GB2312" w:hAnsi="仿宋_GB2312" w:eastAsia="仿宋_GB2312" w:cs="仿宋_GB2312"/>
          <w:color w:val="000000"/>
          <w:sz w:val="32"/>
          <w:szCs w:val="32"/>
          <w:highlight w:val="none"/>
          <w:shd w:val="clear" w:color="auto" w:fill="auto"/>
          <w:lang w:val="en-US" w:eastAsia="zh-CN"/>
        </w:rPr>
        <w:t>8</w:t>
      </w:r>
      <w:r>
        <w:rPr>
          <w:rFonts w:hint="eastAsia" w:ascii="仿宋_GB2312" w:hAnsi="仿宋_GB2312" w:eastAsia="仿宋_GB2312" w:cs="仿宋_GB2312"/>
          <w:color w:val="000000"/>
          <w:sz w:val="32"/>
          <w:szCs w:val="32"/>
          <w:highlight w:val="none"/>
          <w:shd w:val="clear" w:color="auto" w:fill="auto"/>
          <w:lang w:eastAsia="zh-CN"/>
        </w:rPr>
        <w:t>个社区政务服务站点，构建“1+38”站点网络布局，进一步优化目标群体服务圈。为辖区公共场所购置117个移动坡道、为23个社区购置27台爬楼机，打通助老助残服务“最后一米”。以传统节日为文化载体，构建广外特色文化分馆服务体系，开展线上国学、养生讲座共计</w:t>
      </w:r>
      <w:r>
        <w:rPr>
          <w:rFonts w:hint="eastAsia" w:ascii="仿宋_GB2312" w:hAnsi="仿宋_GB2312" w:eastAsia="仿宋_GB2312" w:cs="仿宋_GB2312"/>
          <w:color w:val="000000"/>
          <w:sz w:val="32"/>
          <w:szCs w:val="32"/>
          <w:highlight w:val="none"/>
          <w:shd w:val="clear" w:color="auto" w:fill="auto"/>
          <w:lang w:val="en-US" w:eastAsia="zh-CN"/>
        </w:rPr>
        <w:t>45</w:t>
      </w:r>
      <w:r>
        <w:rPr>
          <w:rFonts w:hint="eastAsia" w:ascii="仿宋_GB2312" w:hAnsi="仿宋_GB2312" w:eastAsia="仿宋_GB2312" w:cs="仿宋_GB2312"/>
          <w:color w:val="000000"/>
          <w:sz w:val="32"/>
          <w:szCs w:val="32"/>
          <w:highlight w:val="none"/>
          <w:shd w:val="clear" w:color="auto" w:fill="auto"/>
          <w:lang w:eastAsia="zh-CN"/>
        </w:rPr>
        <w:t>场，线上书画班8个班次，进一步促进文化服务云上服务品质再提升。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shd w:val="clear" w:color="auto" w:fill="auto"/>
          <w:lang w:eastAsia="zh-CN"/>
        </w:rPr>
      </w:pP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六</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sz w:val="32"/>
          <w:szCs w:val="32"/>
          <w:highlight w:val="none"/>
          <w:shd w:val="clear" w:color="auto" w:fill="auto"/>
          <w:lang w:eastAsia="zh-CN"/>
        </w:rPr>
        <w:t>坚持优化治理模式</w:t>
      </w:r>
      <w:r>
        <w:rPr>
          <w:rFonts w:hint="eastAsia" w:ascii="楷体_GB2312" w:hAnsi="楷体_GB2312" w:eastAsia="楷体_GB2312" w:cs="楷体_GB2312"/>
          <w:sz w:val="32"/>
          <w:szCs w:val="32"/>
          <w:highlight w:val="none"/>
          <w:shd w:val="clear" w:color="auto" w:fill="auto"/>
        </w:rPr>
        <w:t>，基层</w:t>
      </w:r>
      <w:r>
        <w:rPr>
          <w:rFonts w:hint="eastAsia" w:ascii="楷体_GB2312" w:hAnsi="楷体_GB2312" w:eastAsia="楷体_GB2312" w:cs="楷体_GB2312"/>
          <w:sz w:val="32"/>
          <w:szCs w:val="32"/>
          <w:highlight w:val="none"/>
          <w:shd w:val="clear" w:color="auto" w:fill="auto"/>
          <w:lang w:eastAsia="zh-CN"/>
        </w:rPr>
        <w:t>治理效能实现新提升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b/>
          <w:bCs/>
          <w:color w:val="000000"/>
          <w:sz w:val="32"/>
          <w:szCs w:val="32"/>
          <w:highlight w:val="none"/>
          <w:shd w:val="clear" w:color="auto" w:fill="auto"/>
        </w:rPr>
        <w:t>1.不断夯实社会基层治理基础</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持续推进社区服务站转型升级，梳理服务站工作事项，制作社区N项服务清单。指导各社区设置2-3个“全科社工”综合受理岗</w:t>
      </w:r>
      <w:r>
        <w:rPr>
          <w:rFonts w:hint="eastAsia" w:ascii="仿宋_GB2312" w:hAnsi="仿宋_GB2312" w:eastAsia="仿宋_GB2312" w:cs="仿宋_GB2312"/>
          <w:color w:val="000000"/>
          <w:sz w:val="32"/>
          <w:szCs w:val="32"/>
          <w:highlight w:val="none"/>
          <w:shd w:val="clear" w:color="auto" w:fill="auto"/>
          <w:lang w:val="en-US" w:eastAsia="zh-CN"/>
        </w:rPr>
        <w:t>,</w:t>
      </w:r>
      <w:r>
        <w:rPr>
          <w:rFonts w:hint="eastAsia" w:ascii="仿宋_GB2312" w:hAnsi="仿宋_GB2312" w:eastAsia="仿宋_GB2312" w:cs="仿宋_GB2312"/>
          <w:color w:val="000000"/>
          <w:sz w:val="32"/>
          <w:szCs w:val="32"/>
          <w:highlight w:val="none"/>
          <w:shd w:val="clear" w:color="auto" w:fill="auto"/>
          <w:lang w:eastAsia="zh-CN"/>
        </w:rPr>
        <w:t>制定前后台分办的工作流程。进一步首问负责、预约服务、一窗受理、限时办结等业务管理制度。完善社会心理服务体系建设，依托“2+N+38”的社会心理服务构架，面向居民开展心理疏导、心理援助、心理科普、团队辅导等项目，共组织团体辅导24次、心理健康知识讲座36次。探索社会心理服务参与社区治理，尝试社会心理服务专业人士参与接诉即办办件过程，进行心理疏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highlight w:val="none"/>
          <w:shd w:val="clear" w:color="FFFFFF" w:fill="D9D9D9"/>
        </w:rPr>
      </w:pPr>
      <w:r>
        <w:rPr>
          <w:rFonts w:hint="eastAsia" w:ascii="仿宋_GB2312" w:hAnsi="仿宋_GB2312" w:eastAsia="仿宋_GB2312" w:cs="仿宋_GB2312"/>
          <w:b/>
          <w:bCs/>
          <w:color w:val="000000"/>
          <w:sz w:val="32"/>
          <w:szCs w:val="32"/>
          <w:highlight w:val="none"/>
          <w:shd w:val="clear" w:color="auto" w:fill="auto"/>
        </w:rPr>
        <w:t>2.基层自治共治格局日益完善</w:t>
      </w:r>
      <w:r>
        <w:rPr>
          <w:rFonts w:hint="eastAsia" w:ascii="仿宋_GB2312" w:hAnsi="仿宋_GB2312" w:eastAsia="仿宋_GB2312" w:cs="仿宋_GB2312"/>
          <w:b/>
          <w:bCs/>
          <w:color w:val="000000"/>
          <w:sz w:val="32"/>
          <w:szCs w:val="32"/>
          <w:highlight w:val="none"/>
          <w:shd w:val="clear" w:color="auto" w:fill="auto"/>
          <w:lang w:eastAsia="zh-CN"/>
        </w:rPr>
        <w:t>。</w:t>
      </w:r>
      <w:bookmarkStart w:id="10" w:name="OLE_LINK9"/>
      <w:bookmarkStart w:id="11" w:name="OLE_LINK10"/>
      <w:r>
        <w:rPr>
          <w:rFonts w:hint="eastAsia" w:ascii="仿宋_GB2312" w:hAnsi="仿宋_GB2312" w:eastAsia="仿宋_GB2312" w:cs="仿宋_GB2312"/>
          <w:color w:val="000000"/>
          <w:sz w:val="32"/>
          <w:szCs w:val="32"/>
          <w:highlight w:val="none"/>
          <w:shd w:val="clear" w:color="auto" w:fill="auto"/>
        </w:rPr>
        <w:t>扎实推动“吹哨报到”“接诉即办”改革，基层治理基础更加稳固，一批历史遗留问题得到有效解决。以点带面，持续推进社区协商的制度化、规范化和程序化。创新“众选、众议、众管、众知、众评”五众机制，深度推进社区治理成为典范，代表西城区被北京市评选为“微改革”优秀案例。38个社区全面开展“月协商”</w:t>
      </w:r>
      <w:r>
        <w:rPr>
          <w:rFonts w:hint="eastAsia" w:ascii="仿宋_GB2312" w:hAnsi="仿宋_GB2312" w:eastAsia="仿宋_GB2312" w:cs="仿宋_GB2312"/>
          <w:color w:val="000000"/>
          <w:sz w:val="32"/>
          <w:szCs w:val="32"/>
          <w:highlight w:val="none"/>
          <w:shd w:val="clear" w:color="auto" w:fill="auto"/>
          <w:lang w:eastAsia="zh-CN"/>
        </w:rPr>
        <w:t>活动</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每月围绕</w:t>
      </w:r>
      <w:r>
        <w:rPr>
          <w:rFonts w:hint="eastAsia" w:ascii="仿宋_GB2312" w:hAnsi="仿宋_GB2312" w:eastAsia="仿宋_GB2312" w:cs="仿宋_GB2312"/>
          <w:color w:val="000000"/>
          <w:sz w:val="32"/>
          <w:szCs w:val="32"/>
          <w:highlight w:val="none"/>
          <w:shd w:val="clear" w:color="auto" w:fill="auto"/>
          <w:lang w:val="en-US" w:eastAsia="zh-CN"/>
        </w:rPr>
        <w:t>1</w:t>
      </w:r>
      <w:r>
        <w:rPr>
          <w:rFonts w:hint="eastAsia" w:ascii="仿宋_GB2312" w:hAnsi="仿宋_GB2312" w:eastAsia="仿宋_GB2312" w:cs="仿宋_GB2312"/>
          <w:color w:val="000000"/>
          <w:sz w:val="32"/>
          <w:szCs w:val="32"/>
          <w:highlight w:val="none"/>
          <w:shd w:val="clear" w:color="auto" w:fill="auto"/>
        </w:rPr>
        <w:t>个协商主题，进行参与型分层议事协商活动。</w:t>
      </w:r>
      <w:r>
        <w:rPr>
          <w:rFonts w:hint="eastAsia" w:ascii="仿宋_GB2312" w:hAnsi="仿宋_GB2312" w:eastAsia="仿宋_GB2312" w:cs="仿宋_GB2312"/>
          <w:color w:val="000000"/>
          <w:sz w:val="32"/>
          <w:szCs w:val="32"/>
          <w:highlight w:val="none"/>
          <w:shd w:val="clear" w:color="auto" w:fill="auto"/>
          <w:lang w:eastAsia="zh-CN"/>
        </w:rPr>
        <w:t>通过“线上</w:t>
      </w:r>
      <w:r>
        <w:rPr>
          <w:rFonts w:hint="eastAsia" w:ascii="仿宋_GB2312" w:hAnsi="仿宋_GB2312" w:eastAsia="仿宋_GB2312" w:cs="仿宋_GB2312"/>
          <w:color w:val="000000"/>
          <w:sz w:val="32"/>
          <w:szCs w:val="32"/>
          <w:highlight w:val="none"/>
          <w:shd w:val="clear" w:color="auto" w:fill="auto"/>
          <w:lang w:val="en-US" w:eastAsia="zh-CN"/>
        </w:rPr>
        <w:t>+线下</w:t>
      </w:r>
      <w:r>
        <w:rPr>
          <w:rFonts w:hint="eastAsia" w:ascii="仿宋_GB2312" w:hAnsi="仿宋_GB2312" w:eastAsia="仿宋_GB2312" w:cs="仿宋_GB2312"/>
          <w:color w:val="000000"/>
          <w:sz w:val="32"/>
          <w:szCs w:val="32"/>
          <w:highlight w:val="none"/>
          <w:shd w:val="clear" w:color="auto" w:fill="auto"/>
          <w:lang w:eastAsia="zh-CN"/>
        </w:rPr>
        <w:t>”的模式，在符合疫情防控要求的条件下，累计</w:t>
      </w:r>
      <w:r>
        <w:rPr>
          <w:rFonts w:hint="eastAsia" w:ascii="仿宋_GB2312" w:hAnsi="仿宋_GB2312" w:eastAsia="仿宋_GB2312" w:cs="仿宋_GB2312"/>
          <w:color w:val="000000"/>
          <w:sz w:val="32"/>
          <w:szCs w:val="32"/>
          <w:highlight w:val="none"/>
          <w:shd w:val="clear" w:color="auto" w:fill="auto"/>
        </w:rPr>
        <w:t>开展</w:t>
      </w:r>
      <w:r>
        <w:rPr>
          <w:rFonts w:hint="eastAsia" w:ascii="仿宋_GB2312" w:hAnsi="仿宋_GB2312" w:eastAsia="仿宋_GB2312" w:cs="仿宋_GB2312"/>
          <w:color w:val="000000"/>
          <w:sz w:val="32"/>
          <w:szCs w:val="32"/>
          <w:highlight w:val="none"/>
          <w:shd w:val="clear" w:color="auto" w:fill="auto"/>
          <w:lang w:eastAsia="zh-CN"/>
        </w:rPr>
        <w:t>协商活动</w:t>
      </w:r>
      <w:r>
        <w:rPr>
          <w:rFonts w:hint="eastAsia" w:ascii="仿宋_GB2312" w:hAnsi="仿宋_GB2312" w:eastAsia="仿宋_GB2312" w:cs="仿宋_GB2312"/>
          <w:color w:val="000000"/>
          <w:sz w:val="32"/>
          <w:szCs w:val="32"/>
          <w:highlight w:val="none"/>
          <w:shd w:val="clear" w:color="auto" w:fill="auto"/>
          <w:lang w:val="en-US" w:eastAsia="zh-CN"/>
        </w:rPr>
        <w:t>5</w:t>
      </w:r>
      <w:r>
        <w:rPr>
          <w:rFonts w:hint="eastAsia" w:ascii="仿宋_GB2312" w:hAnsi="仿宋_GB2312" w:eastAsia="仿宋_GB2312" w:cs="仿宋_GB2312"/>
          <w:color w:val="000000"/>
          <w:sz w:val="32"/>
          <w:szCs w:val="32"/>
          <w:highlight w:val="none"/>
          <w:shd w:val="clear" w:color="auto" w:fill="auto"/>
        </w:rPr>
        <w:t>38次，</w:t>
      </w:r>
      <w:r>
        <w:rPr>
          <w:rFonts w:hint="eastAsia" w:ascii="仿宋_GB2312" w:hAnsi="仿宋_GB2312" w:eastAsia="仿宋_GB2312" w:cs="仿宋_GB2312"/>
          <w:color w:val="000000"/>
          <w:sz w:val="32"/>
          <w:szCs w:val="32"/>
          <w:highlight w:val="none"/>
          <w:shd w:val="clear" w:color="auto" w:fill="auto"/>
          <w:lang w:val="en-US" w:eastAsia="zh-CN"/>
        </w:rPr>
        <w:t>3000余人次参与，</w:t>
      </w:r>
      <w:r>
        <w:rPr>
          <w:rFonts w:hint="eastAsia" w:ascii="仿宋_GB2312" w:hAnsi="仿宋_GB2312" w:eastAsia="仿宋_GB2312" w:cs="仿宋_GB2312"/>
          <w:color w:val="000000"/>
          <w:sz w:val="32"/>
          <w:szCs w:val="32"/>
          <w:highlight w:val="none"/>
          <w:shd w:val="clear" w:color="auto" w:fill="auto"/>
        </w:rPr>
        <w:t>解决涉及疫情防控、停车自治、垃圾分类、物业管理等群众关心的热点、难点问题</w:t>
      </w:r>
      <w:r>
        <w:rPr>
          <w:rFonts w:hint="eastAsia" w:ascii="仿宋_GB2312" w:hAnsi="仿宋_GB2312" w:eastAsia="仿宋_GB2312" w:cs="仿宋_GB2312"/>
          <w:color w:val="000000"/>
          <w:sz w:val="32"/>
          <w:szCs w:val="32"/>
          <w:highlight w:val="none"/>
          <w:shd w:val="clear" w:color="auto" w:fill="auto"/>
          <w:lang w:val="en-US" w:eastAsia="zh-CN"/>
        </w:rPr>
        <w:t>200余个</w:t>
      </w:r>
      <w:r>
        <w:rPr>
          <w:rFonts w:hint="eastAsia" w:ascii="仿宋_GB2312" w:hAnsi="仿宋_GB2312" w:eastAsia="仿宋_GB2312" w:cs="仿宋_GB2312"/>
          <w:color w:val="00000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color w:val="000000"/>
          <w:sz w:val="32"/>
          <w:szCs w:val="32"/>
          <w:highlight w:val="none"/>
          <w:shd w:val="clear" w:color="auto" w:fill="auto"/>
        </w:rPr>
        <w:t>3.</w:t>
      </w:r>
      <w:bookmarkEnd w:id="10"/>
      <w:bookmarkEnd w:id="11"/>
      <w:r>
        <w:rPr>
          <w:rFonts w:hint="eastAsia" w:ascii="仿宋_GB2312" w:hAnsi="仿宋_GB2312" w:eastAsia="仿宋_GB2312" w:cs="仿宋_GB2312"/>
          <w:b/>
          <w:bCs/>
          <w:color w:val="000000"/>
          <w:sz w:val="32"/>
          <w:szCs w:val="32"/>
          <w:highlight w:val="none"/>
          <w:shd w:val="clear" w:color="auto" w:fill="auto"/>
        </w:rPr>
        <w:t>统筹抓好两个“关键小事”</w:t>
      </w:r>
      <w:r>
        <w:rPr>
          <w:rFonts w:hint="eastAsia" w:ascii="仿宋_GB2312" w:hAnsi="仿宋_GB2312" w:eastAsia="仿宋_GB2312" w:cs="仿宋_GB2312"/>
          <w:b/>
          <w:bCs/>
          <w:color w:val="000000"/>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eastAsia="zh-CN"/>
        </w:rPr>
        <w:t>完善体系，推进垃圾分类深入开展。完成街道级垃圾分类中转站升级改造，为38处垃圾分类驿站配齐硬件设施，签订非居民厨余垃圾清运合同268份，生活垃圾、建筑垃圾回收体系初步建成。开展垃圾分类宣传、培训活动</w:t>
      </w:r>
      <w:r>
        <w:rPr>
          <w:rFonts w:hint="eastAsia" w:ascii="仿宋_GB2312" w:hAnsi="仿宋_GB2312" w:eastAsia="仿宋_GB2312" w:cs="仿宋_GB2312"/>
          <w:sz w:val="32"/>
          <w:szCs w:val="32"/>
          <w:highlight w:val="none"/>
          <w:shd w:val="clear" w:color="auto" w:fill="auto"/>
          <w:lang w:val="en-US" w:eastAsia="zh-CN"/>
        </w:rPr>
        <w:t>468</w:t>
      </w:r>
      <w:r>
        <w:rPr>
          <w:rFonts w:hint="eastAsia" w:ascii="仿宋_GB2312" w:hAnsi="仿宋_GB2312" w:eastAsia="仿宋_GB2312" w:cs="仿宋_GB2312"/>
          <w:sz w:val="32"/>
          <w:szCs w:val="32"/>
          <w:highlight w:val="none"/>
          <w:shd w:val="clear" w:color="auto" w:fill="auto"/>
          <w:lang w:eastAsia="zh-CN"/>
        </w:rPr>
        <w:t>场，覆盖居民</w:t>
      </w:r>
      <w:r>
        <w:rPr>
          <w:rFonts w:hint="eastAsia" w:ascii="仿宋_GB2312" w:hAnsi="仿宋_GB2312" w:eastAsia="仿宋_GB2312" w:cs="仿宋_GB2312"/>
          <w:sz w:val="32"/>
          <w:szCs w:val="32"/>
          <w:highlight w:val="none"/>
          <w:shd w:val="clear" w:color="auto" w:fill="auto"/>
          <w:lang w:val="en-US" w:eastAsia="zh-CN"/>
        </w:rPr>
        <w:t>7.8万</w:t>
      </w:r>
      <w:r>
        <w:rPr>
          <w:rFonts w:hint="eastAsia" w:ascii="仿宋_GB2312" w:hAnsi="仿宋_GB2312" w:eastAsia="仿宋_GB2312" w:cs="仿宋_GB2312"/>
          <w:sz w:val="32"/>
          <w:szCs w:val="32"/>
          <w:highlight w:val="none"/>
          <w:shd w:val="clear" w:color="auto" w:fill="auto"/>
          <w:lang w:eastAsia="zh-CN"/>
        </w:rPr>
        <w:t>人。“精准画像”建立生活垃圾分类薄弱对象清单，持续开展精准入户指导。大力</w:t>
      </w:r>
      <w:r>
        <w:rPr>
          <w:rFonts w:hint="eastAsia" w:ascii="仿宋_GB2312" w:hAnsi="仿宋_GB2312" w:eastAsia="仿宋_GB2312" w:cs="仿宋_GB2312"/>
          <w:sz w:val="32"/>
          <w:szCs w:val="32"/>
          <w:highlight w:val="none"/>
          <w:shd w:val="clear" w:color="auto" w:fill="auto"/>
          <w:lang w:val="en-US" w:eastAsia="zh-CN"/>
        </w:rPr>
        <w:t>推动物管会向业委会转化，制定《广外街道推动业主委员会成立、换届、转化工作方案》，全面梳理出辖区运转公正高效、条件相对成熟、业主意愿迫切的物管会作为重点转化培养对象，顺利完成京铁和园小区物管会向业委会转化。加强物业企业指导，针对“接诉即办”诉求较多、疫情防控不到位的物业企业，进行约谈指导。</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shd w:val="clear" w:color="auto" w:fill="auto"/>
          <w:lang w:eastAsia="zh-CN"/>
        </w:rPr>
      </w:pPr>
      <w:r>
        <w:rPr>
          <w:rFonts w:hint="eastAsia" w:ascii="黑体" w:hAnsi="黑体" w:eastAsia="黑体" w:cs="仿宋_GB2312"/>
          <w:color w:val="000000"/>
          <w:sz w:val="32"/>
          <w:szCs w:val="32"/>
          <w:highlight w:val="none"/>
          <w:shd w:val="clear" w:color="auto" w:fill="auto"/>
          <w:lang w:eastAsia="zh-CN"/>
        </w:rPr>
        <w:t>二</w:t>
      </w:r>
      <w:r>
        <w:rPr>
          <w:rFonts w:hint="eastAsia" w:ascii="黑体" w:hAnsi="黑体" w:eastAsia="黑体" w:cs="仿宋_GB2312"/>
          <w:color w:val="000000"/>
          <w:sz w:val="32"/>
          <w:szCs w:val="32"/>
          <w:highlight w:val="none"/>
          <w:shd w:val="clear" w:color="auto" w:fill="auto"/>
        </w:rPr>
        <w:t>、</w:t>
      </w:r>
      <w:r>
        <w:rPr>
          <w:rFonts w:hint="eastAsia" w:ascii="黑体" w:hAnsi="黑体" w:eastAsia="黑体" w:cs="黑体"/>
          <w:sz w:val="32"/>
          <w:szCs w:val="32"/>
          <w:shd w:val="clear" w:color="auto" w:fill="auto"/>
          <w:lang w:eastAsia="zh-CN"/>
        </w:rPr>
        <w:t>存在</w:t>
      </w:r>
      <w:r>
        <w:rPr>
          <w:rFonts w:hint="eastAsia" w:ascii="黑体" w:hAnsi="黑体" w:eastAsia="黑体" w:cs="黑体"/>
          <w:color w:val="000000"/>
          <w:kern w:val="2"/>
          <w:sz w:val="32"/>
          <w:szCs w:val="32"/>
          <w:shd w:val="clear" w:color="auto" w:fill="auto"/>
          <w:lang w:val="en-US" w:eastAsia="zh-CN" w:bidi="ar-SA"/>
        </w:rPr>
        <w:t>的问</w:t>
      </w:r>
      <w:r>
        <w:rPr>
          <w:rFonts w:hint="eastAsia" w:ascii="黑体" w:hAnsi="黑体" w:eastAsia="黑体" w:cs="黑体"/>
          <w:sz w:val="32"/>
          <w:szCs w:val="32"/>
          <w:shd w:val="clear" w:color="auto" w:fill="auto"/>
          <w:lang w:eastAsia="zh-CN"/>
        </w:rPr>
        <w:t>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回顾这一年的工作，我们一手抓疫情防控，一手抓地区经济社会发展，紧紧依靠辖区人民，凝心聚力、开拓创新，工作取得了良好成效，成绩来之不易。但我们也清醒地认识到，对标首都功能核心区战略定位、人民群众的新期盼，我们的工作还有差距和不足。一是消防安全形势较为严峻，电动自行车充电、遗留火种和未及时清理的可燃物导致火灾的风险依然突出，居民消防安全意识需要进一步加强。二是垃圾分类还不够精细，日常对小区内点位巡查频次不足，巡查力度还有待提升，垃圾清运不及时的情况仍然时有发生。三是物业管理有弱项，街道商品房小区楼龄均超15年以上，物业管理、停车、电梯维修更换等热点难题仍需持续破解。四是办理市民热线诉求手段还不足，日常诉求量大、未根治的疑难问题多，主动治理能力需要进一步提升。下一步，我们将直面问题，尽心竭力把各项工作做实、做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highlight w:val="none"/>
        </w:rPr>
      </w:pPr>
      <w:r>
        <w:rPr>
          <w:rFonts w:hint="eastAsia" w:ascii="黑体" w:hAnsi="黑体" w:eastAsia="黑体" w:cs="仿宋_GB2312"/>
          <w:color w:val="000000"/>
          <w:sz w:val="32"/>
          <w:szCs w:val="32"/>
          <w:highlight w:val="none"/>
          <w:shd w:val="clear" w:color="auto" w:fill="auto"/>
          <w:lang w:val="en-US" w:eastAsia="zh-CN"/>
        </w:rPr>
        <w:t>三、2023</w:t>
      </w:r>
      <w:r>
        <w:rPr>
          <w:rFonts w:hint="eastAsia" w:ascii="黑体" w:hAnsi="黑体" w:eastAsia="黑体" w:cs="仿宋_GB2312"/>
          <w:color w:val="000000"/>
          <w:sz w:val="32"/>
          <w:szCs w:val="32"/>
          <w:highlight w:val="none"/>
          <w:shd w:val="clear" w:color="auto" w:fill="auto"/>
          <w:lang w:eastAsia="zh-CN"/>
        </w:rPr>
        <w:t>年</w:t>
      </w:r>
      <w:r>
        <w:rPr>
          <w:rFonts w:hint="eastAsia" w:ascii="黑体" w:hAnsi="黑体" w:eastAsia="黑体" w:cs="仿宋_GB2312"/>
          <w:color w:val="000000"/>
          <w:sz w:val="32"/>
          <w:szCs w:val="32"/>
          <w:highlight w:val="none"/>
          <w:shd w:val="clear" w:color="auto" w:fill="auto"/>
        </w:rPr>
        <w:t>工作思路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color w:val="000000"/>
          <w:kern w:val="2"/>
          <w:sz w:val="32"/>
          <w:szCs w:val="32"/>
          <w:shd w:val="clear" w:color="auto" w:fill="auto"/>
          <w:lang w:val="en-US" w:eastAsia="zh-CN" w:bidi="ar-SA"/>
        </w:rPr>
      </w:pPr>
      <w:r>
        <w:rPr>
          <w:rFonts w:hint="eastAsia" w:ascii="楷体_GB2312" w:hAnsi="楷体_GB2312" w:eastAsia="楷体_GB2312" w:cs="楷体_GB2312"/>
          <w:b w:val="0"/>
          <w:bCs/>
          <w:color w:val="000000"/>
          <w:kern w:val="2"/>
          <w:sz w:val="32"/>
          <w:szCs w:val="32"/>
          <w:shd w:val="clear" w:color="auto" w:fill="auto"/>
          <w:lang w:val="en-US" w:eastAsia="zh-CN" w:bidi="ar-SA"/>
        </w:rPr>
        <w:t>（一）聚焦高质量党建，引领基层治理效能提升</w:t>
      </w:r>
    </w:p>
    <w:p>
      <w:pPr>
        <w:pStyle w:val="8"/>
        <w:pageBreakBefore w:val="0"/>
        <w:widowControl w:val="0"/>
        <w:kinsoku/>
        <w:wordWrap/>
        <w:topLinePunct w:val="0"/>
        <w:bidi w:val="0"/>
        <w:spacing w:line="560" w:lineRule="exact"/>
        <w:rPr>
          <w:rFonts w:hint="eastAsia"/>
          <w:sz w:val="32"/>
          <w:szCs w:val="32"/>
          <w:lang w:val="en-US" w:eastAsia="zh-CN"/>
        </w:rPr>
      </w:pPr>
      <w:r>
        <w:rPr>
          <w:rFonts w:hint="eastAsia" w:ascii="仿宋_GB2312" w:hAnsi="仿宋_GB2312" w:eastAsia="仿宋_GB2312" w:cs="仿宋_GB2312"/>
          <w:sz w:val="32"/>
          <w:szCs w:val="32"/>
        </w:rPr>
        <w:t>坚持以习近平新时代中国特色社会主义思想为指导，深入学习贯彻二十大报告精神、习近平总书记关于基层党建和基</w:t>
      </w:r>
      <w:r>
        <w:rPr>
          <w:rFonts w:hint="eastAsia" w:ascii="仿宋_GB2312" w:hAnsi="仿宋_GB2312" w:eastAsia="仿宋_GB2312" w:cs="仿宋_GB2312"/>
          <w:b w:val="0"/>
          <w:bCs w:val="0"/>
          <w:sz w:val="32"/>
          <w:szCs w:val="32"/>
        </w:rPr>
        <w:t>层治理的重要论述，聚焦基层党务工作者履职能力提升，深入</w:t>
      </w:r>
      <w:r>
        <w:rPr>
          <w:rFonts w:hint="eastAsia" w:ascii="仿宋_GB2312" w:hAnsi="仿宋_GB2312" w:eastAsia="仿宋_GB2312" w:cs="仿宋_GB2312"/>
          <w:b w:val="0"/>
          <w:bCs w:val="0"/>
          <w:sz w:val="32"/>
          <w:szCs w:val="32"/>
          <w:lang w:eastAsia="zh-CN"/>
        </w:rPr>
        <w:t>推进</w:t>
      </w:r>
      <w:r>
        <w:rPr>
          <w:rFonts w:hint="eastAsia" w:ascii="仿宋_GB2312" w:hAnsi="仿宋_GB2312" w:eastAsia="仿宋_GB2312" w:cs="仿宋_GB2312"/>
          <w:b w:val="0"/>
          <w:bCs w:val="0"/>
          <w:sz w:val="32"/>
          <w:szCs w:val="32"/>
        </w:rPr>
        <w:t>“红墙先锋工程“，以提升组织力为重点，突出政治功能，全覆盖加强各领域基层党建工作。</w:t>
      </w:r>
      <w:r>
        <w:rPr>
          <w:rFonts w:hint="eastAsia" w:ascii="仿宋_GB2312" w:hAnsi="仿宋_GB2312" w:eastAsia="仿宋_GB2312" w:cs="仿宋_GB2312"/>
          <w:sz w:val="32"/>
          <w:szCs w:val="32"/>
        </w:rPr>
        <w:t>持续实施“头雁领飞”工程，建设一支能力过硬的基层党务人才队伍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为推进区域建设和发展提</w:t>
      </w:r>
      <w:r>
        <w:rPr>
          <w:rFonts w:hint="eastAsia" w:ascii="仿宋_GB2312" w:hAnsi="仿宋_GB2312" w:eastAsia="仿宋_GB2312" w:cs="仿宋_GB2312"/>
          <w:b w:val="0"/>
          <w:bCs w:val="0"/>
          <w:sz w:val="32"/>
          <w:szCs w:val="32"/>
        </w:rPr>
        <w:t>供坚强保证。持续加强城市基层党建工作的多元参与，推动党建多元融合共同发展</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依托街道、社区两级党建工作协调委员会平台，</w:t>
      </w:r>
      <w:r>
        <w:rPr>
          <w:rFonts w:hint="eastAsia" w:ascii="仿宋_GB2312" w:hAnsi="仿宋_GB2312" w:cs="仿宋_GB2312"/>
          <w:b w:val="0"/>
          <w:bCs w:val="0"/>
          <w:sz w:val="32"/>
          <w:szCs w:val="32"/>
          <w:lang w:eastAsia="zh-CN"/>
        </w:rPr>
        <w:t>深挖</w:t>
      </w:r>
      <w:r>
        <w:rPr>
          <w:rFonts w:hint="eastAsia" w:ascii="仿宋_GB2312" w:hAnsi="仿宋_GB2312" w:eastAsia="仿宋_GB2312" w:cs="仿宋_GB2312"/>
          <w:b w:val="0"/>
          <w:bCs w:val="0"/>
          <w:sz w:val="32"/>
          <w:szCs w:val="32"/>
        </w:rPr>
        <w:t>辖区各单位资源，整合力量，做实做细“三项清单”制度，面向群众开展组团式服务、项目化服务、党员志愿服务，实现资源共享、优势互补、共抓共建，进一步实现党建与发展共赢。依托“双报到”工作机制，呼吁在职党员主动到社区报到，做到“亮明身份当先锋 社区治理党员行”，同时组织各社区党组织主动与各辖区单位深化开展</w:t>
      </w:r>
      <w:r>
        <w:rPr>
          <w:rFonts w:hint="eastAsia" w:ascii="仿宋_GB2312" w:hAnsi="仿宋_GB2312" w:eastAsia="仿宋_GB2312" w:cs="仿宋_GB2312"/>
          <w:sz w:val="32"/>
          <w:szCs w:val="32"/>
        </w:rPr>
        <w:t>结对共建工作，聚焦居民需求，</w:t>
      </w:r>
      <w:r>
        <w:rPr>
          <w:rFonts w:hint="eastAsia" w:ascii="仿宋_GB2312" w:hAnsi="仿宋_GB2312" w:eastAsia="仿宋_GB2312" w:cs="仿宋_GB2312"/>
          <w:bCs/>
          <w:sz w:val="32"/>
          <w:szCs w:val="32"/>
        </w:rPr>
        <w:t>充分发挥驻区单位资源优势，完善区域化党建工作机制，深入开展“我为群众办实事”活动。坚持</w:t>
      </w:r>
      <w:r>
        <w:rPr>
          <w:rFonts w:hint="eastAsia" w:ascii="仿宋_GB2312" w:hAnsi="仿宋_GB2312" w:eastAsia="仿宋_GB2312" w:cs="仿宋_GB2312"/>
          <w:sz w:val="32"/>
          <w:szCs w:val="32"/>
        </w:rPr>
        <w:t>以行动聚合力、以机制抓落实、以成效促发展，</w:t>
      </w:r>
      <w:r>
        <w:rPr>
          <w:rFonts w:hint="eastAsia" w:ascii="仿宋_GB2312" w:eastAsia="仿宋_GB2312"/>
          <w:sz w:val="32"/>
          <w:szCs w:val="32"/>
        </w:rPr>
        <w:t>为推动城市基层党建向好发展而贡献力量。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val="0"/>
          <w:bCs/>
          <w:color w:val="000000"/>
          <w:kern w:val="2"/>
          <w:sz w:val="32"/>
          <w:szCs w:val="32"/>
          <w:shd w:val="clear" w:color="auto" w:fill="auto"/>
          <w:lang w:val="en-US" w:eastAsia="zh-CN" w:bidi="ar-SA"/>
        </w:rPr>
      </w:pPr>
      <w:r>
        <w:rPr>
          <w:rFonts w:hint="eastAsia" w:ascii="楷体_GB2312" w:hAnsi="楷体_GB2312" w:eastAsia="楷体_GB2312" w:cs="楷体_GB2312"/>
          <w:b w:val="0"/>
          <w:bCs/>
          <w:color w:val="000000"/>
          <w:kern w:val="2"/>
          <w:sz w:val="32"/>
          <w:szCs w:val="32"/>
          <w:shd w:val="clear" w:color="auto" w:fill="auto"/>
          <w:lang w:val="en-US" w:eastAsia="zh-CN" w:bidi="ar-SA"/>
        </w:rPr>
        <w:t>（二）聚焦平安稳定建设，完善地区安全屏障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kern w:val="2"/>
          <w:sz w:val="32"/>
          <w:szCs w:val="32"/>
          <w:shd w:val="clear" w:color="auto" w:fill="auto"/>
          <w:lang w:val="en-US" w:eastAsia="zh-CN" w:bidi="ar-SA"/>
        </w:rPr>
      </w:pPr>
      <w:r>
        <w:rPr>
          <w:rFonts w:hint="eastAsia" w:ascii="仿宋_GB2312" w:hAnsi="黑体" w:eastAsia="仿宋_GB2312"/>
          <w:b w:val="0"/>
          <w:bCs w:val="0"/>
          <w:sz w:val="32"/>
          <w:szCs w:val="32"/>
          <w:highlight w:val="none"/>
          <w:lang w:val="en-US" w:eastAsia="zh-CN"/>
        </w:rPr>
        <w:t>围绕重点时期、重大会议活动服务保障任务，进一步细化落实社会面防控、反恐处突、铁路护路联防、安全生产、矛盾纠纷排查化解、重点人员稳控等工作举措，保障地区社会面秩序平稳。落实安全监管职责，</w:t>
      </w:r>
      <w:r>
        <w:rPr>
          <w:rFonts w:hint="eastAsia" w:ascii="仿宋_GB2312" w:hAnsi="黑体" w:eastAsia="仿宋_GB2312"/>
          <w:sz w:val="32"/>
          <w:szCs w:val="32"/>
          <w:highlight w:val="none"/>
          <w:lang w:val="en-US" w:eastAsia="zh-CN"/>
        </w:rPr>
        <w:t>开展小微企业评审和专家服务小微企业活动，持续推进“一企一标准、一岗一清单”编制工作，加大隐患排查治理信息系统应用推广力度。</w:t>
      </w:r>
      <w:r>
        <w:rPr>
          <w:rFonts w:hint="eastAsia" w:ascii="仿宋_GB2312" w:hAnsi="仿宋_GB2312" w:eastAsia="仿宋_GB2312" w:cs="仿宋_GB2312"/>
          <w:sz w:val="32"/>
          <w:szCs w:val="32"/>
          <w:highlight w:val="none"/>
          <w:lang w:eastAsia="zh-CN"/>
        </w:rPr>
        <w:t>聚焦影响人民群众安全感满意度的重点行业重点领域，纵深推进常态化扫黑除恶专项斗争，持续打击突出违法犯罪行为，依法严厉打击电信网络和养老诈骗，保障地区人民群众安居乐业。</w:t>
      </w:r>
      <w:r>
        <w:rPr>
          <w:rFonts w:hint="eastAsia" w:ascii="仿宋_GB2312" w:hAnsi="黑体" w:eastAsia="仿宋_GB2312"/>
          <w:b w:val="0"/>
          <w:bCs w:val="0"/>
          <w:sz w:val="32"/>
          <w:szCs w:val="32"/>
          <w:highlight w:val="none"/>
          <w:lang w:val="en-US" w:eastAsia="zh-CN"/>
        </w:rPr>
        <w:t>完善38个社区法律服务工作站建设，积极探索社区法律</w:t>
      </w:r>
      <w:r>
        <w:rPr>
          <w:rFonts w:hint="eastAsia" w:ascii="仿宋_GB2312" w:hAnsi="黑体" w:eastAsia="仿宋_GB2312"/>
          <w:sz w:val="32"/>
          <w:szCs w:val="32"/>
          <w:highlight w:val="none"/>
          <w:lang w:val="en-US" w:eastAsia="zh-CN"/>
        </w:rPr>
        <w:t>顾问、法律志愿者参与社区建设、服务居民群众的新路径，为基层社区治理注入法治力量。</w:t>
      </w:r>
      <w:r>
        <w:rPr>
          <w:rFonts w:hint="eastAsia" w:ascii="仿宋_GB2312" w:hAnsi="仿宋_GB2312" w:eastAsia="仿宋_GB2312" w:cs="仿宋_GB2312"/>
          <w:sz w:val="32"/>
          <w:szCs w:val="32"/>
          <w:highlight w:val="none"/>
          <w:lang w:eastAsia="zh-CN"/>
        </w:rPr>
        <w:t>坚持落实“谁执法谁普法”“以案释法”等工作机制，深入开展“八五普法”宣传教育，持续增强地区群众法律意识、树立法治理念，努力使尊法学法守法用法在全社会蔚然成风。</w:t>
      </w:r>
    </w:p>
    <w:p>
      <w:pPr>
        <w:keepNext w:val="0"/>
        <w:keepLines w:val="0"/>
        <w:pageBreakBefore w:val="0"/>
        <w:widowControl w:val="0"/>
        <w:kinsoku/>
        <w:wordWrap/>
        <w:overflowPunct/>
        <w:topLinePunct w:val="0"/>
        <w:autoSpaceDE/>
        <w:autoSpaceDN/>
        <w:bidi w:val="0"/>
        <w:spacing w:line="560" w:lineRule="exact"/>
        <w:ind w:firstLine="681" w:firstLineChars="213"/>
        <w:jc w:val="both"/>
        <w:textAlignment w:val="auto"/>
        <w:rPr>
          <w:rFonts w:hint="eastAsia" w:ascii="楷体_GB2312" w:hAnsi="楷体_GB2312" w:eastAsia="楷体_GB2312" w:cs="楷体_GB2312"/>
          <w:b/>
          <w:color w:val="000000"/>
          <w:kern w:val="2"/>
          <w:sz w:val="32"/>
          <w:szCs w:val="32"/>
          <w:shd w:val="clear" w:color="FFFFFF" w:fill="D9D9D9"/>
          <w:lang w:val="en-US" w:eastAsia="zh-CN" w:bidi="ar-SA"/>
        </w:rPr>
      </w:pPr>
      <w:r>
        <w:rPr>
          <w:rFonts w:hint="eastAsia" w:ascii="楷体_GB2312" w:hAnsi="楷体_GB2312" w:eastAsia="楷体_GB2312" w:cs="楷体_GB2312"/>
          <w:b w:val="0"/>
          <w:bCs/>
          <w:color w:val="000000"/>
          <w:kern w:val="2"/>
          <w:sz w:val="32"/>
          <w:szCs w:val="32"/>
          <w:shd w:val="clear" w:color="auto" w:fill="auto"/>
          <w:lang w:val="en-US" w:eastAsia="zh-CN" w:bidi="ar-SA"/>
        </w:rPr>
        <w:t>（三）聚焦增进民生福祉，提高群众生活幸福感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牢记“让人民生活幸福是‘国之大者’”，更加有力地改善民生、增进民富、保障民安。以落实区第十七届人民代表大会“第y001”号代表议案为出发点，全面提升养老服务能力建设。打造为老服务“服务台”，推进养老助餐、家庭床位、适老化改造等基本养老服务扩面增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筹划打造西城区首家综合养老服务体验中心，推出“</w:t>
      </w:r>
      <w:r>
        <w:rPr>
          <w:rFonts w:hint="eastAsia" w:ascii="仿宋_GB2312" w:hAnsi="仿宋_GB2312" w:eastAsia="仿宋_GB2312" w:cs="仿宋_GB2312"/>
          <w:sz w:val="32"/>
          <w:szCs w:val="32"/>
          <w:lang w:eastAsia="zh-CN"/>
        </w:rPr>
        <w:t>广外</w:t>
      </w:r>
      <w:r>
        <w:rPr>
          <w:rFonts w:hint="eastAsia" w:ascii="仿宋_GB2312" w:hAnsi="仿宋_GB2312" w:eastAsia="仿宋_GB2312" w:cs="仿宋_GB2312"/>
          <w:sz w:val="32"/>
          <w:szCs w:val="32"/>
        </w:rPr>
        <w:t>长者服务中心”、“父母食堂”等特色老年服务模式，持续推进地区养老服务工作不断创新。依托1加38社区退役军人服务站，提升对退役军人走访慰问、优抚帮扶、就业创业、权益维护等服务事项的服务品质。依托</w:t>
      </w:r>
      <w:r>
        <w:rPr>
          <w:rFonts w:hint="eastAsia" w:ascii="仿宋_GB2312" w:hAnsi="仿宋_GB2312" w:eastAsia="仿宋_GB2312" w:cs="仿宋_GB2312"/>
          <w:sz w:val="32"/>
          <w:szCs w:val="32"/>
          <w:lang w:eastAsia="zh-CN"/>
        </w:rPr>
        <w:t>广外</w:t>
      </w:r>
      <w:r>
        <w:rPr>
          <w:rFonts w:hint="eastAsia" w:ascii="仿宋_GB2312" w:hAnsi="仿宋_GB2312" w:eastAsia="仿宋_GB2312" w:cs="仿宋_GB2312"/>
          <w:sz w:val="32"/>
          <w:szCs w:val="32"/>
        </w:rPr>
        <w:t>街道“王君工作室”，结合“十四五”规划中对就业创业工作的新规划，与时俱进，开发“红黄蓝就业失业信息预警图”，实时监测辖区社区失业人员动态信息，提速区域化创业就业数字化管理进程。积极挖掘本地文化艺术资源，着力发展街道特色文化，鼓励群众自编自演，参与到弘扬时代主旋律和丰富街道文化生活的公益性活动中去。</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color w:val="000000"/>
          <w:kern w:val="2"/>
          <w:sz w:val="32"/>
          <w:szCs w:val="32"/>
          <w:highlight w:val="none"/>
          <w:shd w:val="clear" w:color="auto" w:fill="auto"/>
          <w:lang w:val="en-US" w:eastAsia="zh-CN" w:bidi="ar-SA"/>
        </w:rPr>
      </w:pPr>
      <w:r>
        <w:rPr>
          <w:rFonts w:hint="eastAsia" w:ascii="楷体_GB2312" w:hAnsi="楷体_GB2312" w:eastAsia="楷体_GB2312" w:cs="楷体_GB2312"/>
          <w:b w:val="0"/>
          <w:bCs/>
          <w:color w:val="000000"/>
          <w:kern w:val="2"/>
          <w:sz w:val="32"/>
          <w:szCs w:val="32"/>
          <w:highlight w:val="none"/>
          <w:shd w:val="clear" w:color="auto" w:fill="auto"/>
          <w:lang w:val="en-US" w:eastAsia="zh-CN" w:bidi="ar-SA"/>
        </w:rPr>
        <w:t>（四）聚焦治理体系完善，推进治理能力现代化</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持续完善街道“热线+网格”服务模式，打造网格微信“直通车”，整合社区服务、应急维修、业务办理等多种服务内容，推动诉求办理转向“主动治理，未诉先办”。深化“暖心行动”，专人认领对接，推动高频诉求人转化为街道的“吹哨人”。按照“一小区一策”原则，分类型分批次推进业委会成立、换届、转化工作。不断完善党建引领下的居民委员会、业委会、物管会、业主、物业服务企业等共同参与的物业管理协商机制，进一步规范物业管理工作。优化居住小区物业服务综合评价方案，深化成果运用，建立物业服务企业星级物业评比机制。统筹辖区内物业服务企业资源，建立广外地区物业服务企业联盟。</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color w:val="000000"/>
          <w:kern w:val="2"/>
          <w:sz w:val="32"/>
          <w:szCs w:val="32"/>
          <w:shd w:val="clear" w:color="auto" w:fill="auto"/>
          <w:lang w:val="en-US" w:eastAsia="zh-CN" w:bidi="ar-SA"/>
        </w:rPr>
      </w:pPr>
      <w:r>
        <w:rPr>
          <w:rFonts w:hint="eastAsia" w:ascii="楷体_GB2312" w:hAnsi="楷体_GB2312" w:eastAsia="楷体_GB2312" w:cs="楷体_GB2312"/>
          <w:b w:val="0"/>
          <w:bCs/>
          <w:color w:val="000000"/>
          <w:kern w:val="2"/>
          <w:sz w:val="32"/>
          <w:szCs w:val="32"/>
          <w:shd w:val="clear" w:color="auto" w:fill="auto"/>
          <w:lang w:val="en-US" w:eastAsia="zh-CN" w:bidi="ar-SA"/>
        </w:rPr>
        <w:t>（五）聚焦城市品质提升，打造美丽宜居环境</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坚持用“绣花”功夫精心精细管理好城市。启动马连道西里、白菜湾小区西院的拆违工作，重点推进马连道东街3号楼南侧院内彩钢房、手帕口南街82号院房上房、手帕口东二巷铁路沿线等违法建设拆除，计划明年拆除违法建设7000平方米。推进广外南街东院、广外南街西院、车站东街6号楼和8号楼、广外南街戊26号楼及马连道北里1、2、4、6号楼等5个老旧小区改造工作；积极协调住建委建设中心、设计单位，共同研究马连道路甲18号院、广外大街甲180号、南滨河路73号楼、鸭子桥路27号院、广外南街47号楼、广外南街51号楼6个老旧小区改造方案并持续推进。建立广外地区停车资源台账，主动与相关单位对接，深挖错时共享停车资源，提高停车资源利用效率，缓解居民停车难问题。完善辖区内垃圾桶站分布图，合理调整桶站设置，力争桶站建设达标率达到100%，持续做好街道垃圾分类示范片区验收、市级垃圾分类示范小区、示范党政机关、示范楼宇的验收准备及迎检工作，稳步提升街道垃圾分类工作整体水平。</w:t>
      </w:r>
    </w:p>
    <w:p>
      <w:pPr>
        <w:keepNext/>
        <w:keepLines/>
        <w:pageBreakBefore w:val="0"/>
        <w:widowControl w:val="0"/>
        <w:pBdr>
          <w:bottom w:val="single" w:color="FFFFFF" w:sz="4" w:space="31"/>
        </w:pBdr>
        <w:tabs>
          <w:tab w:val="left" w:pos="14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bidi="ar-SA"/>
        </w:rPr>
        <w:t>2023年是全面贯彻落实党的二十大精神的开局之年，也是实施“十四五”规划承上启下的关键一年，街道将坚持以习近平新时代中国特色社会主义思想为指导，全面贯彻党的二十大精神，坚定信心,砥砺前行，聚焦“七有”“五性”，以“钉钉子”精神做实做细做好各项工作，积极主动争当红墙先锋，把党的二十大精神转化为助推核心区高质量发展的生动实践。</w:t>
      </w:r>
    </w:p>
    <w:sectPr>
      <w:footerReference r:id="rId3" w:type="default"/>
      <w:footerReference r:id="rId4" w:type="even"/>
      <w:pgSz w:w="11906" w:h="16838"/>
      <w:pgMar w:top="818" w:right="1474" w:bottom="1985" w:left="1588"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420816"/>
    </w:sdtPr>
    <w:sdtContent>
      <w:p>
        <w:pPr>
          <w:pStyle w:val="11"/>
        </w:pPr>
        <w:r>
          <w:rPr>
            <w:rFonts w:hint="eastAsia"/>
          </w:rPr>
          <w:t xml:space="preserve">                                                                                  </w:t>
        </w:r>
        <w:r>
          <w:rPr>
            <w:rFonts w:hint="eastAsia"/>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768117319"/>
    </w:sdtPr>
    <w:sdtEndPr>
      <w:rPr>
        <w:rFonts w:hint="eastAsia" w:ascii="宋体" w:hAnsi="宋体" w:eastAsia="宋体" w:cs="宋体"/>
        <w:sz w:val="28"/>
        <w:szCs w:val="28"/>
      </w:rPr>
    </w:sdtEndPr>
    <w:sdtContent>
      <w:p>
        <w:pPr>
          <w:pStyle w:val="11"/>
          <w:ind w:left="360"/>
          <w:rPr>
            <w:sz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sz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evenAndOddHeaders w:val="1"/>
  <w:drawingGridHorizontalSpacing w:val="160"/>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A5"/>
    <w:rsid w:val="00005739"/>
    <w:rsid w:val="00011B4A"/>
    <w:rsid w:val="00015DA2"/>
    <w:rsid w:val="0002115E"/>
    <w:rsid w:val="00023B75"/>
    <w:rsid w:val="000261C0"/>
    <w:rsid w:val="00026B53"/>
    <w:rsid w:val="00034133"/>
    <w:rsid w:val="0003581E"/>
    <w:rsid w:val="00054451"/>
    <w:rsid w:val="00054615"/>
    <w:rsid w:val="000609BC"/>
    <w:rsid w:val="00063434"/>
    <w:rsid w:val="000645D7"/>
    <w:rsid w:val="00064762"/>
    <w:rsid w:val="00065C1E"/>
    <w:rsid w:val="00066149"/>
    <w:rsid w:val="00073FB5"/>
    <w:rsid w:val="00074C1E"/>
    <w:rsid w:val="00074EB2"/>
    <w:rsid w:val="000A3D40"/>
    <w:rsid w:val="000A3E19"/>
    <w:rsid w:val="000A641D"/>
    <w:rsid w:val="000A7E02"/>
    <w:rsid w:val="000B093E"/>
    <w:rsid w:val="000B34A4"/>
    <w:rsid w:val="000B66A2"/>
    <w:rsid w:val="000E09FD"/>
    <w:rsid w:val="000E20A0"/>
    <w:rsid w:val="000E46C6"/>
    <w:rsid w:val="000E6850"/>
    <w:rsid w:val="000F7050"/>
    <w:rsid w:val="000F7DC6"/>
    <w:rsid w:val="001041C0"/>
    <w:rsid w:val="00104F57"/>
    <w:rsid w:val="001222CB"/>
    <w:rsid w:val="0012309D"/>
    <w:rsid w:val="00124C67"/>
    <w:rsid w:val="00134F04"/>
    <w:rsid w:val="0014019E"/>
    <w:rsid w:val="00141537"/>
    <w:rsid w:val="00143D8E"/>
    <w:rsid w:val="00150FD1"/>
    <w:rsid w:val="00154874"/>
    <w:rsid w:val="00156EA1"/>
    <w:rsid w:val="00157444"/>
    <w:rsid w:val="00175587"/>
    <w:rsid w:val="00182567"/>
    <w:rsid w:val="00182DDB"/>
    <w:rsid w:val="00183FE2"/>
    <w:rsid w:val="00184292"/>
    <w:rsid w:val="00197955"/>
    <w:rsid w:val="001A1511"/>
    <w:rsid w:val="001B0118"/>
    <w:rsid w:val="001B3709"/>
    <w:rsid w:val="001C1DC5"/>
    <w:rsid w:val="001C1FE0"/>
    <w:rsid w:val="001C3D60"/>
    <w:rsid w:val="001C49BD"/>
    <w:rsid w:val="001C5F44"/>
    <w:rsid w:val="001D43F1"/>
    <w:rsid w:val="001D72EA"/>
    <w:rsid w:val="001D7BCC"/>
    <w:rsid w:val="001E3F03"/>
    <w:rsid w:val="001E6A48"/>
    <w:rsid w:val="001E7370"/>
    <w:rsid w:val="001F40FA"/>
    <w:rsid w:val="001F45A2"/>
    <w:rsid w:val="001F491E"/>
    <w:rsid w:val="001F62D4"/>
    <w:rsid w:val="00205F6B"/>
    <w:rsid w:val="00206B36"/>
    <w:rsid w:val="00211B73"/>
    <w:rsid w:val="00216EDE"/>
    <w:rsid w:val="00222295"/>
    <w:rsid w:val="0022475F"/>
    <w:rsid w:val="00233BD2"/>
    <w:rsid w:val="00252831"/>
    <w:rsid w:val="00253E29"/>
    <w:rsid w:val="00255CF4"/>
    <w:rsid w:val="00256B55"/>
    <w:rsid w:val="0025746E"/>
    <w:rsid w:val="0026213E"/>
    <w:rsid w:val="00263531"/>
    <w:rsid w:val="0027022C"/>
    <w:rsid w:val="00274B17"/>
    <w:rsid w:val="002779DE"/>
    <w:rsid w:val="002809D7"/>
    <w:rsid w:val="00281DC5"/>
    <w:rsid w:val="00283E45"/>
    <w:rsid w:val="00284AA7"/>
    <w:rsid w:val="00287AB8"/>
    <w:rsid w:val="00294730"/>
    <w:rsid w:val="002A24FD"/>
    <w:rsid w:val="002B4299"/>
    <w:rsid w:val="002B50C1"/>
    <w:rsid w:val="002B50EA"/>
    <w:rsid w:val="002C439B"/>
    <w:rsid w:val="002C5D51"/>
    <w:rsid w:val="002C6136"/>
    <w:rsid w:val="002D02A9"/>
    <w:rsid w:val="002D1AA0"/>
    <w:rsid w:val="002D7B00"/>
    <w:rsid w:val="002E02D5"/>
    <w:rsid w:val="002E2F79"/>
    <w:rsid w:val="002F1366"/>
    <w:rsid w:val="002F25EE"/>
    <w:rsid w:val="002F374C"/>
    <w:rsid w:val="003167A3"/>
    <w:rsid w:val="00323A15"/>
    <w:rsid w:val="00330632"/>
    <w:rsid w:val="00337986"/>
    <w:rsid w:val="00345E07"/>
    <w:rsid w:val="003515C2"/>
    <w:rsid w:val="0035290D"/>
    <w:rsid w:val="00355615"/>
    <w:rsid w:val="003604F7"/>
    <w:rsid w:val="003605B5"/>
    <w:rsid w:val="00362131"/>
    <w:rsid w:val="003638C6"/>
    <w:rsid w:val="0036662B"/>
    <w:rsid w:val="00373689"/>
    <w:rsid w:val="00382D40"/>
    <w:rsid w:val="00383718"/>
    <w:rsid w:val="003875F2"/>
    <w:rsid w:val="003A6F60"/>
    <w:rsid w:val="003A705E"/>
    <w:rsid w:val="003C577E"/>
    <w:rsid w:val="003C6E1E"/>
    <w:rsid w:val="003D0C18"/>
    <w:rsid w:val="003D1F1F"/>
    <w:rsid w:val="003D3230"/>
    <w:rsid w:val="003E0903"/>
    <w:rsid w:val="003E2E6D"/>
    <w:rsid w:val="003E3546"/>
    <w:rsid w:val="003F3F40"/>
    <w:rsid w:val="00405015"/>
    <w:rsid w:val="00407470"/>
    <w:rsid w:val="00411FCA"/>
    <w:rsid w:val="0041259F"/>
    <w:rsid w:val="0042061C"/>
    <w:rsid w:val="00423481"/>
    <w:rsid w:val="00423B8A"/>
    <w:rsid w:val="004315EC"/>
    <w:rsid w:val="0044641A"/>
    <w:rsid w:val="00446ECA"/>
    <w:rsid w:val="00452D6A"/>
    <w:rsid w:val="00455FF4"/>
    <w:rsid w:val="00464B56"/>
    <w:rsid w:val="00476A70"/>
    <w:rsid w:val="00480869"/>
    <w:rsid w:val="004814A8"/>
    <w:rsid w:val="0048595F"/>
    <w:rsid w:val="004874D3"/>
    <w:rsid w:val="0049567B"/>
    <w:rsid w:val="004B1FE8"/>
    <w:rsid w:val="004C1111"/>
    <w:rsid w:val="004D230C"/>
    <w:rsid w:val="004D248F"/>
    <w:rsid w:val="004D4EA0"/>
    <w:rsid w:val="004F1364"/>
    <w:rsid w:val="004F2131"/>
    <w:rsid w:val="004F63BB"/>
    <w:rsid w:val="004F7A96"/>
    <w:rsid w:val="004F7B0E"/>
    <w:rsid w:val="00500E36"/>
    <w:rsid w:val="00501AA6"/>
    <w:rsid w:val="00503BA4"/>
    <w:rsid w:val="00504AEA"/>
    <w:rsid w:val="00511621"/>
    <w:rsid w:val="00516FE4"/>
    <w:rsid w:val="00526DEA"/>
    <w:rsid w:val="00531C4F"/>
    <w:rsid w:val="0053262E"/>
    <w:rsid w:val="00534A91"/>
    <w:rsid w:val="005402D3"/>
    <w:rsid w:val="00555646"/>
    <w:rsid w:val="00555FFB"/>
    <w:rsid w:val="00560687"/>
    <w:rsid w:val="00562B30"/>
    <w:rsid w:val="00574A3B"/>
    <w:rsid w:val="005819A8"/>
    <w:rsid w:val="005872E7"/>
    <w:rsid w:val="005A5562"/>
    <w:rsid w:val="005B37FB"/>
    <w:rsid w:val="005B54FD"/>
    <w:rsid w:val="005C1C5C"/>
    <w:rsid w:val="005C2B5F"/>
    <w:rsid w:val="005C4250"/>
    <w:rsid w:val="005C5C04"/>
    <w:rsid w:val="005D23F2"/>
    <w:rsid w:val="005D58B8"/>
    <w:rsid w:val="005E571E"/>
    <w:rsid w:val="005E7CEA"/>
    <w:rsid w:val="005F0EBE"/>
    <w:rsid w:val="005F2C5F"/>
    <w:rsid w:val="005F2EC1"/>
    <w:rsid w:val="005F494F"/>
    <w:rsid w:val="00605FF4"/>
    <w:rsid w:val="00624B4E"/>
    <w:rsid w:val="00631397"/>
    <w:rsid w:val="006317EB"/>
    <w:rsid w:val="006367E5"/>
    <w:rsid w:val="006368D3"/>
    <w:rsid w:val="0064094E"/>
    <w:rsid w:val="00640D41"/>
    <w:rsid w:val="006442C3"/>
    <w:rsid w:val="00647069"/>
    <w:rsid w:val="0065154F"/>
    <w:rsid w:val="00663ACC"/>
    <w:rsid w:val="006668F4"/>
    <w:rsid w:val="006670C7"/>
    <w:rsid w:val="006772EB"/>
    <w:rsid w:val="006827BE"/>
    <w:rsid w:val="006862BC"/>
    <w:rsid w:val="006A0650"/>
    <w:rsid w:val="006A5CEB"/>
    <w:rsid w:val="006A7B73"/>
    <w:rsid w:val="006D067A"/>
    <w:rsid w:val="006D2C88"/>
    <w:rsid w:val="006D3347"/>
    <w:rsid w:val="006D45FE"/>
    <w:rsid w:val="006D4EA5"/>
    <w:rsid w:val="006D7EAD"/>
    <w:rsid w:val="006E3581"/>
    <w:rsid w:val="006E4B6B"/>
    <w:rsid w:val="00704388"/>
    <w:rsid w:val="00706CFB"/>
    <w:rsid w:val="0071455F"/>
    <w:rsid w:val="00714EA9"/>
    <w:rsid w:val="007168FB"/>
    <w:rsid w:val="00721E62"/>
    <w:rsid w:val="00736A5B"/>
    <w:rsid w:val="00743EA1"/>
    <w:rsid w:val="00746EC2"/>
    <w:rsid w:val="00752836"/>
    <w:rsid w:val="0075446B"/>
    <w:rsid w:val="00756F3D"/>
    <w:rsid w:val="00762E8E"/>
    <w:rsid w:val="00763844"/>
    <w:rsid w:val="00766C66"/>
    <w:rsid w:val="007715FA"/>
    <w:rsid w:val="00774CEE"/>
    <w:rsid w:val="00780B1C"/>
    <w:rsid w:val="00785C41"/>
    <w:rsid w:val="00793CB5"/>
    <w:rsid w:val="007A2854"/>
    <w:rsid w:val="007A6134"/>
    <w:rsid w:val="007B0CB8"/>
    <w:rsid w:val="007C1857"/>
    <w:rsid w:val="007C279A"/>
    <w:rsid w:val="007D1418"/>
    <w:rsid w:val="007D59BB"/>
    <w:rsid w:val="007E4FF5"/>
    <w:rsid w:val="007E501F"/>
    <w:rsid w:val="007F591C"/>
    <w:rsid w:val="00811C85"/>
    <w:rsid w:val="00812120"/>
    <w:rsid w:val="008162E4"/>
    <w:rsid w:val="008210F4"/>
    <w:rsid w:val="00823968"/>
    <w:rsid w:val="00831AC8"/>
    <w:rsid w:val="00833BA0"/>
    <w:rsid w:val="00842680"/>
    <w:rsid w:val="00853F2A"/>
    <w:rsid w:val="00860382"/>
    <w:rsid w:val="0086336D"/>
    <w:rsid w:val="008743EA"/>
    <w:rsid w:val="00882E71"/>
    <w:rsid w:val="00885FA6"/>
    <w:rsid w:val="00894DA2"/>
    <w:rsid w:val="008A2B91"/>
    <w:rsid w:val="008A50A4"/>
    <w:rsid w:val="008B0FB4"/>
    <w:rsid w:val="008B1A7B"/>
    <w:rsid w:val="008B763E"/>
    <w:rsid w:val="008D6F13"/>
    <w:rsid w:val="008E0175"/>
    <w:rsid w:val="008E198C"/>
    <w:rsid w:val="008E6BE6"/>
    <w:rsid w:val="008E7D62"/>
    <w:rsid w:val="008F00A5"/>
    <w:rsid w:val="008F1F35"/>
    <w:rsid w:val="0090551A"/>
    <w:rsid w:val="009068D4"/>
    <w:rsid w:val="00907CE4"/>
    <w:rsid w:val="009126F3"/>
    <w:rsid w:val="00924538"/>
    <w:rsid w:val="0092548E"/>
    <w:rsid w:val="0093238C"/>
    <w:rsid w:val="00935C15"/>
    <w:rsid w:val="009373AF"/>
    <w:rsid w:val="00940C61"/>
    <w:rsid w:val="009412FE"/>
    <w:rsid w:val="00942548"/>
    <w:rsid w:val="00953B97"/>
    <w:rsid w:val="009543E9"/>
    <w:rsid w:val="00956651"/>
    <w:rsid w:val="0095688F"/>
    <w:rsid w:val="00961E4C"/>
    <w:rsid w:val="009754D5"/>
    <w:rsid w:val="00990451"/>
    <w:rsid w:val="009A0C09"/>
    <w:rsid w:val="009A6CE5"/>
    <w:rsid w:val="009B146B"/>
    <w:rsid w:val="009B2169"/>
    <w:rsid w:val="009B7D77"/>
    <w:rsid w:val="009D0C8D"/>
    <w:rsid w:val="009D25AE"/>
    <w:rsid w:val="009F2B15"/>
    <w:rsid w:val="009F69BC"/>
    <w:rsid w:val="009F6D8E"/>
    <w:rsid w:val="00A013AD"/>
    <w:rsid w:val="00A1134B"/>
    <w:rsid w:val="00A14EFF"/>
    <w:rsid w:val="00A176B1"/>
    <w:rsid w:val="00A17FA4"/>
    <w:rsid w:val="00A20CCB"/>
    <w:rsid w:val="00A25AC1"/>
    <w:rsid w:val="00A32701"/>
    <w:rsid w:val="00A45C4B"/>
    <w:rsid w:val="00A46CC3"/>
    <w:rsid w:val="00A54454"/>
    <w:rsid w:val="00A578F1"/>
    <w:rsid w:val="00A6151E"/>
    <w:rsid w:val="00A6765E"/>
    <w:rsid w:val="00A764FD"/>
    <w:rsid w:val="00A85ABE"/>
    <w:rsid w:val="00A91794"/>
    <w:rsid w:val="00A92B46"/>
    <w:rsid w:val="00A97A7E"/>
    <w:rsid w:val="00AA1BAF"/>
    <w:rsid w:val="00AA1F2A"/>
    <w:rsid w:val="00AB667B"/>
    <w:rsid w:val="00AC3512"/>
    <w:rsid w:val="00AE1696"/>
    <w:rsid w:val="00AE251E"/>
    <w:rsid w:val="00AE6C85"/>
    <w:rsid w:val="00AE7711"/>
    <w:rsid w:val="00AE7FB4"/>
    <w:rsid w:val="00AF176E"/>
    <w:rsid w:val="00AF201A"/>
    <w:rsid w:val="00AF67ED"/>
    <w:rsid w:val="00B05789"/>
    <w:rsid w:val="00B1450F"/>
    <w:rsid w:val="00B14E52"/>
    <w:rsid w:val="00B1650B"/>
    <w:rsid w:val="00B23C59"/>
    <w:rsid w:val="00B245FD"/>
    <w:rsid w:val="00B33597"/>
    <w:rsid w:val="00B35505"/>
    <w:rsid w:val="00B457C1"/>
    <w:rsid w:val="00B54203"/>
    <w:rsid w:val="00B60267"/>
    <w:rsid w:val="00B6361D"/>
    <w:rsid w:val="00B82EF6"/>
    <w:rsid w:val="00B85D89"/>
    <w:rsid w:val="00B90EF8"/>
    <w:rsid w:val="00B94A99"/>
    <w:rsid w:val="00B9553C"/>
    <w:rsid w:val="00BA5DB3"/>
    <w:rsid w:val="00BB08AE"/>
    <w:rsid w:val="00BB0CD5"/>
    <w:rsid w:val="00BB40D2"/>
    <w:rsid w:val="00BB4C68"/>
    <w:rsid w:val="00BB6131"/>
    <w:rsid w:val="00BD3340"/>
    <w:rsid w:val="00BD51BE"/>
    <w:rsid w:val="00BD54A5"/>
    <w:rsid w:val="00BD7EB4"/>
    <w:rsid w:val="00BE0413"/>
    <w:rsid w:val="00BE461C"/>
    <w:rsid w:val="00BE6129"/>
    <w:rsid w:val="00BE622E"/>
    <w:rsid w:val="00BF0D41"/>
    <w:rsid w:val="00C0242B"/>
    <w:rsid w:val="00C02EB7"/>
    <w:rsid w:val="00C11627"/>
    <w:rsid w:val="00C14858"/>
    <w:rsid w:val="00C20183"/>
    <w:rsid w:val="00C2152B"/>
    <w:rsid w:val="00C31AD4"/>
    <w:rsid w:val="00C3226A"/>
    <w:rsid w:val="00C328BB"/>
    <w:rsid w:val="00C3340D"/>
    <w:rsid w:val="00C35D43"/>
    <w:rsid w:val="00C43A29"/>
    <w:rsid w:val="00C6014C"/>
    <w:rsid w:val="00C643E5"/>
    <w:rsid w:val="00C6560E"/>
    <w:rsid w:val="00C80C46"/>
    <w:rsid w:val="00C82F51"/>
    <w:rsid w:val="00C865C1"/>
    <w:rsid w:val="00C9032F"/>
    <w:rsid w:val="00C919F7"/>
    <w:rsid w:val="00C91BF2"/>
    <w:rsid w:val="00C92CB8"/>
    <w:rsid w:val="00CA1233"/>
    <w:rsid w:val="00CA44F7"/>
    <w:rsid w:val="00CB4607"/>
    <w:rsid w:val="00CB6EF0"/>
    <w:rsid w:val="00CC66B2"/>
    <w:rsid w:val="00CD626D"/>
    <w:rsid w:val="00CF2D01"/>
    <w:rsid w:val="00D07536"/>
    <w:rsid w:val="00D10A4A"/>
    <w:rsid w:val="00D1399F"/>
    <w:rsid w:val="00D20FFD"/>
    <w:rsid w:val="00D3651A"/>
    <w:rsid w:val="00D37945"/>
    <w:rsid w:val="00D47FA6"/>
    <w:rsid w:val="00D5236E"/>
    <w:rsid w:val="00D55DD9"/>
    <w:rsid w:val="00D56918"/>
    <w:rsid w:val="00D5769B"/>
    <w:rsid w:val="00D628FA"/>
    <w:rsid w:val="00D63CC3"/>
    <w:rsid w:val="00D6450E"/>
    <w:rsid w:val="00D66677"/>
    <w:rsid w:val="00D822F2"/>
    <w:rsid w:val="00D92BE9"/>
    <w:rsid w:val="00D95429"/>
    <w:rsid w:val="00DA34A0"/>
    <w:rsid w:val="00DB0D3D"/>
    <w:rsid w:val="00DB10E2"/>
    <w:rsid w:val="00DC1EA9"/>
    <w:rsid w:val="00DC2EA4"/>
    <w:rsid w:val="00DD757D"/>
    <w:rsid w:val="00DE0F1B"/>
    <w:rsid w:val="00DE6CF5"/>
    <w:rsid w:val="00DF4B28"/>
    <w:rsid w:val="00E00256"/>
    <w:rsid w:val="00E074E8"/>
    <w:rsid w:val="00E13E6F"/>
    <w:rsid w:val="00E17E62"/>
    <w:rsid w:val="00E54BBC"/>
    <w:rsid w:val="00E54E6A"/>
    <w:rsid w:val="00E71283"/>
    <w:rsid w:val="00E7363A"/>
    <w:rsid w:val="00E74624"/>
    <w:rsid w:val="00E76482"/>
    <w:rsid w:val="00E76BF6"/>
    <w:rsid w:val="00E94A8A"/>
    <w:rsid w:val="00E95202"/>
    <w:rsid w:val="00EA7F81"/>
    <w:rsid w:val="00EB6319"/>
    <w:rsid w:val="00EC0DE7"/>
    <w:rsid w:val="00EE12C0"/>
    <w:rsid w:val="00EE2E26"/>
    <w:rsid w:val="00EE3AA5"/>
    <w:rsid w:val="00EE5867"/>
    <w:rsid w:val="00F021A6"/>
    <w:rsid w:val="00F02D2E"/>
    <w:rsid w:val="00F048CE"/>
    <w:rsid w:val="00F04A59"/>
    <w:rsid w:val="00F07F0E"/>
    <w:rsid w:val="00F111A9"/>
    <w:rsid w:val="00F1259C"/>
    <w:rsid w:val="00F16C61"/>
    <w:rsid w:val="00F235C0"/>
    <w:rsid w:val="00F24711"/>
    <w:rsid w:val="00F24D84"/>
    <w:rsid w:val="00F250BC"/>
    <w:rsid w:val="00F3257A"/>
    <w:rsid w:val="00F32891"/>
    <w:rsid w:val="00F35433"/>
    <w:rsid w:val="00F574CE"/>
    <w:rsid w:val="00F60CD1"/>
    <w:rsid w:val="00F70959"/>
    <w:rsid w:val="00F7425F"/>
    <w:rsid w:val="00FA17F5"/>
    <w:rsid w:val="00FA4DC7"/>
    <w:rsid w:val="00FA5546"/>
    <w:rsid w:val="00FC2A65"/>
    <w:rsid w:val="00FC3CB8"/>
    <w:rsid w:val="00FD3D62"/>
    <w:rsid w:val="00FE1E8A"/>
    <w:rsid w:val="00FE4EF6"/>
    <w:rsid w:val="00FE5D88"/>
    <w:rsid w:val="00FF253A"/>
    <w:rsid w:val="08DB62FB"/>
    <w:rsid w:val="0A304C49"/>
    <w:rsid w:val="0C8B25D8"/>
    <w:rsid w:val="0D6477E2"/>
    <w:rsid w:val="0D772147"/>
    <w:rsid w:val="11272389"/>
    <w:rsid w:val="14602C0F"/>
    <w:rsid w:val="20F4256D"/>
    <w:rsid w:val="251A2FC9"/>
    <w:rsid w:val="26122659"/>
    <w:rsid w:val="27811D5F"/>
    <w:rsid w:val="283C3540"/>
    <w:rsid w:val="289472FF"/>
    <w:rsid w:val="324A53B8"/>
    <w:rsid w:val="326D39DC"/>
    <w:rsid w:val="36EA3DD9"/>
    <w:rsid w:val="37507D20"/>
    <w:rsid w:val="37531CCB"/>
    <w:rsid w:val="377B615C"/>
    <w:rsid w:val="38AD6463"/>
    <w:rsid w:val="39981D1B"/>
    <w:rsid w:val="3E3C02D0"/>
    <w:rsid w:val="42BA0356"/>
    <w:rsid w:val="4E1E743E"/>
    <w:rsid w:val="4FBE0745"/>
    <w:rsid w:val="53715EFD"/>
    <w:rsid w:val="57244F42"/>
    <w:rsid w:val="581F139C"/>
    <w:rsid w:val="635129F7"/>
    <w:rsid w:val="653626FF"/>
    <w:rsid w:val="67A96864"/>
    <w:rsid w:val="69212A60"/>
    <w:rsid w:val="6AEF7046"/>
    <w:rsid w:val="6F097AC5"/>
    <w:rsid w:val="72A7688D"/>
    <w:rsid w:val="72B936EF"/>
    <w:rsid w:val="79333D81"/>
    <w:rsid w:val="7AAD292F"/>
    <w:rsid w:val="7AEB05E6"/>
    <w:rsid w:val="7C7A66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3">
    <w:name w:val="heading 2"/>
    <w:basedOn w:val="1"/>
    <w:next w:val="1"/>
    <w:qFormat/>
    <w:locked/>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locked/>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Normal Indent"/>
    <w:basedOn w:val="1"/>
    <w:unhideWhenUsed/>
    <w:qFormat/>
    <w:uiPriority w:val="99"/>
    <w:pPr>
      <w:autoSpaceDE w:val="0"/>
      <w:autoSpaceDN w:val="0"/>
      <w:ind w:firstLine="420" w:firstLineChars="200"/>
      <w:jc w:val="left"/>
    </w:pPr>
    <w:rPr>
      <w:rFonts w:hAnsi="仿宋_GB2312"/>
      <w:kern w:val="0"/>
      <w:sz w:val="22"/>
      <w:szCs w:val="20"/>
      <w:lang w:eastAsia="en-US"/>
    </w:rPr>
  </w:style>
  <w:style w:type="paragraph" w:styleId="6">
    <w:name w:val="Body Text Indent"/>
    <w:basedOn w:val="1"/>
    <w:qFormat/>
    <w:uiPriority w:val="0"/>
    <w:pPr>
      <w:autoSpaceDE w:val="0"/>
      <w:autoSpaceDN w:val="0"/>
      <w:adjustRightInd w:val="0"/>
      <w:spacing w:before="17" w:line="480" w:lineRule="exact"/>
      <w:ind w:right="186" w:firstLine="560" w:firstLineChars="200"/>
    </w:pPr>
    <w:rPr>
      <w:kern w:val="0"/>
      <w:sz w:val="28"/>
      <w:szCs w:val="28"/>
    </w:rPr>
  </w:style>
  <w:style w:type="paragraph" w:styleId="7">
    <w:name w:val="toc 3"/>
    <w:next w:val="1"/>
    <w:unhideWhenUsed/>
    <w:qFormat/>
    <w:locked/>
    <w:uiPriority w:val="39"/>
    <w:pPr>
      <w:widowControl w:val="0"/>
      <w:spacing w:line="640" w:lineRule="exact"/>
      <w:ind w:firstLine="720" w:firstLineChars="200"/>
      <w:jc w:val="both"/>
    </w:pPr>
    <w:rPr>
      <w:rFonts w:ascii="仿宋_GB2312" w:hAnsi="Times New Roman" w:eastAsia="仿宋_GB2312" w:cs="Times New Roman"/>
      <w:kern w:val="2"/>
      <w:sz w:val="36"/>
      <w:szCs w:val="36"/>
      <w:lang w:val="en-US" w:eastAsia="zh-CN" w:bidi="ar-SA"/>
    </w:rPr>
  </w:style>
  <w:style w:type="paragraph" w:styleId="8">
    <w:name w:val="Plain Text"/>
    <w:basedOn w:val="1"/>
    <w:next w:val="1"/>
    <w:qFormat/>
    <w:uiPriority w:val="99"/>
    <w:pPr>
      <w:overflowPunct w:val="0"/>
      <w:spacing w:line="560" w:lineRule="exact"/>
      <w:ind w:firstLine="880" w:firstLineChars="200"/>
    </w:pPr>
    <w:rPr>
      <w:rFonts w:ascii="宋体" w:hAnsi="宋体" w:eastAsia="仿宋_GB2312"/>
      <w:sz w:val="32"/>
      <w:szCs w:val="20"/>
      <w:lang w:val="zh-CN"/>
    </w:rPr>
  </w:style>
  <w:style w:type="paragraph" w:styleId="9">
    <w:name w:val="Date"/>
    <w:basedOn w:val="1"/>
    <w:next w:val="1"/>
    <w:link w:val="16"/>
    <w:qFormat/>
    <w:uiPriority w:val="99"/>
    <w:pPr>
      <w:ind w:left="100" w:leftChars="2500"/>
    </w:pPr>
  </w:style>
  <w:style w:type="paragraph" w:styleId="10">
    <w:name w:val="Balloon Text"/>
    <w:basedOn w:val="1"/>
    <w:link w:val="17"/>
    <w:semiHidden/>
    <w:qFormat/>
    <w:uiPriority w:val="99"/>
    <w:rPr>
      <w:sz w:val="18"/>
      <w:szCs w:val="18"/>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5">
    <w:name w:val="page number"/>
    <w:basedOn w:val="14"/>
    <w:qFormat/>
    <w:uiPriority w:val="0"/>
  </w:style>
  <w:style w:type="character" w:customStyle="1" w:styleId="16">
    <w:name w:val="日期 Char"/>
    <w:link w:val="9"/>
    <w:semiHidden/>
    <w:qFormat/>
    <w:locked/>
    <w:uiPriority w:val="99"/>
    <w:rPr>
      <w:sz w:val="21"/>
      <w:szCs w:val="21"/>
    </w:rPr>
  </w:style>
  <w:style w:type="character" w:customStyle="1" w:styleId="17">
    <w:name w:val="批注框文本 Char"/>
    <w:link w:val="10"/>
    <w:semiHidden/>
    <w:qFormat/>
    <w:locked/>
    <w:uiPriority w:val="99"/>
    <w:rPr>
      <w:sz w:val="2"/>
      <w:szCs w:val="2"/>
    </w:rPr>
  </w:style>
  <w:style w:type="character" w:customStyle="1" w:styleId="18">
    <w:name w:val="页眉 Char"/>
    <w:link w:val="12"/>
    <w:qFormat/>
    <w:locked/>
    <w:uiPriority w:val="99"/>
    <w:rPr>
      <w:kern w:val="2"/>
      <w:sz w:val="18"/>
      <w:szCs w:val="18"/>
    </w:rPr>
  </w:style>
  <w:style w:type="character" w:customStyle="1" w:styleId="19">
    <w:name w:val="页脚 Char"/>
    <w:link w:val="11"/>
    <w:qFormat/>
    <w:locked/>
    <w:uiPriority w:val="99"/>
    <w:rPr>
      <w:kern w:val="2"/>
      <w:sz w:val="18"/>
      <w:szCs w:val="18"/>
    </w:rPr>
  </w:style>
  <w:style w:type="paragraph" w:customStyle="1" w:styleId="20">
    <w:name w:val="Char Char Char Char"/>
    <w:basedOn w:val="1"/>
    <w:qFormat/>
    <w:uiPriority w:val="99"/>
    <w:rPr>
      <w:rFonts w:ascii="Times New Roman" w:eastAsia="宋体" w:cs="Times New Roman"/>
      <w:sz w:val="21"/>
      <w:szCs w:val="21"/>
    </w:rPr>
  </w:style>
  <w:style w:type="paragraph" w:customStyle="1" w:styleId="21">
    <w:name w:val="p0"/>
    <w:basedOn w:val="1"/>
    <w:qFormat/>
    <w:uiPriority w:val="0"/>
    <w:pPr>
      <w:widowControl/>
    </w:pPr>
    <w:rPr>
      <w:rFonts w:ascii="Times New Roman" w:eastAsia="宋体" w:cs="Times New Roman"/>
      <w:kern w:val="0"/>
      <w:sz w:val="21"/>
      <w:szCs w:val="21"/>
    </w:rPr>
  </w:style>
  <w:style w:type="paragraph" w:styleId="22">
    <w:name w:val="List Paragraph"/>
    <w:basedOn w:val="1"/>
    <w:qFormat/>
    <w:uiPriority w:val="34"/>
    <w:pPr>
      <w:ind w:firstLine="420" w:firstLineChars="200"/>
    </w:pPr>
    <w:rPr>
      <w:rFonts w:ascii="Times New Roman"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06561-0A2E-4743-8C1C-FB17D4545F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61</Words>
  <Characters>351</Characters>
  <Lines>2</Lines>
  <Paragraphs>1</Paragraphs>
  <TotalTime>10</TotalTime>
  <ScaleCrop>false</ScaleCrop>
  <LinksUpToDate>false</LinksUpToDate>
  <CharactersWithSpaces>411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2021-09-06T07:33:00Z</dcterms:created>
  <dc:creator>微软用户</dc:creator>
  <cp:lastModifiedBy>袁帅</cp:lastModifiedBy>
  <cp:lastPrinted>2022-11-01T06:00:00Z</cp:lastPrinted>
  <dcterms:modified xsi:type="dcterms:W3CDTF">2025-02-28T05:39:56Z</dcterms:modified>
  <dc:title>中共北京市西城区委广外街道工委</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