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西城区新街口街道办事处2014年政府信息公开工作年度报告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/>
        <w:ind w:left="0" w:right="0" w:firstLine="480" w:firstLineChars="200"/>
        <w:textAlignment w:val="auto"/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4"/>
          <w:szCs w:val="24"/>
        </w:rPr>
        <w:t>本报告是根据《中华人民共和国政府信息公开条例》（以下简称《条例》）要求，由西城区新街口街道编制的2014年度政府信息公开工作年度报告。全文内容分为:概述，主动公</w:t>
      </w:r>
      <w:bookmarkStart w:id="0" w:name="_GoBack"/>
      <w:bookmarkEnd w:id="0"/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4"/>
          <w:szCs w:val="24"/>
        </w:rPr>
        <w:t>开政府信息的情况，依申请公开政府信息和不予公开政府信息的情况，政府信息公开的人员、收费及减免情况，政府信息公开咨询情况，因政府信息公开申请行政复议、提起行政诉讼的情况，政府信息公开工作存在的主要问题、改进情况和其他需要报告的事项。报告后附相关的说明和指标统计图表。区政府网站（http://www.bjxch.gov.cn）政府信息公开专栏上可下载本报告的电子版。如对本报告有任何疑问，请联系：西城区人民政府新街口街道办事处办公室（地址：北京市西城区西直门内大街128号新街口街道办事处办公室，联系电话:66002800，传真：66002804）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/>
        <w:ind w:left="0" w:right="0" w:firstLine="480" w:firstLineChars="200"/>
        <w:textAlignment w:val="auto"/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4"/>
          <w:szCs w:val="24"/>
        </w:rPr>
        <w:t>概述根据《条例》要求，2008年5月1日起本单位开始开展政府信息公开工作。为此，专门配备了5名兼职工作人员，设立了1个专门的信息申请受理点，并开辟了3处公共查阅点。截至2014年底，本单位政府信息公开工作运行正常，政府信息公开咨询、申请以及答复工作均得到了顺利开展。2014年，按照市、区政府统一部署，本街道认真贯彻《条例》的各项要求，结合重点工作，着眼巩固基础，探索工作创新，实现稳步提高。一是不断完善本单位政府信息公开工作各项机制，保障本单位政府信息公开工作顺利进行。二是认真贯彻《条例》和市、区有关文件精神，结合实际，建立健全本单位政务公开相关制度体系。三是不断完善传统信息公开方式，丰富和拓展政府信息公开渠道。四是加大信息公开力度，及时公开政府信息，提升透明度水平。截</w:t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至</w:t>
      </w: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4"/>
          <w:szCs w:val="24"/>
        </w:rPr>
        <w:t>2014年底，本单位政府信息公开工作呈现出了运行平稳、成效显现的良好态势。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/>
        <w:ind w:left="0" w:leftChars="0" w:right="0" w:rightChars="0" w:firstLine="480" w:firstLineChars="200"/>
        <w:textAlignment w:val="auto"/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4"/>
          <w:szCs w:val="24"/>
        </w:rPr>
        <w:t>政府信息主动公开情况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/>
        <w:ind w:right="0" w:rightChars="0"/>
        <w:textAlignment w:val="auto"/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4"/>
          <w:szCs w:val="24"/>
        </w:rPr>
        <w:t>公开情况本单位2014年共主动公开政府信息285条，其中全文电子化率达100%。在主动公开的信息中，机构职能类信息6条，占总体的比例为2.10%；法规文件类信息1条，占总体的比例为0.35%；规划计划类信息3条，占总体的比例为1.05%；业务动态类信息275条，占总体的比例为96.48%。2014年，本单位继续充分发挥西城区政府信息公开网站功能，及时更新发布相关业务动态信息，重点推进与市民密切相关的行政事务信息的公开。畅通公开渠道，及时对街道的区域概况、管理职能及人事调整、变动情况，机关内设机构、主要职责和主要领导人简历等内容进行更新，满足公众知情权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/>
        <w:ind w:right="0" w:rightChars="0"/>
        <w:textAlignment w:val="auto"/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4"/>
          <w:szCs w:val="24"/>
        </w:rPr>
        <w:t>（二）公开形式在主动公开的信息中，为方便公众了解信息，本单位在政府网站上对主动公开的信息进行及时更新，并在本地区范围内设立了3处政府信息公开查阅点。为方便公众查询，本单位不断更新主动公开信息检索目录，并在各处查阅点张贴宣传海报，通过社区居委会对本单位政府信息公开工作向公众进行宣传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/>
        <w:ind w:left="0" w:leftChars="0" w:right="0" w:rightChars="0" w:firstLine="480" w:firstLineChars="200"/>
        <w:textAlignment w:val="auto"/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4"/>
          <w:szCs w:val="24"/>
        </w:rPr>
        <w:t>政府信息依申请公开情况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/>
        <w:ind w:right="0" w:rightChars="0"/>
        <w:textAlignment w:val="auto"/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4"/>
          <w:szCs w:val="24"/>
        </w:rPr>
        <w:t>申请情况本单位2014年度共收到政府信息公开申请6件，同上年相比，增加5条。其中，当面申请5件，占总数的83.3%，同上年相比，增加5条；通过互联网提交申请1件，占总数的16.7%，同上年相比，增加1条。从申请的信息内容来看，16.7%是机构职能类信息，16.7%是法规文件类信息，66.66%是行政职责类信息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/>
        <w:ind w:right="0" w:rightChars="0"/>
        <w:textAlignment w:val="auto"/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4"/>
          <w:szCs w:val="24"/>
        </w:rPr>
        <w:t>（二）答复情况在已经答复的6件申请中： “非本单位掌握”的6件，占总数的100％。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/>
        <w:ind w:left="0" w:leftChars="0" w:right="0" w:rightChars="0" w:firstLine="480" w:firstLineChars="200"/>
        <w:textAlignment w:val="auto"/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4"/>
          <w:szCs w:val="24"/>
        </w:rPr>
        <w:t>人员和收支情况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/>
        <w:ind w:right="0" w:rightChars="0"/>
        <w:textAlignment w:val="auto"/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4"/>
          <w:szCs w:val="24"/>
        </w:rPr>
        <w:t>工作人员情况本单位从事政府信息公开工作的有兼职人员共5人，同上年工作人数相同。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/>
        <w:ind w:left="0" w:leftChars="0" w:right="0" w:rightChars="0" w:firstLine="0" w:firstLineChars="0"/>
        <w:textAlignment w:val="auto"/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4"/>
          <w:szCs w:val="24"/>
        </w:rPr>
        <w:t>依申请公开政府信息收费情况2014年本单位不存在依申请公开政府信息收费情况。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/>
        <w:ind w:leftChars="0" w:right="0" w:rightChars="0"/>
        <w:textAlignment w:val="auto"/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4"/>
          <w:szCs w:val="24"/>
        </w:rPr>
        <w:t>（三）与诉讼有关的费用支出2014年本单位没有发生与诉讼有关的费用支出。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/>
        <w:ind w:left="0" w:leftChars="0" w:right="0" w:rightChars="0" w:firstLine="480" w:firstLineChars="200"/>
        <w:textAlignment w:val="auto"/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4"/>
          <w:szCs w:val="24"/>
        </w:rPr>
        <w:t>咨询情况2014年，本单位共接受公民、法人及其他组织政府信息公开方面的咨询11人次。其中，现场咨询5人次，占总数的45.5%；电话咨询6人次，占总数的54.5%。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/>
        <w:ind w:left="0" w:leftChars="0" w:right="0" w:rightChars="0" w:firstLine="480" w:firstLineChars="200"/>
        <w:textAlignment w:val="auto"/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4"/>
          <w:szCs w:val="24"/>
        </w:rPr>
        <w:t>行政复议和行政诉讼情况2014年，未发生针对本单位政府信息公开的行政复议申请和行政诉讼案。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/>
        <w:ind w:left="0" w:leftChars="0" w:right="0" w:rightChars="0" w:firstLine="480" w:firstLineChars="200"/>
        <w:textAlignment w:val="auto"/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4"/>
          <w:szCs w:val="24"/>
        </w:rPr>
        <w:t>主要问题和改进措施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/>
        <w:ind w:right="0" w:rightChars="0"/>
        <w:textAlignment w:val="auto"/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4"/>
          <w:szCs w:val="24"/>
        </w:rPr>
        <w:t>主要问题2014年，新街口街道进一步规范和完善信息公开制度，加大信息公开力度，取得了一定的成绩，但与《条例》要求和公众需求仍存在一定的差距：一是信息公开的工作体制、机制和制度建设仍需完善。街道虽然建立了工作机构，明确了负责人，建立了制度，但工作人员均为兼职，影响实际工作效果；二是信息公开时效性有待加强。  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/>
        <w:ind w:right="0" w:rightChars="0"/>
        <w:textAlignment w:val="auto"/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4"/>
          <w:szCs w:val="24"/>
        </w:rPr>
        <w:t>（二）改进措施2015年新街口街道将继续扎实做好政府信息公开工作，切实发挥政府信息对人民群众生产、生活和经济社会活动的服务作用。（1）进一步规范依申请公开工作。进一步完善依申请公开制度，探索依申请受理的工作模式，通过调研、交流、观摩等方式，学习依申请公开工作经验。（2）加大信息公开力度，丰富与辖区百姓居民生活密切相关的信息，保证各类公开信息的及时性和完整性。（3）充分利用各种资源，多层次渠道开展《条例》宣传工作，方便公众获取信息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/>
        <w:ind w:left="0" w:leftChars="0" w:right="0" w:rightChars="0" w:firstLine="480" w:firstLineChars="200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附图附表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/>
        <w:ind w:leftChars="0" w:right="0" w:rightChars="0" w:firstLine="480" w:firstLineChars="200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附图一：本单位近年政府信息主动公开数量变化情况   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/>
        <w:ind w:leftChars="0" w:right="0" w:rightChars="0" w:firstLine="480" w:firstLineChars="200"/>
        <w:textAlignment w:val="auto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附图二：本单位近年依申请公开政府信息数量变化情况 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Style w:val="5"/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附表一：主动公开情况统计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 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rPr>
          <w:rFonts w:hint="default" w:ascii="Verdana" w:hAnsi="Verdana" w:cs="Verdana"/>
          <w:color w:val="444444"/>
          <w:sz w:val="18"/>
          <w:szCs w:val="18"/>
        </w:rPr>
      </w:pPr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  <w:shd w:val="clear" w:fill="FFFFFF"/>
        </w:rPr>
        <w:t>   </w:t>
      </w:r>
    </w:p>
    <w:tbl>
      <w:tblPr>
        <w:tblStyle w:val="3"/>
        <w:tblW w:w="104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88"/>
        <w:gridCol w:w="2731"/>
        <w:gridCol w:w="27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指    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               </w:t>
            </w:r>
          </w:p>
        </w:tc>
        <w:tc>
          <w:tcPr>
            <w:tcW w:w="27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单位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                </w:t>
            </w:r>
          </w:p>
        </w:tc>
        <w:tc>
          <w:tcPr>
            <w:tcW w:w="27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数量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             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9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主动公开信息数</w:t>
            </w:r>
          </w:p>
        </w:tc>
        <w:tc>
          <w:tcPr>
            <w:tcW w:w="27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条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9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其中：全文电子化的主动公开信息数</w:t>
            </w:r>
          </w:p>
        </w:tc>
        <w:tc>
          <w:tcPr>
            <w:tcW w:w="27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条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9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新增的行政规范性文件数</w:t>
            </w:r>
          </w:p>
        </w:tc>
        <w:tc>
          <w:tcPr>
            <w:tcW w:w="27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条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   </w:t>
      </w:r>
    </w:p>
    <w:p>
      <w:pPr>
        <w:keepNext w:val="0"/>
        <w:keepLines w:val="0"/>
        <w:widowControl/>
        <w:suppressLineNumbers w:val="0"/>
        <w:ind w:left="0" w:firstLine="45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</w:t>
      </w:r>
      <w:r>
        <w:rPr>
          <w:rStyle w:val="5"/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附表二：依申请公开情况统计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rPr>
          <w:rFonts w:hint="default" w:ascii="Verdana" w:hAnsi="Verdana" w:cs="Verdana"/>
          <w:color w:val="444444"/>
          <w:sz w:val="18"/>
          <w:szCs w:val="18"/>
        </w:rPr>
      </w:pPr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  <w:shd w:val="clear" w:fill="FFFFFF"/>
        </w:rPr>
        <w:t>   </w:t>
      </w:r>
    </w:p>
    <w:tbl>
      <w:tblPr>
        <w:tblStyle w:val="3"/>
        <w:tblW w:w="104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94"/>
        <w:gridCol w:w="2731"/>
        <w:gridCol w:w="27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指     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               </w:t>
            </w:r>
          </w:p>
        </w:tc>
        <w:tc>
          <w:tcPr>
            <w:tcW w:w="27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单位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                </w:t>
            </w:r>
          </w:p>
        </w:tc>
        <w:tc>
          <w:tcPr>
            <w:tcW w:w="27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数量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             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9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本年度申请总数</w:t>
            </w:r>
          </w:p>
        </w:tc>
        <w:tc>
          <w:tcPr>
            <w:tcW w:w="27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条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9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其中：1.当面申请数</w:t>
            </w:r>
          </w:p>
        </w:tc>
        <w:tc>
          <w:tcPr>
            <w:tcW w:w="27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条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9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2.传真申请数</w:t>
            </w:r>
          </w:p>
        </w:tc>
        <w:tc>
          <w:tcPr>
            <w:tcW w:w="27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条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9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3.互联网申请数</w:t>
            </w:r>
          </w:p>
        </w:tc>
        <w:tc>
          <w:tcPr>
            <w:tcW w:w="27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条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9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4.信函申请数</w:t>
            </w:r>
          </w:p>
        </w:tc>
        <w:tc>
          <w:tcPr>
            <w:tcW w:w="27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条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9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对申请的答复总数</w:t>
            </w:r>
          </w:p>
        </w:tc>
        <w:tc>
          <w:tcPr>
            <w:tcW w:w="27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条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9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其中： 1.同意公开答复数</w:t>
            </w:r>
          </w:p>
        </w:tc>
        <w:tc>
          <w:tcPr>
            <w:tcW w:w="27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条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9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2.同意部分公开答复数</w:t>
            </w:r>
          </w:p>
        </w:tc>
        <w:tc>
          <w:tcPr>
            <w:tcW w:w="27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条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9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3.不予公开答复总数</w:t>
            </w:r>
          </w:p>
        </w:tc>
        <w:tc>
          <w:tcPr>
            <w:tcW w:w="27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条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9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4.信息不存在数</w:t>
            </w:r>
          </w:p>
        </w:tc>
        <w:tc>
          <w:tcPr>
            <w:tcW w:w="27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条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9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    5.非本单位掌握</w:t>
            </w:r>
          </w:p>
        </w:tc>
        <w:tc>
          <w:tcPr>
            <w:tcW w:w="27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条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9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    6.申请内容不明确</w:t>
            </w:r>
          </w:p>
        </w:tc>
        <w:tc>
          <w:tcPr>
            <w:tcW w:w="27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条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   </w:t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5"/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 </w:t>
      </w:r>
      <w:r>
        <w:rPr>
          <w:rStyle w:val="5"/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附表三：咨询情况统计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   </w:t>
      </w:r>
    </w:p>
    <w:tbl>
      <w:tblPr>
        <w:tblStyle w:val="3"/>
        <w:tblW w:w="104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96"/>
        <w:gridCol w:w="2731"/>
        <w:gridCol w:w="28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指     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               </w:t>
            </w:r>
          </w:p>
        </w:tc>
        <w:tc>
          <w:tcPr>
            <w:tcW w:w="27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单位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                </w:t>
            </w:r>
          </w:p>
        </w:tc>
        <w:tc>
          <w:tcPr>
            <w:tcW w:w="28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数量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             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89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现场咨询数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               </w:t>
            </w:r>
          </w:p>
        </w:tc>
        <w:tc>
          <w:tcPr>
            <w:tcW w:w="27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次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              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89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电话咨询数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               </w:t>
            </w:r>
          </w:p>
        </w:tc>
        <w:tc>
          <w:tcPr>
            <w:tcW w:w="27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次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              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89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网上咨询数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               </w:t>
            </w:r>
          </w:p>
        </w:tc>
        <w:tc>
          <w:tcPr>
            <w:tcW w:w="27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次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              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Style w:val="5"/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附表四：人员与支出情况统计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   </w:t>
      </w:r>
    </w:p>
    <w:tbl>
      <w:tblPr>
        <w:tblStyle w:val="3"/>
        <w:tblW w:w="104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82"/>
        <w:gridCol w:w="2731"/>
        <w:gridCol w:w="28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指    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               </w:t>
            </w:r>
          </w:p>
        </w:tc>
        <w:tc>
          <w:tcPr>
            <w:tcW w:w="27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单位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                </w:t>
            </w:r>
          </w:p>
        </w:tc>
        <w:tc>
          <w:tcPr>
            <w:tcW w:w="28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数量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             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依申请提供政府信息收取费用总额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               </w:t>
            </w:r>
          </w:p>
        </w:tc>
        <w:tc>
          <w:tcPr>
            <w:tcW w:w="27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元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              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依申请提供政府信息减免收费总额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               </w:t>
            </w:r>
          </w:p>
        </w:tc>
        <w:tc>
          <w:tcPr>
            <w:tcW w:w="27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元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              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与行政诉讼有关的费用支出总额</w:t>
            </w:r>
          </w:p>
        </w:tc>
        <w:tc>
          <w:tcPr>
            <w:tcW w:w="27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元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政府信息公开指定专职人员总数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               </w:t>
            </w:r>
          </w:p>
        </w:tc>
        <w:tc>
          <w:tcPr>
            <w:tcW w:w="27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人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              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其中：1.全职人员数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               </w:t>
            </w:r>
          </w:p>
        </w:tc>
        <w:tc>
          <w:tcPr>
            <w:tcW w:w="27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人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              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8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2.兼职人员数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               </w:t>
            </w:r>
          </w:p>
        </w:tc>
        <w:tc>
          <w:tcPr>
            <w:tcW w:w="27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人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              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0CFE9F"/>
    <w:multiLevelType w:val="singleLevel"/>
    <w:tmpl w:val="9C0CFE9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7251387"/>
    <w:multiLevelType w:val="singleLevel"/>
    <w:tmpl w:val="C725138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151ADEE5"/>
    <w:multiLevelType w:val="singleLevel"/>
    <w:tmpl w:val="151ADEE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498C9925"/>
    <w:multiLevelType w:val="singleLevel"/>
    <w:tmpl w:val="498C992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7321B501"/>
    <w:multiLevelType w:val="singleLevel"/>
    <w:tmpl w:val="7321B50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241ADD"/>
    <w:rsid w:val="63D4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2025-03-03T07:04:38Z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E0D2D95F54D94C519799A9FE7D3A9DE1</vt:lpwstr>
  </property>
</Properties>
</file>