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60"/>
        <w:ind w:firstLine="0" w:firstLineChars="0"/>
        <w:outlineLvl w:val="0"/>
        <w:rPr>
          <w:rFonts w:hint="eastAsia" w:ascii="Cambria" w:hAnsi="Cambria" w:eastAsia="宋体"/>
          <w:b/>
          <w:bCs/>
          <w:sz w:val="30"/>
          <w:szCs w:val="30"/>
        </w:rPr>
      </w:pPr>
      <w:r>
        <w:rPr>
          <w:rFonts w:hint="eastAsia" w:ascii="Cambria" w:hAnsi="Cambria" w:eastAsia="宋体"/>
          <w:b/>
          <w:bCs/>
          <w:sz w:val="30"/>
          <w:szCs w:val="30"/>
        </w:rPr>
        <w:t>表十一：</w:t>
      </w:r>
    </w:p>
    <w:p>
      <w:pPr>
        <w:spacing w:before="240" w:after="60"/>
        <w:ind w:firstLine="0" w:firstLineChars="0"/>
        <w:jc w:val="center"/>
        <w:outlineLvl w:val="0"/>
        <w:rPr>
          <w:rFonts w:ascii="Cambria" w:hAnsi="Cambria" w:eastAsia="宋体"/>
          <w:b/>
          <w:bCs/>
          <w:sz w:val="30"/>
          <w:szCs w:val="30"/>
        </w:rPr>
      </w:pPr>
      <w:r>
        <w:rPr>
          <w:rFonts w:hint="eastAsia" w:ascii="仿宋_GB2312"/>
          <w:b/>
          <w:sz w:val="36"/>
          <w:szCs w:val="36"/>
        </w:rPr>
        <w:t>部门整体支出绩效目标申报表</w:t>
      </w:r>
    </w:p>
    <w:p>
      <w:pPr>
        <w:spacing w:line="360" w:lineRule="auto"/>
        <w:ind w:firstLine="0" w:firstLineChars="0"/>
        <w:jc w:val="center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（2019年度）</w:t>
      </w:r>
    </w:p>
    <w:tbl>
      <w:tblPr>
        <w:tblStyle w:val="5"/>
        <w:tblW w:w="577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8"/>
        <w:gridCol w:w="1982"/>
        <w:gridCol w:w="50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0" w:firstLineChars="0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部门（单位）名称</w:t>
            </w:r>
          </w:p>
        </w:tc>
        <w:tc>
          <w:tcPr>
            <w:tcW w:w="8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Chars="0"/>
              <w:jc w:val="center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北京市西城区科技和信息化委员会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0" w:firstLineChars="0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部门（单位）负责人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304" w:firstLineChars="145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杨 秋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5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83976563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0" w:firstLineChars="0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部门（单位）总体资金情况（万元）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资金总额</w:t>
            </w:r>
          </w:p>
        </w:tc>
        <w:tc>
          <w:tcPr>
            <w:tcW w:w="70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9093.10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基本支出</w:t>
            </w:r>
          </w:p>
        </w:tc>
        <w:tc>
          <w:tcPr>
            <w:tcW w:w="70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1985.69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项目支出</w:t>
            </w:r>
          </w:p>
        </w:tc>
        <w:tc>
          <w:tcPr>
            <w:tcW w:w="70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7107.41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其他</w:t>
            </w:r>
          </w:p>
        </w:tc>
        <w:tc>
          <w:tcPr>
            <w:tcW w:w="70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3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0" w:firstLineChars="0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部门（单位）职能概述</w:t>
            </w:r>
          </w:p>
        </w:tc>
        <w:tc>
          <w:tcPr>
            <w:tcW w:w="8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240" w:lineRule="atLeast"/>
              <w:ind w:firstLine="420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（一）贯彻落实国家关于科技、知识产权、信息化工作方面的法律、法规、规章、政策及北京市的相关规定，起草促进区科技、知识产权和信息化发展的行政规范性文件，并组织实施。</w:t>
            </w:r>
          </w:p>
          <w:p>
            <w:pPr>
              <w:widowControl/>
              <w:spacing w:line="240" w:lineRule="atLeast"/>
              <w:ind w:firstLine="420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（二）负责组织编制区科技、信息化、可持续发展规划和年度计划，并组织实施；研究提出科技与信息产业发展布局和优先发展领域，推动科技创新体系和科技服务体系建设。</w:t>
            </w:r>
          </w:p>
          <w:p>
            <w:pPr>
              <w:widowControl/>
              <w:spacing w:line="240" w:lineRule="atLeast"/>
              <w:ind w:firstLine="420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（三）负责区科普工作，组织编制区科普工作规划，开展科普统计工作。</w:t>
            </w:r>
          </w:p>
          <w:p>
            <w:pPr>
              <w:widowControl/>
              <w:spacing w:line="240" w:lineRule="atLeast"/>
              <w:ind w:firstLine="420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（四）负责政府投资信息化项目的审查、监督检查等工作，并组织开展信息化绩效考核（电子政务除外）工作；负责科技类项目管理工作，编制项目指南，并组织实施。</w:t>
            </w:r>
          </w:p>
          <w:p>
            <w:pPr>
              <w:widowControl/>
              <w:spacing w:line="240" w:lineRule="atLeast"/>
              <w:ind w:firstLine="420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（五）负责技术市场、科技保密等科技管理工作。</w:t>
            </w:r>
          </w:p>
          <w:p>
            <w:pPr>
              <w:widowControl/>
              <w:spacing w:line="240" w:lineRule="atLeast"/>
              <w:ind w:firstLine="420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（六）负责区知识产权（专利）保护和促进工作，会同区相关部门建立完善知识产权协作机制。</w:t>
            </w:r>
          </w:p>
          <w:p>
            <w:pPr>
              <w:widowControl/>
              <w:spacing w:line="240" w:lineRule="atLeast"/>
              <w:ind w:firstLine="420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（七）负责区可持续发展示范工作。</w:t>
            </w:r>
          </w:p>
          <w:p>
            <w:pPr>
              <w:widowControl/>
              <w:spacing w:line="240" w:lineRule="atLeast"/>
              <w:ind w:firstLine="420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（八）会同有关部门开展科技、信息化、知识产权、科普领域人才队伍建设，组织、指导科技、信息化、知识产权、科普培训工作。</w:t>
            </w:r>
          </w:p>
          <w:p>
            <w:pPr>
              <w:widowControl/>
              <w:spacing w:line="240" w:lineRule="atLeast"/>
              <w:ind w:firstLine="420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（九）统筹推进区信息化工作，监测分析本区信息化的运行态势，协调解决信息化建设中的重大问题。</w:t>
            </w:r>
          </w:p>
          <w:p>
            <w:pPr>
              <w:widowControl/>
              <w:spacing w:line="240" w:lineRule="atLeast"/>
              <w:ind w:firstLine="420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（十）统筹与协调推进电子商务、公共服务信息化、信息资源共享和开发利用等工作。</w:t>
            </w:r>
          </w:p>
          <w:p>
            <w:pPr>
              <w:widowControl/>
              <w:spacing w:line="240" w:lineRule="atLeast"/>
              <w:ind w:firstLine="420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（十一）统筹与协调促进经济领域的信息化，推进本区信息化基础设施的规划和管理，协调促进社会信用体系建设。</w:t>
            </w:r>
          </w:p>
          <w:p>
            <w:pPr>
              <w:widowControl/>
              <w:spacing w:line="240" w:lineRule="atLeast"/>
              <w:ind w:firstLine="420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（十二）负责对全区工业企业运行实行宏观指导、监测分析、协调服务；研究制定全区工业结构调整和相应的配套政策；研究提出促进中小企业和非公经济发展的措施，建立和完善服务体系。</w:t>
            </w:r>
          </w:p>
          <w:p>
            <w:pPr>
              <w:widowControl/>
              <w:spacing w:line="240" w:lineRule="atLeast"/>
              <w:ind w:firstLine="420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（十三）承办区政府和上级业务指导部门交办的其他事项。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0" w:firstLineChars="0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部门（单位）绩效目标</w:t>
            </w:r>
          </w:p>
        </w:tc>
        <w:tc>
          <w:tcPr>
            <w:tcW w:w="8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ind w:firstLine="420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2019年区科信委以深入学习贯彻党的十九大精神,坚持以习近平新时代中国特色社会主义思想为指导，围绕区域中心工作，以党建为统领，扎实推进中央、市委、区委重大决策部署落实到位。全面落实北京建设全国科技创新中心的新要求，深入贯彻科技创新、知识产权、智慧西城和信息化的四项规划，围绕“科技创新驱动发展与科技服务能力提升”、“国家知识产权试点城区”、“互联网、大数据与经济社会各领域的全要素深度融合”三条主线，推动我区科技和信息化工作，为强化首都“全国科技创新中心”的功能定位和建成国际一流和谐宜居之都提供有力支撑。</w:t>
            </w:r>
          </w:p>
        </w:tc>
      </w:tr>
    </w:tbl>
    <w:p>
      <w:pPr>
        <w:widowControl/>
        <w:spacing w:before="100" w:beforeAutospacing="1" w:after="100" w:afterAutospacing="1" w:line="312" w:lineRule="auto"/>
        <w:ind w:firstLine="400"/>
        <w:rPr>
          <w:rFonts w:ascii="仿宋_GB2312" w:cs="宋体"/>
          <w:kern w:val="0"/>
          <w:sz w:val="20"/>
          <w:szCs w:val="20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1440" w:right="1797" w:bottom="1440" w:left="1797" w:header="851" w:footer="992" w:gutter="0"/>
          <w:cols w:space="425" w:num="1"/>
          <w:docGrid w:linePitch="312" w:charSpace="0"/>
        </w:sectPr>
      </w:pPr>
    </w:p>
    <w:tbl>
      <w:tblPr>
        <w:tblStyle w:val="5"/>
        <w:tblW w:w="5597" w:type="pct"/>
        <w:tblInd w:w="-43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133"/>
        <w:gridCol w:w="1417"/>
        <w:gridCol w:w="283"/>
        <w:gridCol w:w="995"/>
        <w:gridCol w:w="2226"/>
        <w:gridCol w:w="34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0" w:firstLineChars="0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绩效指标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0" w:firstLineChars="0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314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具体指标（指标内容、指标值）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1" w:hRule="exact"/>
        </w:trPr>
        <w:tc>
          <w:tcPr>
            <w:tcW w:w="52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5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0" w:firstLineChars="0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798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0" w:firstLineChars="0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 w:val="21"/>
                <w:szCs w:val="21"/>
              </w:rPr>
              <w:t>产出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3149" w:type="pct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widowControl/>
              <w:spacing w:line="240" w:lineRule="atLeast"/>
              <w:ind w:firstLine="420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一、科技专项创新类项目支持20至30个项目，涵盖电子信息、光机电一体化、生物医药、系能源与环保技术、资源与环境技术、新材料技术等技术领域。</w:t>
            </w:r>
          </w:p>
          <w:p>
            <w:pPr>
              <w:widowControl/>
              <w:spacing w:line="240" w:lineRule="atLeast"/>
              <w:ind w:firstLine="420"/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二、2019年财政科技专项可持续发展类项目支持30个项目，涵盖大气污染监控、新能源技术及产品研发、公共低碳环保理念引导等领域进行了有益尝试，重点扶持一批环保节能科技创新和集成技术的项目。</w:t>
            </w:r>
          </w:p>
          <w:p>
            <w:pPr>
              <w:widowControl/>
              <w:spacing w:line="240" w:lineRule="atLeast"/>
              <w:ind w:firstLine="420"/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三、面向全区、15个街道和重点区域开展人口监测，区分居住人口、工作人口，掌握人口流入流出情况。</w:t>
            </w:r>
          </w:p>
          <w:p>
            <w:pPr>
              <w:widowControl/>
              <w:spacing w:line="240" w:lineRule="atLeast"/>
              <w:ind w:firstLine="420"/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四、大数据应用展示监测，数据架构、数据分析、数据应用、基础支撑四版块升级。</w:t>
            </w:r>
          </w:p>
          <w:p>
            <w:pPr>
              <w:widowControl/>
              <w:spacing w:line="240" w:lineRule="atLeast"/>
              <w:ind w:firstLine="420"/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五、大数据总体规划：编制总体规划、技术方案、实施计划等规划方案4份，2-3个重点研究课题报告，西城大数据蓝皮书1份，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ab/>
            </w: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西城大数据年度发展报告1份，3-5场大数据宣传培训</w:t>
            </w:r>
            <w:bookmarkStart w:id="0" w:name="_GoBack"/>
            <w:bookmarkEnd w:id="0"/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会。</w:t>
            </w:r>
          </w:p>
          <w:p>
            <w:pPr>
              <w:widowControl/>
              <w:spacing w:line="240" w:lineRule="atLeast"/>
              <w:ind w:firstLine="420"/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六、西城网站及专题网站建设、西城网站APP建设及12个月的西城互联网平台管理，满足局域网环境下单页面打开时间相应时间小于3秒，满足最大日访问量100万点击需求。</w:t>
            </w:r>
          </w:p>
          <w:p>
            <w:pPr>
              <w:widowControl/>
              <w:spacing w:line="240" w:lineRule="atLeast"/>
              <w:ind w:firstLine="420"/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七、大数据应用创新的项目建议书1份；编制西城区大数据应用创新案例分析报告1份；计划通过三年努力，西城区大数据应用创新实验室总人数达到20人，高级研发管理人员达到50%。</w:t>
            </w:r>
          </w:p>
          <w:p>
            <w:pPr>
              <w:widowControl/>
              <w:spacing w:line="240" w:lineRule="atLeast"/>
              <w:ind w:firstLine="420"/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八、大数据规范体系建设：制定区大数据相关标准规范不少于7个。</w:t>
            </w:r>
          </w:p>
          <w:p>
            <w:pPr>
              <w:widowControl/>
              <w:spacing w:line="240" w:lineRule="atLeast"/>
              <w:ind w:firstLine="420"/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九、大数据治理：构建驻场运营团队规模达到10-15人；日常运营服务所需的专业化工具数量不少于3个。</w:t>
            </w:r>
          </w:p>
          <w:p>
            <w:pPr>
              <w:widowControl/>
              <w:spacing w:line="240" w:lineRule="atLeast"/>
              <w:ind w:firstLine="420"/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十、政务资源目录系统升级改造:城区目录信息系统1套，系统维护手册1套，系统使用手册1套，完成安全等级测评。</w:t>
            </w:r>
          </w:p>
          <w:p>
            <w:pPr>
              <w:widowControl/>
              <w:spacing w:line="240" w:lineRule="atLeast"/>
              <w:ind w:firstLine="420"/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十一、为40个信息化重大项目（项目总金额约3500万元）执行标准监理服务。为项目总金额约1000万元执行标准的第三方软件测评。</w:t>
            </w:r>
          </w:p>
          <w:p>
            <w:pPr>
              <w:widowControl/>
              <w:spacing w:line="240" w:lineRule="atLeast"/>
              <w:ind w:firstLine="420"/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十二、科普工作：举办10场科普讲座，组织1次科普培训。</w:t>
            </w:r>
          </w:p>
          <w:p>
            <w:pPr>
              <w:widowControl/>
              <w:spacing w:line="240" w:lineRule="atLeast"/>
              <w:ind w:firstLine="420"/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十三、知识产权工作：确保 1个组织3个站正常运转，13个联席单位接受宣传培训，机关、学校、企事业单位直接接受面授知识产权保护知识宣讲宣传人群3000人次以上。</w:t>
            </w:r>
          </w:p>
          <w:p>
            <w:pPr>
              <w:widowControl/>
              <w:spacing w:line="240" w:lineRule="atLeast"/>
              <w:ind w:firstLine="420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十四、公益WIFI覆盖：完成28个公共场所265个AP的建设任务。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5" w:hRule="exact"/>
        </w:trPr>
        <w:tc>
          <w:tcPr>
            <w:tcW w:w="52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5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798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0" w:firstLineChars="0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 w:val="21"/>
                <w:szCs w:val="21"/>
              </w:rPr>
              <w:t>产出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3149" w:type="pct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widowControl/>
              <w:spacing w:line="240" w:lineRule="atLeast"/>
              <w:ind w:firstLine="0" w:firstLineChars="0"/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一、提升大数据治理理念，将“管理视角”转变为“服务视角”，进一步推进大数据工作：完研究建立数据治理体系，借用第三方专业力量，针对人口、企业等数据资源开展数据治理；完善区大数据中心平台各子系统的建设。</w:t>
            </w:r>
          </w:p>
          <w:p>
            <w:pPr>
              <w:widowControl/>
              <w:spacing w:line="240" w:lineRule="atLeast"/>
              <w:ind w:firstLine="0" w:firstLineChars="0"/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二、加强政府网站保障，加大公益服务，继续完善网站建设和扩大公益WIFI覆盖面：提升网站的性能及服务能力；继续推进公益性无线局域网（WiFi）覆盖，加强对免费无线接入服务的管理。</w:t>
            </w:r>
          </w:p>
          <w:p>
            <w:pPr>
              <w:widowControl/>
              <w:spacing w:line="240" w:lineRule="atLeast"/>
              <w:ind w:firstLine="0" w:firstLineChars="0"/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三、推进诚信分类监管机制建立，强化知识产权保护和服务能力提升：推进企业信用数据共享与应用；大力开展重点领域信用体系建设；继续开展诚信宣传教育和培训工作；强化知识产权保护。</w:t>
            </w:r>
          </w:p>
          <w:p>
            <w:pPr>
              <w:widowControl/>
              <w:spacing w:line="240" w:lineRule="atLeast"/>
              <w:ind w:firstLine="0" w:firstLineChars="0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四、推动科技成果转化，服务经济社会发展，继续做好科技企业服务：继续深入开展科技政策宣传培训、高新技术企业认定辅导、企业知识产权保护、技术合同登记、中小企业融资服务、科技型中小企业评价和科技企业咨询调研等工作；着力推动区域科技创新和高精尖产业发展，完善科技项目跟踪管理方式，做好2018、2019年度区财政科技专项科技创新类项目结题验收等工作；继续大力开展科技人才队伍培养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exact"/>
        </w:trPr>
        <w:tc>
          <w:tcPr>
            <w:tcW w:w="52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5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798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0" w:firstLineChars="0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 w:val="21"/>
                <w:szCs w:val="21"/>
              </w:rPr>
              <w:t>产出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进度指标</w:t>
            </w:r>
          </w:p>
        </w:tc>
        <w:tc>
          <w:tcPr>
            <w:tcW w:w="3149" w:type="pct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210" w:firstLineChars="100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1、上半年完成全年项目立项及预算执行任务的50%以上，下半年完成全年立项及预算执行任务。</w:t>
            </w:r>
          </w:p>
          <w:p>
            <w:pPr>
              <w:widowControl/>
              <w:spacing w:line="240" w:lineRule="atLeast"/>
              <w:ind w:firstLine="210" w:firstLineChars="100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2、项目具体进度按相关文件要求及任务书规定要求完成。</w:t>
            </w:r>
          </w:p>
          <w:p>
            <w:pPr>
              <w:widowControl/>
              <w:spacing w:before="100" w:beforeAutospacing="1" w:after="100" w:afterAutospacing="1" w:line="240" w:lineRule="atLeast"/>
              <w:ind w:firstLine="210" w:firstLineChars="100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</w:trPr>
        <w:tc>
          <w:tcPr>
            <w:tcW w:w="52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5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798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0" w:firstLineChars="0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 w:val="21"/>
                <w:szCs w:val="21"/>
              </w:rPr>
              <w:t>产出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3149" w:type="pct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0" w:firstLineChars="0"/>
              <w:rPr>
                <w:rFonts w:cs="宋体" w:asciiTheme="majorEastAsia" w:hAnsiTheme="majorEastAsia" w:eastAsiaTheme="maj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按照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厉行节约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的原则，严格按项目支出需求编制预算，严把各项工作实施成本。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52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5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…</w:t>
            </w:r>
          </w:p>
        </w:tc>
        <w:tc>
          <w:tcPr>
            <w:tcW w:w="314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exact"/>
        </w:trPr>
        <w:tc>
          <w:tcPr>
            <w:tcW w:w="52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5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0" w:firstLineChars="0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效果指标</w:t>
            </w:r>
          </w:p>
          <w:p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798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0" w:firstLineChars="0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经济效益指标</w:t>
            </w:r>
          </w:p>
        </w:tc>
        <w:tc>
          <w:tcPr>
            <w:tcW w:w="3149" w:type="pct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210" w:firstLineChars="100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1、创新管理模式，提升行政效能，提升科技支撑能力，满足科技惠民、信息惠民的新要求。</w:t>
            </w:r>
          </w:p>
          <w:p>
            <w:pPr>
              <w:widowControl/>
              <w:spacing w:line="240" w:lineRule="atLeast"/>
              <w:ind w:firstLine="210" w:firstLineChars="100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2、大数据推进政府数据共享，降低信息化运维成本。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exact"/>
        </w:trPr>
        <w:tc>
          <w:tcPr>
            <w:tcW w:w="52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5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798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0" w:firstLineChars="0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社会效益指标</w:t>
            </w:r>
          </w:p>
        </w:tc>
        <w:tc>
          <w:tcPr>
            <w:tcW w:w="3149" w:type="pct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210" w:firstLineChars="100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1、科普宣传、主动服务，为区域经济发展、社会治理、民生服务等提供坚实的科技支撑。</w:t>
            </w:r>
          </w:p>
          <w:p>
            <w:pPr>
              <w:widowControl/>
              <w:spacing w:line="240" w:lineRule="atLeast"/>
              <w:ind w:firstLine="210" w:firstLineChars="100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2、智慧城市建设和大数据工作，率先在全市建成“智慧城市”基本框架，宽带网络光纤全覆盖，有效支撑各部门应用，部分应用在全国或北京市成为典型案例。</w:t>
            </w:r>
          </w:p>
          <w:p>
            <w:pPr>
              <w:widowControl/>
              <w:spacing w:line="240" w:lineRule="atLeast"/>
              <w:ind w:firstLine="210" w:firstLineChars="100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atLeast"/>
              <w:ind w:firstLine="210" w:firstLineChars="100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numPr>
                <w:ilvl w:val="0"/>
                <w:numId w:val="1"/>
              </w:numPr>
              <w:spacing w:line="240" w:lineRule="atLeast"/>
              <w:ind w:firstLine="210" w:firstLineChars="100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社会安定方面：辖区内政治稳定、社会安定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tLeast"/>
              <w:ind w:firstLine="210" w:firstLineChars="100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居民幸福指数：居民精神面貌、文化修养提升，居民生活质量提升</w:t>
            </w:r>
          </w:p>
          <w:p>
            <w:pPr>
              <w:widowControl/>
              <w:spacing w:line="240" w:lineRule="atLeast"/>
              <w:ind w:firstLine="210" w:firstLineChars="100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… 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52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5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798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0" w:firstLineChars="0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环境效益指标</w:t>
            </w:r>
          </w:p>
        </w:tc>
        <w:tc>
          <w:tcPr>
            <w:tcW w:w="3149" w:type="pct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420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严格控制区域开发强度，落实新增产业禁限目录健全长效机制；牵头散乱污专项清理整治，并通过市环保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督察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exact"/>
        </w:trPr>
        <w:tc>
          <w:tcPr>
            <w:tcW w:w="52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5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798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0" w:firstLineChars="0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3149" w:type="pct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420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1、大数据资源的全面梳理和融合，实现数据资源的管控，夯实数据基础。为政府决策提供全面有力的支撑，提高部门科学决策能力和政府办事效率。</w:t>
            </w:r>
          </w:p>
          <w:p>
            <w:pPr>
              <w:widowControl/>
              <w:spacing w:line="240" w:lineRule="atLeast"/>
              <w:ind w:firstLine="420"/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2、科技专项创新类项目和可持续发展类项目统一管理，探索科技创新工作新方法，全面提高辖区内的可持续发展能力，争创国家可持续发展议程创新示范区。</w:t>
            </w:r>
          </w:p>
          <w:p>
            <w:pPr>
              <w:widowControl/>
              <w:spacing w:line="240" w:lineRule="atLeast"/>
              <w:ind w:firstLine="420"/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atLeast"/>
              <w:ind w:firstLine="420"/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atLeast"/>
              <w:ind w:firstLine="420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atLeast"/>
              <w:ind w:firstLine="420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2、培养具有可持续发展理念和管理创新能力的干部队伍。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</w:trPr>
        <w:tc>
          <w:tcPr>
            <w:tcW w:w="52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5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798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0" w:firstLineChars="0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服务对象满意度指标</w:t>
            </w:r>
          </w:p>
        </w:tc>
        <w:tc>
          <w:tcPr>
            <w:tcW w:w="3149" w:type="pct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辖区内部门、企业、居民对部门服务满意度比例达到95%以上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52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5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…</w:t>
            </w:r>
          </w:p>
        </w:tc>
        <w:tc>
          <w:tcPr>
            <w:tcW w:w="314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</w:trPr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0" w:firstLineChars="0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其他说明的问题</w:t>
            </w:r>
          </w:p>
        </w:tc>
        <w:tc>
          <w:tcPr>
            <w:tcW w:w="447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0" w:firstLineChars="0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填报人：</w:t>
            </w:r>
          </w:p>
        </w:tc>
        <w:tc>
          <w:tcPr>
            <w:tcW w:w="119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王玉芬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0" w:firstLineChars="0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联系电话：</w:t>
            </w:r>
          </w:p>
        </w:tc>
        <w:tc>
          <w:tcPr>
            <w:tcW w:w="10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83976204</w:t>
            </w:r>
          </w:p>
        </w:tc>
        <w:tc>
          <w:tcPr>
            <w:tcW w:w="1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0" w:firstLineChars="0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填报日期：2019年2月11日</w:t>
            </w:r>
          </w:p>
        </w:tc>
      </w:tr>
    </w:tbl>
    <w:p>
      <w:pPr>
        <w:widowControl/>
        <w:ind w:firstLine="0" w:firstLineChars="0"/>
        <w:jc w:val="left"/>
      </w:pPr>
    </w:p>
    <w:sectPr>
      <w:pgSz w:w="11907" w:h="16840"/>
      <w:pgMar w:top="1077" w:right="1304" w:bottom="851" w:left="1304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917AF"/>
    <w:multiLevelType w:val="multilevel"/>
    <w:tmpl w:val="75F917AF"/>
    <w:lvl w:ilvl="0" w:tentative="0">
      <w:start w:val="1"/>
      <w:numFmt w:val="decimal"/>
      <w:lvlText w:val="%1、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533"/>
    <w:rsid w:val="00017C36"/>
    <w:rsid w:val="00044D33"/>
    <w:rsid w:val="0007015B"/>
    <w:rsid w:val="00077701"/>
    <w:rsid w:val="000A15F8"/>
    <w:rsid w:val="000A36A8"/>
    <w:rsid w:val="000A416D"/>
    <w:rsid w:val="000E1A45"/>
    <w:rsid w:val="000E3329"/>
    <w:rsid w:val="000E4088"/>
    <w:rsid w:val="000F3777"/>
    <w:rsid w:val="000F6C5A"/>
    <w:rsid w:val="0011147F"/>
    <w:rsid w:val="00133D86"/>
    <w:rsid w:val="001516B3"/>
    <w:rsid w:val="00166752"/>
    <w:rsid w:val="001855B7"/>
    <w:rsid w:val="00191DA4"/>
    <w:rsid w:val="001967F4"/>
    <w:rsid w:val="001B65AF"/>
    <w:rsid w:val="001E7A36"/>
    <w:rsid w:val="001F3342"/>
    <w:rsid w:val="002047C1"/>
    <w:rsid w:val="002275AA"/>
    <w:rsid w:val="00237DEB"/>
    <w:rsid w:val="00252B80"/>
    <w:rsid w:val="0026426E"/>
    <w:rsid w:val="002778D6"/>
    <w:rsid w:val="00281E99"/>
    <w:rsid w:val="00287743"/>
    <w:rsid w:val="00296BD3"/>
    <w:rsid w:val="002C0065"/>
    <w:rsid w:val="002F6198"/>
    <w:rsid w:val="00311347"/>
    <w:rsid w:val="00326491"/>
    <w:rsid w:val="00336937"/>
    <w:rsid w:val="00360E8A"/>
    <w:rsid w:val="00361368"/>
    <w:rsid w:val="00375F83"/>
    <w:rsid w:val="003A2883"/>
    <w:rsid w:val="003A4EF9"/>
    <w:rsid w:val="003A63F5"/>
    <w:rsid w:val="003B0D8A"/>
    <w:rsid w:val="003B6BC9"/>
    <w:rsid w:val="003C4041"/>
    <w:rsid w:val="003C5B60"/>
    <w:rsid w:val="003E1212"/>
    <w:rsid w:val="003E424C"/>
    <w:rsid w:val="003E6EEC"/>
    <w:rsid w:val="003E7A03"/>
    <w:rsid w:val="003F411D"/>
    <w:rsid w:val="00407EDD"/>
    <w:rsid w:val="004129E2"/>
    <w:rsid w:val="00417070"/>
    <w:rsid w:val="00422CCB"/>
    <w:rsid w:val="0042309C"/>
    <w:rsid w:val="004305CF"/>
    <w:rsid w:val="00436C31"/>
    <w:rsid w:val="00443CF4"/>
    <w:rsid w:val="0045458B"/>
    <w:rsid w:val="004572AF"/>
    <w:rsid w:val="00461250"/>
    <w:rsid w:val="00462868"/>
    <w:rsid w:val="00463825"/>
    <w:rsid w:val="0048601A"/>
    <w:rsid w:val="004B16C1"/>
    <w:rsid w:val="004E6C61"/>
    <w:rsid w:val="004E773D"/>
    <w:rsid w:val="0050321A"/>
    <w:rsid w:val="00504F17"/>
    <w:rsid w:val="00517217"/>
    <w:rsid w:val="00525E8B"/>
    <w:rsid w:val="00535283"/>
    <w:rsid w:val="00542681"/>
    <w:rsid w:val="0054460F"/>
    <w:rsid w:val="00545932"/>
    <w:rsid w:val="005545B5"/>
    <w:rsid w:val="00556C3E"/>
    <w:rsid w:val="005604CD"/>
    <w:rsid w:val="00574002"/>
    <w:rsid w:val="005B465A"/>
    <w:rsid w:val="005B52E3"/>
    <w:rsid w:val="005D2AAC"/>
    <w:rsid w:val="00632FEA"/>
    <w:rsid w:val="006433DB"/>
    <w:rsid w:val="00660C45"/>
    <w:rsid w:val="00670AD1"/>
    <w:rsid w:val="00676ACF"/>
    <w:rsid w:val="00686E22"/>
    <w:rsid w:val="00691214"/>
    <w:rsid w:val="00695012"/>
    <w:rsid w:val="006B154E"/>
    <w:rsid w:val="006B46E4"/>
    <w:rsid w:val="006B7053"/>
    <w:rsid w:val="006C070A"/>
    <w:rsid w:val="006C4D37"/>
    <w:rsid w:val="006C5046"/>
    <w:rsid w:val="006E519E"/>
    <w:rsid w:val="006E683C"/>
    <w:rsid w:val="006F3830"/>
    <w:rsid w:val="006F4303"/>
    <w:rsid w:val="0071711B"/>
    <w:rsid w:val="00717224"/>
    <w:rsid w:val="00722B25"/>
    <w:rsid w:val="00756BA6"/>
    <w:rsid w:val="00766A7B"/>
    <w:rsid w:val="00777579"/>
    <w:rsid w:val="007924E2"/>
    <w:rsid w:val="00794AE8"/>
    <w:rsid w:val="00794F3B"/>
    <w:rsid w:val="00796034"/>
    <w:rsid w:val="007A3777"/>
    <w:rsid w:val="007B1024"/>
    <w:rsid w:val="007D6EAD"/>
    <w:rsid w:val="007F01E3"/>
    <w:rsid w:val="007F3689"/>
    <w:rsid w:val="008158A9"/>
    <w:rsid w:val="00825374"/>
    <w:rsid w:val="0084155E"/>
    <w:rsid w:val="008477A1"/>
    <w:rsid w:val="00870D2B"/>
    <w:rsid w:val="00874938"/>
    <w:rsid w:val="00881423"/>
    <w:rsid w:val="008837D5"/>
    <w:rsid w:val="00885102"/>
    <w:rsid w:val="008A6677"/>
    <w:rsid w:val="008E464A"/>
    <w:rsid w:val="008E4A91"/>
    <w:rsid w:val="008F3425"/>
    <w:rsid w:val="009123A8"/>
    <w:rsid w:val="00913562"/>
    <w:rsid w:val="00914452"/>
    <w:rsid w:val="00914A96"/>
    <w:rsid w:val="00925781"/>
    <w:rsid w:val="00957F0F"/>
    <w:rsid w:val="00967FF8"/>
    <w:rsid w:val="009765DA"/>
    <w:rsid w:val="0097668F"/>
    <w:rsid w:val="009C1468"/>
    <w:rsid w:val="009E1D38"/>
    <w:rsid w:val="009E538F"/>
    <w:rsid w:val="00A0172A"/>
    <w:rsid w:val="00A07921"/>
    <w:rsid w:val="00A11A67"/>
    <w:rsid w:val="00A22E32"/>
    <w:rsid w:val="00A351B3"/>
    <w:rsid w:val="00A44D15"/>
    <w:rsid w:val="00A62349"/>
    <w:rsid w:val="00A70CEB"/>
    <w:rsid w:val="00A84A3B"/>
    <w:rsid w:val="00A95E8D"/>
    <w:rsid w:val="00AA0977"/>
    <w:rsid w:val="00AD10DA"/>
    <w:rsid w:val="00AE0ABA"/>
    <w:rsid w:val="00AE3393"/>
    <w:rsid w:val="00AF7C3D"/>
    <w:rsid w:val="00B015D8"/>
    <w:rsid w:val="00B049DA"/>
    <w:rsid w:val="00B04A45"/>
    <w:rsid w:val="00B31B41"/>
    <w:rsid w:val="00B51BC6"/>
    <w:rsid w:val="00B54C25"/>
    <w:rsid w:val="00B72993"/>
    <w:rsid w:val="00B9417D"/>
    <w:rsid w:val="00BA15D3"/>
    <w:rsid w:val="00BB4118"/>
    <w:rsid w:val="00BE4441"/>
    <w:rsid w:val="00BE6F12"/>
    <w:rsid w:val="00BF0242"/>
    <w:rsid w:val="00BF104C"/>
    <w:rsid w:val="00BF3F3C"/>
    <w:rsid w:val="00BF6440"/>
    <w:rsid w:val="00C02C3A"/>
    <w:rsid w:val="00C14178"/>
    <w:rsid w:val="00C14B1C"/>
    <w:rsid w:val="00C157F1"/>
    <w:rsid w:val="00C22A25"/>
    <w:rsid w:val="00C36428"/>
    <w:rsid w:val="00C506FD"/>
    <w:rsid w:val="00C51B1B"/>
    <w:rsid w:val="00C5702A"/>
    <w:rsid w:val="00C60AE0"/>
    <w:rsid w:val="00C803A0"/>
    <w:rsid w:val="00CB3C16"/>
    <w:rsid w:val="00D06E77"/>
    <w:rsid w:val="00D10920"/>
    <w:rsid w:val="00D24438"/>
    <w:rsid w:val="00D269CC"/>
    <w:rsid w:val="00D4175B"/>
    <w:rsid w:val="00D50AC7"/>
    <w:rsid w:val="00D55459"/>
    <w:rsid w:val="00D7784C"/>
    <w:rsid w:val="00DC1EAE"/>
    <w:rsid w:val="00DC33C1"/>
    <w:rsid w:val="00DC6E98"/>
    <w:rsid w:val="00DD0D8E"/>
    <w:rsid w:val="00DD2098"/>
    <w:rsid w:val="00DD5908"/>
    <w:rsid w:val="00E30AE9"/>
    <w:rsid w:val="00E47CF2"/>
    <w:rsid w:val="00E50533"/>
    <w:rsid w:val="00E52377"/>
    <w:rsid w:val="00E54998"/>
    <w:rsid w:val="00E76BE4"/>
    <w:rsid w:val="00E80660"/>
    <w:rsid w:val="00E80B75"/>
    <w:rsid w:val="00EC2B7D"/>
    <w:rsid w:val="00EC5619"/>
    <w:rsid w:val="00ED4F65"/>
    <w:rsid w:val="00F0343E"/>
    <w:rsid w:val="00F10756"/>
    <w:rsid w:val="00F11F71"/>
    <w:rsid w:val="00F31D4C"/>
    <w:rsid w:val="00F3344D"/>
    <w:rsid w:val="00F455BA"/>
    <w:rsid w:val="00F569D1"/>
    <w:rsid w:val="00F7395C"/>
    <w:rsid w:val="00F94137"/>
    <w:rsid w:val="00F97FE4"/>
    <w:rsid w:val="00FB07DF"/>
    <w:rsid w:val="00FC5CA9"/>
    <w:rsid w:val="00FE43B7"/>
    <w:rsid w:val="00FF3E5F"/>
    <w:rsid w:val="03E45479"/>
    <w:rsid w:val="73627848"/>
    <w:rsid w:val="7C48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28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keepNext/>
      <w:keepLines/>
      <w:spacing w:line="312" w:lineRule="auto"/>
      <w:ind w:firstLine="0" w:firstLineChars="0"/>
      <w:jc w:val="center"/>
      <w:outlineLvl w:val="1"/>
    </w:pPr>
    <w:rPr>
      <w:rFonts w:ascii="Cambria" w:hAnsi="Cambria" w:eastAsia="宋体"/>
      <w:b/>
      <w:bCs/>
      <w:sz w:val="36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2 Char"/>
    <w:basedOn w:val="6"/>
    <w:link w:val="2"/>
    <w:qFormat/>
    <w:uiPriority w:val="9"/>
    <w:rPr>
      <w:rFonts w:ascii="Cambria" w:hAnsi="Cambria" w:eastAsia="宋体" w:cs="Times New Roman"/>
      <w:b/>
      <w:bCs/>
      <w:sz w:val="36"/>
      <w:szCs w:val="32"/>
    </w:rPr>
  </w:style>
  <w:style w:type="paragraph" w:customStyle="1" w:styleId="10">
    <w:name w:val="列出段落1"/>
    <w:basedOn w:val="1"/>
    <w:qFormat/>
    <w:uiPriority w:val="0"/>
    <w:pPr>
      <w:ind w:firstLine="420"/>
    </w:pPr>
  </w:style>
  <w:style w:type="paragraph" w:styleId="11">
    <w:name w:val="List Paragraph"/>
    <w:basedOn w:val="1"/>
    <w:qFormat/>
    <w:uiPriority w:val="34"/>
    <w:pPr>
      <w:ind w:firstLine="420"/>
    </w:pPr>
  </w:style>
  <w:style w:type="paragraph" w:customStyle="1" w:styleId="12">
    <w:name w:val="正文-GEI"/>
    <w:basedOn w:val="1"/>
    <w:link w:val="13"/>
    <w:qFormat/>
    <w:uiPriority w:val="0"/>
    <w:pPr>
      <w:widowControl/>
      <w:spacing w:line="560" w:lineRule="exact"/>
    </w:pPr>
    <w:rPr>
      <w:sz w:val="32"/>
      <w:szCs w:val="32"/>
    </w:rPr>
  </w:style>
  <w:style w:type="character" w:customStyle="1" w:styleId="13">
    <w:name w:val="正文-GEI Char"/>
    <w:basedOn w:val="6"/>
    <w:link w:val="12"/>
    <w:qFormat/>
    <w:uiPriority w:val="0"/>
    <w:rPr>
      <w:rFonts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475</Words>
  <Characters>2714</Characters>
  <Lines>22</Lines>
  <Paragraphs>6</Paragraphs>
  <TotalTime>79</TotalTime>
  <ScaleCrop>false</ScaleCrop>
  <LinksUpToDate>false</LinksUpToDate>
  <CharactersWithSpaces>3183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2019-02-11T02:14:00Z</dcterms:created>
  <dc:creator>刘晓萌</dc:creator>
  <cp:lastModifiedBy>dell</cp:lastModifiedBy>
  <dcterms:modified xsi:type="dcterms:W3CDTF">2025-03-11T01:56:48Z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