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ind w:firstLine="0" w:firstLineChars="0"/>
        <w:outlineLvl w:val="0"/>
        <w:rPr>
          <w:rFonts w:ascii="Cambria" w:hAnsi="Cambria" w:eastAsia="宋体"/>
          <w:b/>
          <w:bCs/>
          <w:sz w:val="30"/>
          <w:szCs w:val="30"/>
        </w:rPr>
      </w:pPr>
      <w:r>
        <w:rPr>
          <w:rFonts w:hint="eastAsia" w:ascii="Cambria" w:hAnsi="Cambria" w:eastAsia="宋体"/>
          <w:b/>
          <w:bCs/>
          <w:sz w:val="30"/>
          <w:szCs w:val="30"/>
        </w:rPr>
        <w:t xml:space="preserve">表十一：     </w:t>
      </w:r>
      <w:r>
        <w:rPr>
          <w:rFonts w:hint="eastAsia" w:ascii="仿宋_GB2312"/>
          <w:b/>
          <w:sz w:val="36"/>
          <w:szCs w:val="36"/>
        </w:rPr>
        <w:t>部门整体支出绩效目标申报表</w:t>
      </w:r>
    </w:p>
    <w:p>
      <w:pPr>
        <w:spacing w:line="360" w:lineRule="auto"/>
        <w:ind w:firstLine="0" w:firstLineChars="0"/>
        <w:jc w:val="center"/>
        <w:rPr>
          <w:rFonts w:ascii="仿宋_GB2312"/>
          <w:sz w:val="32"/>
          <w:szCs w:val="32"/>
        </w:rPr>
      </w:pPr>
      <w:r>
        <w:rPr>
          <w:rFonts w:hint="eastAsia" w:ascii="仿宋_GB2312"/>
          <w:sz w:val="32"/>
          <w:szCs w:val="32"/>
        </w:rPr>
        <w:t>（2020年度）</w:t>
      </w:r>
    </w:p>
    <w:tbl>
      <w:tblPr>
        <w:tblStyle w:val="5"/>
        <w:tblW w:w="5770" w:type="pct"/>
        <w:jc w:val="center"/>
        <w:tblLayout w:type="autofit"/>
        <w:tblCellMar>
          <w:top w:w="0" w:type="dxa"/>
          <w:left w:w="108" w:type="dxa"/>
          <w:bottom w:w="0" w:type="dxa"/>
          <w:right w:w="108" w:type="dxa"/>
        </w:tblCellMar>
      </w:tblPr>
      <w:tblGrid>
        <w:gridCol w:w="1417"/>
        <w:gridCol w:w="1418"/>
        <w:gridCol w:w="1982"/>
        <w:gridCol w:w="5025"/>
      </w:tblGrid>
      <w:tr>
        <w:tblPrEx>
          <w:tblCellMar>
            <w:top w:w="0" w:type="dxa"/>
            <w:left w:w="108" w:type="dxa"/>
            <w:bottom w:w="0" w:type="dxa"/>
            <w:right w:w="108" w:type="dxa"/>
          </w:tblCellMar>
        </w:tblPrEx>
        <w:trPr>
          <w:trHeight w:val="775"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部门（单位）名称</w:t>
            </w:r>
          </w:p>
        </w:tc>
        <w:tc>
          <w:tcPr>
            <w:tcW w:w="8425"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Chars="0"/>
              <w:jc w:val="left"/>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北京市西城区科学技术和信息化局</w:t>
            </w:r>
          </w:p>
        </w:tc>
      </w:tr>
      <w:tr>
        <w:tblPrEx>
          <w:tblCellMar>
            <w:top w:w="0" w:type="dxa"/>
            <w:left w:w="108" w:type="dxa"/>
            <w:bottom w:w="0" w:type="dxa"/>
            <w:right w:w="108" w:type="dxa"/>
          </w:tblCellMar>
        </w:tblPrEx>
        <w:trPr>
          <w:trHeight w:val="606" w:hRule="atLeast"/>
          <w:jc w:val="center"/>
        </w:trPr>
        <w:tc>
          <w:tcPr>
            <w:tcW w:w="141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部门（单位）负责人</w:t>
            </w:r>
          </w:p>
        </w:tc>
        <w:tc>
          <w:tcPr>
            <w:tcW w:w="1418"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304" w:firstLineChars="145"/>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杨 秋</w:t>
            </w:r>
          </w:p>
        </w:tc>
        <w:tc>
          <w:tcPr>
            <w:tcW w:w="198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联系电话</w:t>
            </w:r>
          </w:p>
        </w:tc>
        <w:tc>
          <w:tcPr>
            <w:tcW w:w="5025"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83976563</w:t>
            </w:r>
          </w:p>
        </w:tc>
      </w:tr>
      <w:tr>
        <w:tblPrEx>
          <w:tblCellMar>
            <w:top w:w="0" w:type="dxa"/>
            <w:left w:w="108" w:type="dxa"/>
            <w:bottom w:w="0" w:type="dxa"/>
            <w:right w:w="108" w:type="dxa"/>
          </w:tblCellMar>
        </w:tblPrEx>
        <w:trPr>
          <w:trHeight w:val="354" w:hRule="atLeast"/>
          <w:jc w:val="center"/>
        </w:trPr>
        <w:tc>
          <w:tcPr>
            <w:tcW w:w="1418"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部门（单位）总体资金情况（万元）</w:t>
            </w:r>
          </w:p>
        </w:tc>
        <w:tc>
          <w:tcPr>
            <w:tcW w:w="1418"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0" w:firstLineChars="0"/>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资金总额</w:t>
            </w:r>
          </w:p>
        </w:tc>
        <w:tc>
          <w:tcPr>
            <w:tcW w:w="7007" w:type="dxa"/>
            <w:gridSpan w:val="2"/>
            <w:tcBorders>
              <w:top w:val="single" w:color="auto" w:sz="4" w:space="0"/>
              <w:left w:val="nil"/>
              <w:bottom w:val="single" w:color="auto" w:sz="4" w:space="0"/>
              <w:right w:val="single" w:color="auto" w:sz="4" w:space="0"/>
            </w:tcBorders>
            <w:vAlign w:val="center"/>
          </w:tcPr>
          <w:p>
            <w:pPr>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13033.46 </w:t>
            </w:r>
          </w:p>
        </w:tc>
      </w:tr>
      <w:tr>
        <w:tblPrEx>
          <w:tblCellMar>
            <w:top w:w="0" w:type="dxa"/>
            <w:left w:w="108" w:type="dxa"/>
            <w:bottom w:w="0" w:type="dxa"/>
            <w:right w:w="108" w:type="dxa"/>
          </w:tblCellMar>
        </w:tblPrEx>
        <w:trPr>
          <w:trHeight w:val="354"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1418"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0" w:firstLineChars="0"/>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基本支出</w:t>
            </w:r>
          </w:p>
        </w:tc>
        <w:tc>
          <w:tcPr>
            <w:tcW w:w="7007" w:type="dxa"/>
            <w:gridSpan w:val="2"/>
            <w:tcBorders>
              <w:top w:val="single" w:color="auto" w:sz="4" w:space="0"/>
              <w:left w:val="nil"/>
              <w:bottom w:val="single" w:color="auto" w:sz="4" w:space="0"/>
              <w:right w:val="single" w:color="auto" w:sz="4" w:space="0"/>
            </w:tcBorders>
            <w:vAlign w:val="center"/>
          </w:tcPr>
          <w:p>
            <w:pPr>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1831.70 </w:t>
            </w:r>
          </w:p>
        </w:tc>
      </w:tr>
      <w:tr>
        <w:tblPrEx>
          <w:tblCellMar>
            <w:top w:w="0" w:type="dxa"/>
            <w:left w:w="108" w:type="dxa"/>
            <w:bottom w:w="0" w:type="dxa"/>
            <w:right w:w="108" w:type="dxa"/>
          </w:tblCellMar>
        </w:tblPrEx>
        <w:trPr>
          <w:trHeight w:val="354"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1418"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0" w:firstLineChars="0"/>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项目支出</w:t>
            </w:r>
          </w:p>
        </w:tc>
        <w:tc>
          <w:tcPr>
            <w:tcW w:w="7007" w:type="dxa"/>
            <w:gridSpan w:val="2"/>
            <w:tcBorders>
              <w:top w:val="single" w:color="auto" w:sz="4" w:space="0"/>
              <w:left w:val="nil"/>
              <w:bottom w:val="single" w:color="auto" w:sz="4" w:space="0"/>
              <w:right w:val="single" w:color="auto" w:sz="4" w:space="0"/>
            </w:tcBorders>
            <w:vAlign w:val="center"/>
          </w:tcPr>
          <w:p>
            <w:pPr>
              <w:ind w:firstLine="420"/>
              <w:rPr>
                <w:rFonts w:asciiTheme="minorEastAsia" w:hAnsiTheme="minorEastAsia" w:eastAsiaTheme="minorEastAsia"/>
                <w:sz w:val="21"/>
                <w:szCs w:val="21"/>
              </w:rPr>
            </w:pPr>
            <w:r>
              <w:rPr>
                <w:rFonts w:asciiTheme="minorEastAsia" w:hAnsiTheme="minorEastAsia" w:eastAsiaTheme="minorEastAsia"/>
                <w:sz w:val="21"/>
                <w:szCs w:val="21"/>
              </w:rPr>
              <w:t>11201</w:t>
            </w: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6</w:t>
            </w:r>
          </w:p>
        </w:tc>
      </w:tr>
      <w:tr>
        <w:tblPrEx>
          <w:tblCellMar>
            <w:top w:w="0" w:type="dxa"/>
            <w:left w:w="108" w:type="dxa"/>
            <w:bottom w:w="0" w:type="dxa"/>
            <w:right w:w="108" w:type="dxa"/>
          </w:tblCellMar>
        </w:tblPrEx>
        <w:trPr>
          <w:trHeight w:val="354"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1418"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0" w:firstLineChars="0"/>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其他</w:t>
            </w:r>
          </w:p>
        </w:tc>
        <w:tc>
          <w:tcPr>
            <w:tcW w:w="7007"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5943" w:hRule="atLeast"/>
          <w:jc w:val="center"/>
        </w:trPr>
        <w:tc>
          <w:tcPr>
            <w:tcW w:w="141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部门（单位）职能概述</w:t>
            </w:r>
          </w:p>
        </w:tc>
        <w:tc>
          <w:tcPr>
            <w:tcW w:w="8425" w:type="dxa"/>
            <w:gridSpan w:val="3"/>
            <w:tcBorders>
              <w:top w:val="single" w:color="auto" w:sz="4" w:space="0"/>
              <w:left w:val="nil"/>
              <w:bottom w:val="single" w:color="auto" w:sz="4" w:space="0"/>
              <w:right w:val="single" w:color="auto" w:sz="4" w:space="0"/>
            </w:tcBorders>
            <w:noWrap/>
          </w:tcPr>
          <w:p>
            <w:pPr>
              <w:widowControl/>
              <w:spacing w:line="24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（一）贯彻落实国家、北京市关于科技和信息化工作的法律、法规、规章、政策及相关规定。起草本区相关规范性文件，并组织实施。</w:t>
            </w:r>
          </w:p>
          <w:p>
            <w:pPr>
              <w:widowControl/>
              <w:spacing w:line="24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（二）负责组织编制本区科技、信息化、大数据、可持续发展规划和年度计划，并组织实施。</w:t>
            </w:r>
          </w:p>
          <w:p>
            <w:pPr>
              <w:widowControl/>
              <w:spacing w:line="24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（三）组织协调本区科技创新工作。促进科技创新、成果转化和科技服务体系建设。协调本区财政科技专项资金实施。负责科技保密等科技管理工作。</w:t>
            </w:r>
          </w:p>
          <w:p>
            <w:pPr>
              <w:widowControl/>
              <w:spacing w:line="24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四）组织推进本区信息化工作，研究拟订信息化发展中长期规划和政策措施。组织开展信息化重大问题研究，督促落实本期规划和政策措施。协调处理信息化重大突发事件与有关应急工作。统筹信息化项目建设。指导、检查、推动有关部门信息化工作。</w:t>
            </w:r>
          </w:p>
          <w:p>
            <w:pPr>
              <w:widowControl/>
              <w:spacing w:line="24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（五）统筹推进本区大数据工作。负责本区数据资源管理，促进数据资源利用。研究拟订大数据技术规范及标准，并组织实施。</w:t>
            </w:r>
          </w:p>
          <w:p>
            <w:pPr>
              <w:widowControl/>
              <w:spacing w:line="24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（六）负责本区政务数据和相关社会数据的整合、管理和应用。负责政务数据资源目录、共享交换等区级大数据基础平台建用。协调促进本区社会信用体系建设。</w:t>
            </w:r>
          </w:p>
          <w:p>
            <w:pPr>
              <w:widowControl/>
              <w:spacing w:line="24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（七）统筹协调本区信息化基础设施的规划和管理。协调公用通信网、广播电视网、计算机网、物联网等信息化基础设施规划建设。</w:t>
            </w:r>
          </w:p>
          <w:p>
            <w:pPr>
              <w:widowControl/>
              <w:spacing w:line="24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（八）负责国家可持续发展示范区工作。</w:t>
            </w:r>
          </w:p>
          <w:p>
            <w:pPr>
              <w:widowControl/>
              <w:spacing w:line="24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（九）组织指导科技、信息化、大数据培训工作。会同有关部门开展相关领域人才队伍建设工作。</w:t>
            </w:r>
          </w:p>
          <w:p>
            <w:pPr>
              <w:widowControl/>
              <w:spacing w:line="24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（十）负责本区科普工作。组织编制科普规划和年度计划，并组织实施。并组织实施。</w:t>
            </w:r>
          </w:p>
          <w:p>
            <w:pPr>
              <w:widowControl/>
              <w:spacing w:line="24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（十一）按照“管行业必须管安全、管业务必须管安全、管生产经营必须管安全”的要求，承担相关安全生产工作职责。</w:t>
            </w:r>
          </w:p>
          <w:p>
            <w:pPr>
              <w:widowControl/>
              <w:spacing w:line="240" w:lineRule="atLeast"/>
              <w:ind w:firstLine="420"/>
              <w:rPr>
                <w:rFonts w:cs="宋体" w:asciiTheme="majorEastAsia" w:hAnsiTheme="majorEastAsia" w:eastAsiaTheme="majorEastAsia"/>
                <w:kern w:val="0"/>
                <w:sz w:val="21"/>
                <w:szCs w:val="21"/>
              </w:rPr>
            </w:pPr>
            <w:r>
              <w:rPr>
                <w:rFonts w:hint="eastAsia" w:ascii="宋体" w:hAnsi="宋体" w:eastAsia="宋体" w:cs="宋体"/>
                <w:kern w:val="0"/>
                <w:sz w:val="21"/>
                <w:szCs w:val="21"/>
              </w:rPr>
              <w:t>（十二）完成区委、区政府交办的其他任务。</w:t>
            </w:r>
          </w:p>
        </w:tc>
      </w:tr>
      <w:tr>
        <w:tblPrEx>
          <w:tblCellMar>
            <w:top w:w="0" w:type="dxa"/>
            <w:left w:w="108" w:type="dxa"/>
            <w:bottom w:w="0" w:type="dxa"/>
            <w:right w:w="108" w:type="dxa"/>
          </w:tblCellMar>
        </w:tblPrEx>
        <w:trPr>
          <w:trHeight w:val="3413"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部门（单位）绩效目标</w:t>
            </w:r>
          </w:p>
        </w:tc>
        <w:tc>
          <w:tcPr>
            <w:tcW w:w="8425" w:type="dxa"/>
            <w:gridSpan w:val="3"/>
            <w:tcBorders>
              <w:top w:val="single" w:color="auto" w:sz="4" w:space="0"/>
              <w:left w:val="nil"/>
              <w:bottom w:val="single" w:color="auto" w:sz="4" w:space="0"/>
              <w:right w:val="single" w:color="auto" w:sz="4" w:space="0"/>
            </w:tcBorders>
          </w:tcPr>
          <w:p>
            <w:pPr>
              <w:widowControl/>
              <w:spacing w:line="240" w:lineRule="atLeast"/>
              <w:ind w:firstLine="420"/>
              <w:rPr>
                <w:rFonts w:ascii="宋体" w:hAnsi="宋体" w:eastAsia="宋体" w:cs="宋体"/>
                <w:kern w:val="0"/>
                <w:sz w:val="21"/>
                <w:szCs w:val="21"/>
              </w:rPr>
            </w:pPr>
            <w:r>
              <w:rPr>
                <w:rFonts w:hint="eastAsia" w:ascii="宋体" w:hAnsi="宋体" w:eastAsia="宋体" w:cs="宋体"/>
                <w:kern w:val="0"/>
                <w:sz w:val="21"/>
                <w:szCs w:val="21"/>
              </w:rPr>
              <w:t>按照开展大数据工作，做好机制、规划、数据、技术四个统筹，有序推进全区大数据建设。继续完善大数据中心平台及各子系统功能，持续做好数据汇聚、数据共享交换、数据治理等工作，实现政务数据的统一接入。研究数据开放标准，制订《西城区数据开放管理办法》。按照全市统一要求，完成统一资源库、用户库、互动交流平台等栏目的建设和市区两级对接工作。实现区政务微博、微信与信息发布平台的整合。开展信用西城互联网发布平台建设。继续深入落实国家和北京市社会信用体系建设工作要求，逐项完成北京市专项任务。继续做好企业创新服务。进一步做好财政科技专项工作，增强区域创新活力；做好科技企业技术创新服务工作以党建为引领推动全面从严治党向纵深发展，对检视出的突出问题，切实抓好整改落实。做好公务员职务与职级并行工作，坚持正确用人导向，选优配强干部。注重提升专业素养，加大干部培训的力度，打造凝心聚力的机关文化。继续推进国家可持续发展实验区复核评估工作。组织好西城区可持续发展基本情况总结及项目成果典型经验梳理。</w:t>
            </w:r>
          </w:p>
        </w:tc>
      </w:tr>
    </w:tbl>
    <w:p>
      <w:pPr>
        <w:widowControl/>
        <w:spacing w:before="100" w:beforeAutospacing="1" w:after="100" w:afterAutospacing="1" w:line="312" w:lineRule="auto"/>
        <w:ind w:firstLine="400"/>
        <w:rPr>
          <w:rFonts w:ascii="仿宋_GB2312" w:cs="宋体"/>
          <w:kern w:val="0"/>
          <w:sz w:val="20"/>
          <w:szCs w:val="20"/>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cols w:space="425" w:num="1"/>
          <w:docGrid w:linePitch="312" w:charSpace="0"/>
        </w:sectPr>
      </w:pPr>
    </w:p>
    <w:tbl>
      <w:tblPr>
        <w:tblStyle w:val="5"/>
        <w:tblW w:w="5597" w:type="pct"/>
        <w:tblInd w:w="-432" w:type="dxa"/>
        <w:tblLayout w:type="autofit"/>
        <w:tblCellMar>
          <w:top w:w="0" w:type="dxa"/>
          <w:left w:w="108" w:type="dxa"/>
          <w:bottom w:w="0" w:type="dxa"/>
          <w:right w:w="108" w:type="dxa"/>
        </w:tblCellMar>
      </w:tblPr>
      <w:tblGrid>
        <w:gridCol w:w="1110"/>
        <w:gridCol w:w="1133"/>
        <w:gridCol w:w="1417"/>
        <w:gridCol w:w="283"/>
        <w:gridCol w:w="995"/>
        <w:gridCol w:w="2226"/>
        <w:gridCol w:w="3487"/>
      </w:tblGrid>
      <w:tr>
        <w:tblPrEx>
          <w:tblCellMar>
            <w:top w:w="0" w:type="dxa"/>
            <w:left w:w="108" w:type="dxa"/>
            <w:bottom w:w="0" w:type="dxa"/>
            <w:right w:w="108" w:type="dxa"/>
          </w:tblCellMar>
        </w:tblPrEx>
        <w:trPr>
          <w:trHeight w:val="360" w:hRule="atLeast"/>
        </w:trPr>
        <w:tc>
          <w:tcPr>
            <w:tcW w:w="521" w:type="pct"/>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绩效指标</w:t>
            </w:r>
          </w:p>
        </w:tc>
        <w:tc>
          <w:tcPr>
            <w:tcW w:w="532" w:type="pct"/>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一级指标</w:t>
            </w:r>
          </w:p>
        </w:tc>
        <w:tc>
          <w:tcPr>
            <w:tcW w:w="798" w:type="pct"/>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二级指标</w:t>
            </w:r>
          </w:p>
        </w:tc>
        <w:tc>
          <w:tcPr>
            <w:tcW w:w="3149" w:type="pct"/>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具体指标（指标内容、指标值）</w:t>
            </w:r>
          </w:p>
        </w:tc>
      </w:tr>
      <w:tr>
        <w:tblPrEx>
          <w:tblCellMar>
            <w:top w:w="0" w:type="dxa"/>
            <w:left w:w="108" w:type="dxa"/>
            <w:bottom w:w="0" w:type="dxa"/>
            <w:right w:w="108" w:type="dxa"/>
          </w:tblCellMar>
        </w:tblPrEx>
        <w:trPr>
          <w:trHeight w:val="8691" w:hRule="exact"/>
        </w:trPr>
        <w:tc>
          <w:tcPr>
            <w:tcW w:w="521"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532" w:type="pct"/>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产出指标</w:t>
            </w:r>
          </w:p>
        </w:tc>
        <w:tc>
          <w:tcPr>
            <w:tcW w:w="798"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asciiTheme="majorEastAsia" w:hAnsiTheme="majorEastAsia" w:eastAsiaTheme="majorEastAsia"/>
                <w:bCs/>
                <w:sz w:val="21"/>
                <w:szCs w:val="21"/>
              </w:rPr>
              <w:t>产出</w:t>
            </w:r>
            <w:r>
              <w:rPr>
                <w:rFonts w:hint="eastAsia" w:cs="宋体" w:asciiTheme="majorEastAsia" w:hAnsiTheme="majorEastAsia" w:eastAsiaTheme="majorEastAsia"/>
                <w:kern w:val="0"/>
                <w:sz w:val="21"/>
                <w:szCs w:val="21"/>
              </w:rPr>
              <w:t>数量指标</w:t>
            </w:r>
          </w:p>
        </w:tc>
        <w:tc>
          <w:tcPr>
            <w:tcW w:w="3149" w:type="pct"/>
            <w:gridSpan w:val="3"/>
            <w:tcBorders>
              <w:top w:val="single" w:color="auto" w:sz="4" w:space="0"/>
              <w:left w:val="nil"/>
              <w:right w:val="single" w:color="auto" w:sz="4" w:space="0"/>
            </w:tcBorders>
          </w:tcPr>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一、科技专项创新类项目支持20至30个项目，涵盖电子信息、光机电一体化、生物医药、系能源与环保技术、资源与环境技术、新材料技术等技术领域。</w:t>
            </w:r>
          </w:p>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二、2020年财政科技专项可持续发展类项目支持30个项目，涵盖大气污染监控、新能源技术及产品研发、公共低碳环保理念引导等领域进行了有益尝试，重点扶持一批环保节能科技创新和集成技术的项目。</w:t>
            </w:r>
          </w:p>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三、面向全区、15个街道和重点区域开展人口监测，区分居住人口、工作人口，掌握人口流入流出情况。</w:t>
            </w:r>
          </w:p>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四、大数据应用展示监测，数据架构、数据分析、数据应用、基础支撑四版块升级。</w:t>
            </w:r>
          </w:p>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五、大数据总体规划：编制总体规划、技术方案、实施计划等规划方案4份，2-3个重点研究课题报告，西城大数据蓝皮书1份，</w:t>
            </w:r>
            <w:r>
              <w:rPr>
                <w:rFonts w:hint="eastAsia" w:cs="宋体" w:asciiTheme="majorEastAsia" w:hAnsiTheme="majorEastAsia" w:eastAsiaTheme="majorEastAsia"/>
                <w:kern w:val="0"/>
                <w:sz w:val="21"/>
                <w:szCs w:val="21"/>
              </w:rPr>
              <w:tab/>
            </w:r>
            <w:r>
              <w:rPr>
                <w:rFonts w:hint="eastAsia" w:cs="宋体" w:asciiTheme="majorEastAsia" w:hAnsiTheme="majorEastAsia" w:eastAsiaTheme="majorEastAsia"/>
                <w:kern w:val="0"/>
                <w:sz w:val="21"/>
                <w:szCs w:val="21"/>
              </w:rPr>
              <w:t>西城大数据年度发展报告1份，3-5场大数据宣传</w:t>
            </w:r>
            <w:bookmarkStart w:id="0" w:name="_GoBack"/>
            <w:bookmarkEnd w:id="0"/>
            <w:r>
              <w:rPr>
                <w:rFonts w:hint="eastAsia" w:cs="宋体" w:asciiTheme="majorEastAsia" w:hAnsiTheme="majorEastAsia" w:eastAsiaTheme="majorEastAsia"/>
                <w:kern w:val="0"/>
                <w:sz w:val="21"/>
                <w:szCs w:val="21"/>
              </w:rPr>
              <w:t>培训会。</w:t>
            </w:r>
          </w:p>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六、西城网站及专题网站建设、西城网站APP建设及12个月的西城互联网平台管理，满足局域网环境下单页面打开时间相应时间小于3秒，满足最大日访问量100万点击需求。</w:t>
            </w:r>
          </w:p>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七、大数据应用创新的项目建议书1份；编制西城区大数据应用创新案例分析报告1份；计划通过三年努力，西城区大数据应用创新实验室总人数达到20人，高级研发管理人员达到50%。</w:t>
            </w:r>
          </w:p>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八、大数据规范体系建设：制定区大数据相关标准规范不少于7个。</w:t>
            </w:r>
          </w:p>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九、大数据治理：构建驻场运营团队规模达到10-15人；日常运营服务所需的专业化工具数量不少于3个。</w:t>
            </w:r>
          </w:p>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十、政务资源目录系统升级改造:城区目录信息系统1套，系统维护手册1套，系统使用手册1套，完成安全等级测评。</w:t>
            </w:r>
          </w:p>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十一、为40个信息化重大项目（项目总金额约3500万元）执行标准监理服务。为项目总金额约1000万元执行标准的第三方软件测评。</w:t>
            </w:r>
          </w:p>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十二、科普工作：举办10场科普讲座，组织1次科普培训。</w:t>
            </w:r>
          </w:p>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十三、知识产权工作：确保 1个组织3个站正常运转，13个联席单位接受宣传培训，机关、学校、企事业单位直接接受面授知识产权保护知识宣讲宣传人群3000人次以上。</w:t>
            </w:r>
          </w:p>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十四、公益WIFI覆盖：完成28个公共场所265个AP的建设任务。</w:t>
            </w:r>
          </w:p>
        </w:tc>
      </w:tr>
      <w:tr>
        <w:tblPrEx>
          <w:tblCellMar>
            <w:top w:w="0" w:type="dxa"/>
            <w:left w:w="108" w:type="dxa"/>
            <w:bottom w:w="0" w:type="dxa"/>
            <w:right w:w="108" w:type="dxa"/>
          </w:tblCellMar>
        </w:tblPrEx>
        <w:trPr>
          <w:trHeight w:val="4665" w:hRule="exact"/>
        </w:trPr>
        <w:tc>
          <w:tcPr>
            <w:tcW w:w="521"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5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798"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asciiTheme="majorEastAsia" w:hAnsiTheme="majorEastAsia" w:eastAsiaTheme="majorEastAsia"/>
                <w:bCs/>
                <w:sz w:val="21"/>
                <w:szCs w:val="21"/>
              </w:rPr>
              <w:t>产出</w:t>
            </w:r>
            <w:r>
              <w:rPr>
                <w:rFonts w:hint="eastAsia" w:cs="宋体" w:asciiTheme="majorEastAsia" w:hAnsiTheme="majorEastAsia" w:eastAsiaTheme="majorEastAsia"/>
                <w:kern w:val="0"/>
                <w:sz w:val="21"/>
                <w:szCs w:val="21"/>
              </w:rPr>
              <w:t>质量指标</w:t>
            </w:r>
          </w:p>
        </w:tc>
        <w:tc>
          <w:tcPr>
            <w:tcW w:w="3149" w:type="pct"/>
            <w:gridSpan w:val="3"/>
            <w:tcBorders>
              <w:top w:val="single" w:color="auto" w:sz="4" w:space="0"/>
              <w:left w:val="nil"/>
              <w:right w:val="single" w:color="auto" w:sz="4" w:space="0"/>
            </w:tcBorders>
          </w:tcPr>
          <w:p>
            <w:pPr>
              <w:widowControl/>
              <w:spacing w:line="240" w:lineRule="atLeast"/>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一、提升大数据治理理念，将“管理视角”转变为“服务视角”，进一步推进大数据工作：完研究建立数据治理体系，借用第三方专业力量，针对人口、企业等数据资源开展数据治理；完善区大数据中心平台各子系统的建设。</w:t>
            </w:r>
          </w:p>
          <w:p>
            <w:pPr>
              <w:widowControl/>
              <w:spacing w:line="240" w:lineRule="atLeast"/>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二、加强政府网站保障，加大公益服务，继续完善网站建设和扩大公益WIFI覆盖面：提升网站的性能及服务能力；继续推进公益性无线局域网（WiFi）覆盖，加强对免费无线接入服务的管理。</w:t>
            </w:r>
          </w:p>
          <w:p>
            <w:pPr>
              <w:widowControl/>
              <w:spacing w:line="240" w:lineRule="atLeast"/>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三、推进诚信分类监管机制建立，强化知识产权保护和服务能力提升：推进企业信用数据共享与应用；大力开展重点领域信用体系建设；继续开展诚信宣传教育和培训工作；强化知识产权保护。</w:t>
            </w:r>
          </w:p>
          <w:p>
            <w:pPr>
              <w:widowControl/>
              <w:spacing w:line="240" w:lineRule="atLeast"/>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四、推动科技成果转化，服务经济社会发展，继续做好科技企业服务：继续深入开展科技政策宣传培训、高新技术企业认定辅导、企业知识产权保护、技术合同登记、中小企业融资服务、科技型中小企业评价和科技企业咨询调研等工作；着力推动区域科技创新和高精尖产业发展，完善科技项目跟踪管理方式，做好2018、2019年度区财政科技专项科技创新类项目结题验收等工作；继续大力开展科技人才队伍培养工作。</w:t>
            </w:r>
          </w:p>
        </w:tc>
      </w:tr>
      <w:tr>
        <w:tblPrEx>
          <w:tblCellMar>
            <w:top w:w="0" w:type="dxa"/>
            <w:left w:w="108" w:type="dxa"/>
            <w:bottom w:w="0" w:type="dxa"/>
            <w:right w:w="108" w:type="dxa"/>
          </w:tblCellMar>
        </w:tblPrEx>
        <w:trPr>
          <w:trHeight w:val="989" w:hRule="exact"/>
        </w:trPr>
        <w:tc>
          <w:tcPr>
            <w:tcW w:w="521"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5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798"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asciiTheme="majorEastAsia" w:hAnsiTheme="majorEastAsia" w:eastAsiaTheme="majorEastAsia"/>
                <w:bCs/>
                <w:sz w:val="21"/>
                <w:szCs w:val="21"/>
              </w:rPr>
              <w:t>产出</w:t>
            </w:r>
            <w:r>
              <w:rPr>
                <w:rFonts w:hint="eastAsia" w:cs="宋体" w:asciiTheme="majorEastAsia" w:hAnsiTheme="majorEastAsia" w:eastAsiaTheme="majorEastAsia"/>
                <w:kern w:val="0"/>
                <w:sz w:val="21"/>
                <w:szCs w:val="21"/>
              </w:rPr>
              <w:t>进度指标</w:t>
            </w:r>
          </w:p>
        </w:tc>
        <w:tc>
          <w:tcPr>
            <w:tcW w:w="3149" w:type="pct"/>
            <w:gridSpan w:val="3"/>
            <w:tcBorders>
              <w:top w:val="single" w:color="auto" w:sz="4" w:space="0"/>
              <w:left w:val="nil"/>
              <w:right w:val="single" w:color="auto" w:sz="4" w:space="0"/>
            </w:tcBorders>
            <w:vAlign w:val="center"/>
          </w:tcPr>
          <w:p>
            <w:pPr>
              <w:widowControl/>
              <w:spacing w:line="240" w:lineRule="atLeast"/>
              <w:ind w:firstLine="210" w:firstLineChars="10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1、上半年完成全年项目立项及预算执行任务的50%以上，下半年完成全年立项及预算执行任务。</w:t>
            </w:r>
          </w:p>
          <w:p>
            <w:pPr>
              <w:widowControl/>
              <w:spacing w:line="240" w:lineRule="atLeast"/>
              <w:ind w:firstLine="210" w:firstLineChars="10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2、项目具体进度按相关文件要求及任务书规定要求完成。</w:t>
            </w:r>
          </w:p>
          <w:p>
            <w:pPr>
              <w:widowControl/>
              <w:spacing w:before="100" w:beforeAutospacing="1" w:after="100" w:afterAutospacing="1" w:line="240" w:lineRule="atLeast"/>
              <w:ind w:firstLine="210" w:firstLineChars="100"/>
              <w:rPr>
                <w:rFonts w:cs="宋体"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56" w:hRule="exact"/>
        </w:trPr>
        <w:tc>
          <w:tcPr>
            <w:tcW w:w="521"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5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798"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asciiTheme="majorEastAsia" w:hAnsiTheme="majorEastAsia" w:eastAsiaTheme="majorEastAsia"/>
                <w:bCs/>
                <w:sz w:val="21"/>
                <w:szCs w:val="21"/>
              </w:rPr>
              <w:t>产出</w:t>
            </w:r>
            <w:r>
              <w:rPr>
                <w:rFonts w:hint="eastAsia" w:cs="宋体" w:asciiTheme="majorEastAsia" w:hAnsiTheme="majorEastAsia" w:eastAsiaTheme="majorEastAsia"/>
                <w:kern w:val="0"/>
                <w:sz w:val="21"/>
                <w:szCs w:val="21"/>
              </w:rPr>
              <w:t>成本指标</w:t>
            </w:r>
          </w:p>
        </w:tc>
        <w:tc>
          <w:tcPr>
            <w:tcW w:w="3149" w:type="pct"/>
            <w:gridSpan w:val="3"/>
            <w:tcBorders>
              <w:top w:val="single" w:color="auto" w:sz="4" w:space="0"/>
              <w:left w:val="nil"/>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color w:val="FF0000"/>
                <w:kern w:val="0"/>
                <w:sz w:val="21"/>
                <w:szCs w:val="21"/>
              </w:rPr>
            </w:pPr>
            <w:r>
              <w:rPr>
                <w:rFonts w:hint="eastAsia" w:ascii="宋体" w:hAnsi="宋体" w:eastAsia="宋体" w:cs="宋体"/>
                <w:kern w:val="0"/>
                <w:sz w:val="21"/>
                <w:szCs w:val="21"/>
              </w:rPr>
              <w:t>按照</w:t>
            </w:r>
            <w:r>
              <w:rPr>
                <w:rFonts w:hint="eastAsia" w:cs="宋体" w:asciiTheme="majorEastAsia" w:hAnsiTheme="majorEastAsia" w:eastAsiaTheme="majorEastAsia"/>
                <w:kern w:val="0"/>
                <w:sz w:val="21"/>
                <w:szCs w:val="21"/>
              </w:rPr>
              <w:t>厉行节约</w:t>
            </w:r>
            <w:r>
              <w:rPr>
                <w:rFonts w:hint="eastAsia" w:ascii="宋体" w:hAnsi="宋体" w:eastAsia="宋体" w:cs="宋体"/>
                <w:kern w:val="0"/>
                <w:sz w:val="21"/>
                <w:szCs w:val="21"/>
              </w:rPr>
              <w:t>的原则，严格按项目支出需求编制预算，严把各项工作实施成本。</w:t>
            </w:r>
          </w:p>
        </w:tc>
      </w:tr>
      <w:tr>
        <w:tblPrEx>
          <w:tblCellMar>
            <w:top w:w="0" w:type="dxa"/>
            <w:left w:w="108" w:type="dxa"/>
            <w:bottom w:w="0" w:type="dxa"/>
            <w:right w:w="108" w:type="dxa"/>
          </w:tblCellMar>
        </w:tblPrEx>
        <w:trPr>
          <w:trHeight w:val="419" w:hRule="exact"/>
        </w:trPr>
        <w:tc>
          <w:tcPr>
            <w:tcW w:w="521"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5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798" w:type="pct"/>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w:t>
            </w:r>
          </w:p>
        </w:tc>
        <w:tc>
          <w:tcPr>
            <w:tcW w:w="3149" w:type="pct"/>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853" w:hRule="exact"/>
        </w:trPr>
        <w:tc>
          <w:tcPr>
            <w:tcW w:w="521"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532" w:type="pct"/>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效果指标</w:t>
            </w:r>
          </w:p>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798"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经济效益指标</w:t>
            </w:r>
          </w:p>
        </w:tc>
        <w:tc>
          <w:tcPr>
            <w:tcW w:w="3149" w:type="pct"/>
            <w:gridSpan w:val="3"/>
            <w:tcBorders>
              <w:top w:val="single" w:color="auto" w:sz="4" w:space="0"/>
              <w:left w:val="nil"/>
              <w:right w:val="single" w:color="auto" w:sz="4" w:space="0"/>
            </w:tcBorders>
            <w:vAlign w:val="center"/>
          </w:tcPr>
          <w:p>
            <w:pPr>
              <w:widowControl/>
              <w:spacing w:line="240" w:lineRule="atLeast"/>
              <w:ind w:firstLine="210" w:firstLineChars="10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1、创新管理模式，提升行政效能，提升科技支撑能力，满足科技惠民、信息惠民的新要求。</w:t>
            </w:r>
          </w:p>
          <w:p>
            <w:pPr>
              <w:widowControl/>
              <w:spacing w:line="240" w:lineRule="atLeast"/>
              <w:ind w:firstLine="210" w:firstLineChars="10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2、大数据推进政府数据共享，降低信息化运维成本。</w:t>
            </w:r>
          </w:p>
        </w:tc>
      </w:tr>
      <w:tr>
        <w:tblPrEx>
          <w:tblCellMar>
            <w:top w:w="0" w:type="dxa"/>
            <w:left w:w="108" w:type="dxa"/>
            <w:bottom w:w="0" w:type="dxa"/>
            <w:right w:w="108" w:type="dxa"/>
          </w:tblCellMar>
        </w:tblPrEx>
        <w:trPr>
          <w:trHeight w:val="1407" w:hRule="exact"/>
        </w:trPr>
        <w:tc>
          <w:tcPr>
            <w:tcW w:w="521"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5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798"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社会效益指标</w:t>
            </w:r>
          </w:p>
        </w:tc>
        <w:tc>
          <w:tcPr>
            <w:tcW w:w="3149" w:type="pct"/>
            <w:gridSpan w:val="3"/>
            <w:tcBorders>
              <w:top w:val="single" w:color="auto" w:sz="4" w:space="0"/>
              <w:left w:val="nil"/>
              <w:right w:val="single" w:color="auto" w:sz="4" w:space="0"/>
            </w:tcBorders>
            <w:vAlign w:val="center"/>
          </w:tcPr>
          <w:p>
            <w:pPr>
              <w:widowControl/>
              <w:spacing w:line="240" w:lineRule="atLeast"/>
              <w:ind w:firstLine="210" w:firstLineChars="10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1、科普宣传、主动服务，为区域经济发展、社会治理、民生服务等提供坚实的科技支撑。</w:t>
            </w:r>
          </w:p>
          <w:p>
            <w:pPr>
              <w:widowControl/>
              <w:spacing w:line="240" w:lineRule="atLeast"/>
              <w:ind w:firstLine="210" w:firstLineChars="10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2、智慧城市建设和大数据工作，率先在全市建成“智慧城市”基本框架，宽带网络光纤全覆盖，有效支撑各部门应用，部分应用在全国或北京市成为典型案例。</w:t>
            </w:r>
          </w:p>
          <w:p>
            <w:pPr>
              <w:widowControl/>
              <w:spacing w:line="240" w:lineRule="atLeast"/>
              <w:ind w:firstLine="210" w:firstLineChars="100"/>
              <w:rPr>
                <w:rFonts w:cs="宋体" w:asciiTheme="majorEastAsia" w:hAnsiTheme="majorEastAsia" w:eastAsiaTheme="majorEastAsia"/>
                <w:kern w:val="0"/>
                <w:sz w:val="21"/>
                <w:szCs w:val="21"/>
              </w:rPr>
            </w:pPr>
          </w:p>
          <w:p>
            <w:pPr>
              <w:widowControl/>
              <w:spacing w:line="240" w:lineRule="atLeast"/>
              <w:ind w:firstLine="210" w:firstLineChars="100"/>
              <w:rPr>
                <w:rFonts w:cs="宋体" w:asciiTheme="majorEastAsia" w:hAnsiTheme="majorEastAsia" w:eastAsiaTheme="majorEastAsia"/>
                <w:kern w:val="0"/>
                <w:sz w:val="21"/>
                <w:szCs w:val="21"/>
              </w:rPr>
            </w:pPr>
          </w:p>
          <w:p>
            <w:pPr>
              <w:widowControl/>
              <w:numPr>
                <w:ilvl w:val="0"/>
                <w:numId w:val="1"/>
              </w:numPr>
              <w:spacing w:line="240" w:lineRule="atLeast"/>
              <w:ind w:firstLine="210" w:firstLineChars="10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社会安定方面：辖区内政治稳定、社会安定</w:t>
            </w:r>
          </w:p>
          <w:p>
            <w:pPr>
              <w:widowControl/>
              <w:numPr>
                <w:ilvl w:val="0"/>
                <w:numId w:val="1"/>
              </w:numPr>
              <w:spacing w:line="240" w:lineRule="atLeast"/>
              <w:ind w:firstLine="210" w:firstLineChars="10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居民幸福指数：居民精神面貌、文化修养提升，居民生活质量提升</w:t>
            </w:r>
          </w:p>
          <w:p>
            <w:pPr>
              <w:widowControl/>
              <w:spacing w:line="240" w:lineRule="atLeast"/>
              <w:ind w:firstLine="210" w:firstLineChars="10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r>
      <w:tr>
        <w:tblPrEx>
          <w:tblCellMar>
            <w:top w:w="0" w:type="dxa"/>
            <w:left w:w="108" w:type="dxa"/>
            <w:bottom w:w="0" w:type="dxa"/>
            <w:right w:w="108" w:type="dxa"/>
          </w:tblCellMar>
        </w:tblPrEx>
        <w:trPr>
          <w:trHeight w:val="851" w:hRule="exact"/>
        </w:trPr>
        <w:tc>
          <w:tcPr>
            <w:tcW w:w="521"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5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798"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环境效益指标</w:t>
            </w:r>
          </w:p>
        </w:tc>
        <w:tc>
          <w:tcPr>
            <w:tcW w:w="3149" w:type="pct"/>
            <w:gridSpan w:val="3"/>
            <w:tcBorders>
              <w:top w:val="single" w:color="auto" w:sz="4" w:space="0"/>
              <w:left w:val="nil"/>
              <w:right w:val="single" w:color="auto" w:sz="4" w:space="0"/>
            </w:tcBorders>
            <w:vAlign w:val="center"/>
          </w:tcPr>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严格控制区域开发强度，落实新增产业禁限目录健全长效机制；牵头散乱污专项清理整治，并通过市环保督查。</w:t>
            </w:r>
          </w:p>
        </w:tc>
      </w:tr>
      <w:tr>
        <w:tblPrEx>
          <w:tblCellMar>
            <w:top w:w="0" w:type="dxa"/>
            <w:left w:w="108" w:type="dxa"/>
            <w:bottom w:w="0" w:type="dxa"/>
            <w:right w:w="108" w:type="dxa"/>
          </w:tblCellMar>
        </w:tblPrEx>
        <w:trPr>
          <w:trHeight w:val="1975" w:hRule="exact"/>
        </w:trPr>
        <w:tc>
          <w:tcPr>
            <w:tcW w:w="521"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5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798"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可持续影响指标</w:t>
            </w:r>
          </w:p>
        </w:tc>
        <w:tc>
          <w:tcPr>
            <w:tcW w:w="3149" w:type="pct"/>
            <w:gridSpan w:val="3"/>
            <w:tcBorders>
              <w:top w:val="single" w:color="auto" w:sz="4" w:space="0"/>
              <w:left w:val="nil"/>
              <w:right w:val="single" w:color="auto" w:sz="4" w:space="0"/>
            </w:tcBorders>
            <w:vAlign w:val="center"/>
          </w:tcPr>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1、大数据资源的全面梳理和融合，实现数据资源的管控，夯实数据基础。为政府决策提供全面有力的支撑，提高部门科学决策能力和政府办事效率。</w:t>
            </w:r>
          </w:p>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2、科技专项创新类项目和可持续发展类项目统一管理，探索科技创新工作新方法，全面提高辖区内的可持续发展能力，争创国家可持续发展议程创新示范区。</w:t>
            </w:r>
          </w:p>
          <w:p>
            <w:pPr>
              <w:widowControl/>
              <w:spacing w:line="240" w:lineRule="atLeast"/>
              <w:ind w:firstLine="420"/>
              <w:rPr>
                <w:rFonts w:cs="宋体" w:asciiTheme="majorEastAsia" w:hAnsiTheme="majorEastAsia" w:eastAsiaTheme="majorEastAsia"/>
                <w:kern w:val="0"/>
                <w:sz w:val="21"/>
                <w:szCs w:val="21"/>
              </w:rPr>
            </w:pPr>
          </w:p>
          <w:p>
            <w:pPr>
              <w:widowControl/>
              <w:spacing w:line="240" w:lineRule="atLeast"/>
              <w:ind w:firstLine="420"/>
              <w:rPr>
                <w:rFonts w:cs="宋体" w:asciiTheme="majorEastAsia" w:hAnsiTheme="majorEastAsia" w:eastAsiaTheme="majorEastAsia"/>
                <w:kern w:val="0"/>
                <w:sz w:val="21"/>
                <w:szCs w:val="21"/>
              </w:rPr>
            </w:pPr>
          </w:p>
          <w:p>
            <w:pPr>
              <w:widowControl/>
              <w:spacing w:line="240" w:lineRule="atLeast"/>
              <w:ind w:firstLine="420"/>
              <w:rPr>
                <w:rFonts w:cs="宋体" w:asciiTheme="majorEastAsia" w:hAnsiTheme="majorEastAsia" w:eastAsiaTheme="majorEastAsia"/>
                <w:kern w:val="0"/>
                <w:sz w:val="21"/>
                <w:szCs w:val="21"/>
              </w:rPr>
            </w:pPr>
          </w:p>
          <w:p>
            <w:pPr>
              <w:widowControl/>
              <w:spacing w:line="240" w:lineRule="atLeast"/>
              <w:ind w:firstLine="42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2、培养具有可持续发展理念和管理创新能力的干部队伍。</w:t>
            </w:r>
          </w:p>
        </w:tc>
      </w:tr>
      <w:tr>
        <w:tblPrEx>
          <w:tblCellMar>
            <w:top w:w="0" w:type="dxa"/>
            <w:left w:w="108" w:type="dxa"/>
            <w:bottom w:w="0" w:type="dxa"/>
            <w:right w:w="108" w:type="dxa"/>
          </w:tblCellMar>
        </w:tblPrEx>
        <w:trPr>
          <w:trHeight w:val="849" w:hRule="exact"/>
        </w:trPr>
        <w:tc>
          <w:tcPr>
            <w:tcW w:w="521" w:type="pct"/>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5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798" w:type="pct"/>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服务对象满意度指标</w:t>
            </w:r>
          </w:p>
        </w:tc>
        <w:tc>
          <w:tcPr>
            <w:tcW w:w="3149" w:type="pct"/>
            <w:gridSpan w:val="3"/>
            <w:tcBorders>
              <w:top w:val="single" w:color="auto" w:sz="4" w:space="0"/>
              <w:left w:val="nil"/>
              <w:right w:val="single" w:color="auto" w:sz="4" w:space="0"/>
            </w:tcBorders>
            <w:vAlign w:val="center"/>
          </w:tcPr>
          <w:p>
            <w:pPr>
              <w:widowControl/>
              <w:spacing w:line="240" w:lineRule="atLeast"/>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辖区内部门、企业、居民对部门服务满意度比例达到95%以上</w:t>
            </w:r>
          </w:p>
        </w:tc>
      </w:tr>
      <w:tr>
        <w:tblPrEx>
          <w:tblCellMar>
            <w:top w:w="0" w:type="dxa"/>
            <w:left w:w="108" w:type="dxa"/>
            <w:bottom w:w="0" w:type="dxa"/>
            <w:right w:w="108" w:type="dxa"/>
          </w:tblCellMar>
        </w:tblPrEx>
        <w:trPr>
          <w:trHeight w:val="488" w:hRule="exact"/>
        </w:trPr>
        <w:tc>
          <w:tcPr>
            <w:tcW w:w="521" w:type="pct"/>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532"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c>
          <w:tcPr>
            <w:tcW w:w="798" w:type="pct"/>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w:t>
            </w:r>
          </w:p>
        </w:tc>
        <w:tc>
          <w:tcPr>
            <w:tcW w:w="3149" w:type="pct"/>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p>
        </w:tc>
      </w:tr>
      <w:tr>
        <w:tblPrEx>
          <w:tblCellMar>
            <w:top w:w="0" w:type="dxa"/>
            <w:left w:w="108" w:type="dxa"/>
            <w:bottom w:w="0" w:type="dxa"/>
            <w:right w:w="108" w:type="dxa"/>
          </w:tblCellMar>
        </w:tblPrEx>
        <w:trPr>
          <w:trHeight w:val="694" w:hRule="exact"/>
        </w:trPr>
        <w:tc>
          <w:tcPr>
            <w:tcW w:w="521"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其他说明的问题</w:t>
            </w:r>
          </w:p>
        </w:tc>
        <w:tc>
          <w:tcPr>
            <w:tcW w:w="4479" w:type="pct"/>
            <w:gridSpan w:val="6"/>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无</w:t>
            </w:r>
          </w:p>
        </w:tc>
      </w:tr>
      <w:tr>
        <w:tblPrEx>
          <w:tblCellMar>
            <w:top w:w="0" w:type="dxa"/>
            <w:left w:w="108" w:type="dxa"/>
            <w:bottom w:w="0" w:type="dxa"/>
            <w:right w:w="108" w:type="dxa"/>
          </w:tblCellMar>
        </w:tblPrEx>
        <w:trPr>
          <w:trHeight w:val="567" w:hRule="atLeast"/>
        </w:trPr>
        <w:tc>
          <w:tcPr>
            <w:tcW w:w="521"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填报人：</w:t>
            </w:r>
          </w:p>
        </w:tc>
        <w:tc>
          <w:tcPr>
            <w:tcW w:w="1197" w:type="pct"/>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王玉芬</w:t>
            </w:r>
          </w:p>
        </w:tc>
        <w:tc>
          <w:tcPr>
            <w:tcW w:w="600" w:type="pct"/>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联系电话：</w:t>
            </w:r>
          </w:p>
        </w:tc>
        <w:tc>
          <w:tcPr>
            <w:tcW w:w="1045"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83976204</w:t>
            </w:r>
          </w:p>
        </w:tc>
        <w:tc>
          <w:tcPr>
            <w:tcW w:w="1637"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0" w:firstLineChars="0"/>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填报日期：2020年1月20日</w:t>
            </w:r>
          </w:p>
        </w:tc>
      </w:tr>
    </w:tbl>
    <w:p>
      <w:pPr>
        <w:widowControl/>
        <w:ind w:firstLine="0" w:firstLineChars="0"/>
        <w:jc w:val="left"/>
      </w:pPr>
    </w:p>
    <w:sectPr>
      <w:pgSz w:w="11907" w:h="16840"/>
      <w:pgMar w:top="1077" w:right="1304" w:bottom="851" w:left="1304"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917AF"/>
    <w:multiLevelType w:val="multilevel"/>
    <w:tmpl w:val="75F917AF"/>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33"/>
    <w:rsid w:val="00017C36"/>
    <w:rsid w:val="00044D33"/>
    <w:rsid w:val="0007015B"/>
    <w:rsid w:val="00077701"/>
    <w:rsid w:val="000A15F8"/>
    <w:rsid w:val="000A36A8"/>
    <w:rsid w:val="000A416D"/>
    <w:rsid w:val="000E1A45"/>
    <w:rsid w:val="000E3329"/>
    <w:rsid w:val="000E4088"/>
    <w:rsid w:val="000F3777"/>
    <w:rsid w:val="000F6C5A"/>
    <w:rsid w:val="0011147F"/>
    <w:rsid w:val="00133D86"/>
    <w:rsid w:val="001516B3"/>
    <w:rsid w:val="00161527"/>
    <w:rsid w:val="00166752"/>
    <w:rsid w:val="001855B7"/>
    <w:rsid w:val="00191DA4"/>
    <w:rsid w:val="001967F4"/>
    <w:rsid w:val="001B65AF"/>
    <w:rsid w:val="001E7A36"/>
    <w:rsid w:val="001F3342"/>
    <w:rsid w:val="002047C1"/>
    <w:rsid w:val="002275AA"/>
    <w:rsid w:val="00237DEB"/>
    <w:rsid w:val="00252B80"/>
    <w:rsid w:val="0026426E"/>
    <w:rsid w:val="002778D6"/>
    <w:rsid w:val="00281E99"/>
    <w:rsid w:val="00287743"/>
    <w:rsid w:val="00296BD3"/>
    <w:rsid w:val="002C0065"/>
    <w:rsid w:val="002F6198"/>
    <w:rsid w:val="00311347"/>
    <w:rsid w:val="00326491"/>
    <w:rsid w:val="00336937"/>
    <w:rsid w:val="00360E8A"/>
    <w:rsid w:val="00361368"/>
    <w:rsid w:val="00375F83"/>
    <w:rsid w:val="003A2883"/>
    <w:rsid w:val="003A4EF9"/>
    <w:rsid w:val="003A63F5"/>
    <w:rsid w:val="003B0D8A"/>
    <w:rsid w:val="003B6BC9"/>
    <w:rsid w:val="003C4041"/>
    <w:rsid w:val="003C5B60"/>
    <w:rsid w:val="003E1212"/>
    <w:rsid w:val="003E424C"/>
    <w:rsid w:val="003E6EEC"/>
    <w:rsid w:val="003E7A03"/>
    <w:rsid w:val="003F411D"/>
    <w:rsid w:val="00407EDD"/>
    <w:rsid w:val="004129E2"/>
    <w:rsid w:val="00417070"/>
    <w:rsid w:val="00422CCB"/>
    <w:rsid w:val="0042309C"/>
    <w:rsid w:val="004305CF"/>
    <w:rsid w:val="00436C31"/>
    <w:rsid w:val="00443CF4"/>
    <w:rsid w:val="0045458B"/>
    <w:rsid w:val="004572AF"/>
    <w:rsid w:val="00461250"/>
    <w:rsid w:val="00462868"/>
    <w:rsid w:val="00463825"/>
    <w:rsid w:val="0048601A"/>
    <w:rsid w:val="004B16C1"/>
    <w:rsid w:val="004E6C61"/>
    <w:rsid w:val="004E773D"/>
    <w:rsid w:val="0050321A"/>
    <w:rsid w:val="00504F17"/>
    <w:rsid w:val="00517217"/>
    <w:rsid w:val="00525E8B"/>
    <w:rsid w:val="00535283"/>
    <w:rsid w:val="00542681"/>
    <w:rsid w:val="0054460F"/>
    <w:rsid w:val="00545932"/>
    <w:rsid w:val="005545B5"/>
    <w:rsid w:val="00556C3E"/>
    <w:rsid w:val="005604CD"/>
    <w:rsid w:val="00574002"/>
    <w:rsid w:val="00587773"/>
    <w:rsid w:val="005B465A"/>
    <w:rsid w:val="005B52E3"/>
    <w:rsid w:val="005D2AAC"/>
    <w:rsid w:val="00632FEA"/>
    <w:rsid w:val="006433DB"/>
    <w:rsid w:val="00660C45"/>
    <w:rsid w:val="00670AD1"/>
    <w:rsid w:val="00676ACF"/>
    <w:rsid w:val="00686E22"/>
    <w:rsid w:val="00691214"/>
    <w:rsid w:val="00695012"/>
    <w:rsid w:val="006B154E"/>
    <w:rsid w:val="006B46E4"/>
    <w:rsid w:val="006B7053"/>
    <w:rsid w:val="006C070A"/>
    <w:rsid w:val="006C4D37"/>
    <w:rsid w:val="006C5046"/>
    <w:rsid w:val="006E519E"/>
    <w:rsid w:val="006E683C"/>
    <w:rsid w:val="006F3830"/>
    <w:rsid w:val="006F4303"/>
    <w:rsid w:val="00713953"/>
    <w:rsid w:val="0071711B"/>
    <w:rsid w:val="00717224"/>
    <w:rsid w:val="007203EC"/>
    <w:rsid w:val="00722B25"/>
    <w:rsid w:val="00756BA6"/>
    <w:rsid w:val="00766A7B"/>
    <w:rsid w:val="00777579"/>
    <w:rsid w:val="007924E2"/>
    <w:rsid w:val="00794AE8"/>
    <w:rsid w:val="00794F3B"/>
    <w:rsid w:val="00796034"/>
    <w:rsid w:val="007A3777"/>
    <w:rsid w:val="007B1024"/>
    <w:rsid w:val="007D6EAD"/>
    <w:rsid w:val="007F01E3"/>
    <w:rsid w:val="007F3689"/>
    <w:rsid w:val="008158A9"/>
    <w:rsid w:val="00825374"/>
    <w:rsid w:val="0084155E"/>
    <w:rsid w:val="008477A1"/>
    <w:rsid w:val="00870D2B"/>
    <w:rsid w:val="00874938"/>
    <w:rsid w:val="00881423"/>
    <w:rsid w:val="008837D5"/>
    <w:rsid w:val="00885102"/>
    <w:rsid w:val="008A6677"/>
    <w:rsid w:val="008E464A"/>
    <w:rsid w:val="008E4A91"/>
    <w:rsid w:val="008F3425"/>
    <w:rsid w:val="009123A8"/>
    <w:rsid w:val="00913562"/>
    <w:rsid w:val="00914452"/>
    <w:rsid w:val="00914A96"/>
    <w:rsid w:val="00925781"/>
    <w:rsid w:val="0093035A"/>
    <w:rsid w:val="00957F0F"/>
    <w:rsid w:val="00967FF8"/>
    <w:rsid w:val="009765DA"/>
    <w:rsid w:val="0097668F"/>
    <w:rsid w:val="009C1468"/>
    <w:rsid w:val="009E1D38"/>
    <w:rsid w:val="009E538F"/>
    <w:rsid w:val="00A0172A"/>
    <w:rsid w:val="00A07921"/>
    <w:rsid w:val="00A11A67"/>
    <w:rsid w:val="00A22E32"/>
    <w:rsid w:val="00A351B3"/>
    <w:rsid w:val="00A44D15"/>
    <w:rsid w:val="00A62349"/>
    <w:rsid w:val="00A70CEB"/>
    <w:rsid w:val="00A84A3B"/>
    <w:rsid w:val="00A95E8D"/>
    <w:rsid w:val="00AA0977"/>
    <w:rsid w:val="00AD10DA"/>
    <w:rsid w:val="00AE0ABA"/>
    <w:rsid w:val="00AE3393"/>
    <w:rsid w:val="00AF7C3D"/>
    <w:rsid w:val="00B015D8"/>
    <w:rsid w:val="00B049DA"/>
    <w:rsid w:val="00B04A45"/>
    <w:rsid w:val="00B31B41"/>
    <w:rsid w:val="00B51BC6"/>
    <w:rsid w:val="00B54C25"/>
    <w:rsid w:val="00B72993"/>
    <w:rsid w:val="00B86BAE"/>
    <w:rsid w:val="00B9417D"/>
    <w:rsid w:val="00BA15D3"/>
    <w:rsid w:val="00BB4118"/>
    <w:rsid w:val="00BE4441"/>
    <w:rsid w:val="00BE6F12"/>
    <w:rsid w:val="00BF0242"/>
    <w:rsid w:val="00BF104C"/>
    <w:rsid w:val="00BF3F3C"/>
    <w:rsid w:val="00BF6440"/>
    <w:rsid w:val="00C02C3A"/>
    <w:rsid w:val="00C14178"/>
    <w:rsid w:val="00C14B1C"/>
    <w:rsid w:val="00C157F1"/>
    <w:rsid w:val="00C22A25"/>
    <w:rsid w:val="00C36428"/>
    <w:rsid w:val="00C506FD"/>
    <w:rsid w:val="00C51B1B"/>
    <w:rsid w:val="00C5702A"/>
    <w:rsid w:val="00C60AE0"/>
    <w:rsid w:val="00C803A0"/>
    <w:rsid w:val="00CB3C16"/>
    <w:rsid w:val="00D06E77"/>
    <w:rsid w:val="00D10920"/>
    <w:rsid w:val="00D24438"/>
    <w:rsid w:val="00D269CC"/>
    <w:rsid w:val="00D4175B"/>
    <w:rsid w:val="00D50AC7"/>
    <w:rsid w:val="00D55459"/>
    <w:rsid w:val="00D7784C"/>
    <w:rsid w:val="00D8221F"/>
    <w:rsid w:val="00DC1EAE"/>
    <w:rsid w:val="00DC33C1"/>
    <w:rsid w:val="00DC6E98"/>
    <w:rsid w:val="00DD0D8E"/>
    <w:rsid w:val="00DD2098"/>
    <w:rsid w:val="00DD5908"/>
    <w:rsid w:val="00E033BC"/>
    <w:rsid w:val="00E30AE9"/>
    <w:rsid w:val="00E47CF2"/>
    <w:rsid w:val="00E50533"/>
    <w:rsid w:val="00E52377"/>
    <w:rsid w:val="00E54998"/>
    <w:rsid w:val="00E76BE4"/>
    <w:rsid w:val="00E80660"/>
    <w:rsid w:val="00E80B75"/>
    <w:rsid w:val="00EC2B7D"/>
    <w:rsid w:val="00EC5619"/>
    <w:rsid w:val="00ED4F65"/>
    <w:rsid w:val="00F0343E"/>
    <w:rsid w:val="00F10756"/>
    <w:rsid w:val="00F11F71"/>
    <w:rsid w:val="00F31D4C"/>
    <w:rsid w:val="00F3344D"/>
    <w:rsid w:val="00F455BA"/>
    <w:rsid w:val="00F569D1"/>
    <w:rsid w:val="00F7395C"/>
    <w:rsid w:val="00F94137"/>
    <w:rsid w:val="00F97FE4"/>
    <w:rsid w:val="00FB07DF"/>
    <w:rsid w:val="00FC0979"/>
    <w:rsid w:val="00FC5CA9"/>
    <w:rsid w:val="00FE43B7"/>
    <w:rsid w:val="00FF3E5F"/>
    <w:rsid w:val="01681E5A"/>
    <w:rsid w:val="69A61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28"/>
      <w:szCs w:val="22"/>
      <w:lang w:val="en-US" w:eastAsia="zh-CN" w:bidi="ar-SA"/>
    </w:rPr>
  </w:style>
  <w:style w:type="paragraph" w:styleId="2">
    <w:name w:val="heading 2"/>
    <w:basedOn w:val="1"/>
    <w:next w:val="1"/>
    <w:link w:val="9"/>
    <w:qFormat/>
    <w:uiPriority w:val="9"/>
    <w:pPr>
      <w:keepNext/>
      <w:keepLines/>
      <w:spacing w:line="312" w:lineRule="auto"/>
      <w:ind w:firstLine="0" w:firstLineChars="0"/>
      <w:jc w:val="center"/>
      <w:outlineLvl w:val="1"/>
    </w:pPr>
    <w:rPr>
      <w:rFonts w:ascii="Cambria" w:hAnsi="Cambria" w:eastAsia="宋体"/>
      <w:b/>
      <w:bCs/>
      <w:sz w:val="36"/>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标题 2 Char"/>
    <w:basedOn w:val="6"/>
    <w:link w:val="2"/>
    <w:uiPriority w:val="9"/>
    <w:rPr>
      <w:rFonts w:ascii="Cambria" w:hAnsi="Cambria" w:eastAsia="宋体" w:cs="Times New Roman"/>
      <w:b/>
      <w:bCs/>
      <w:sz w:val="36"/>
      <w:szCs w:val="32"/>
    </w:rPr>
  </w:style>
  <w:style w:type="paragraph" w:customStyle="1" w:styleId="10">
    <w:name w:val="列出段落1"/>
    <w:basedOn w:val="1"/>
    <w:qFormat/>
    <w:uiPriority w:val="0"/>
    <w:pPr>
      <w:ind w:firstLine="420"/>
    </w:pPr>
  </w:style>
  <w:style w:type="paragraph" w:styleId="11">
    <w:name w:val="List Paragraph"/>
    <w:basedOn w:val="1"/>
    <w:qFormat/>
    <w:uiPriority w:val="34"/>
    <w:pPr>
      <w:ind w:firstLine="420"/>
    </w:pPr>
  </w:style>
  <w:style w:type="paragraph" w:customStyle="1" w:styleId="12">
    <w:name w:val="正文-GEI"/>
    <w:basedOn w:val="1"/>
    <w:link w:val="13"/>
    <w:qFormat/>
    <w:uiPriority w:val="0"/>
    <w:pPr>
      <w:widowControl/>
      <w:spacing w:line="560" w:lineRule="exact"/>
    </w:pPr>
    <w:rPr>
      <w:sz w:val="32"/>
      <w:szCs w:val="32"/>
    </w:rPr>
  </w:style>
  <w:style w:type="character" w:customStyle="1" w:styleId="13">
    <w:name w:val="正文-GEI Char"/>
    <w:basedOn w:val="6"/>
    <w:link w:val="12"/>
    <w:uiPriority w:val="0"/>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502</Words>
  <Characters>2866</Characters>
  <Lines>23</Lines>
  <Paragraphs>6</Paragraphs>
  <TotalTime>90</TotalTime>
  <ScaleCrop>false</ScaleCrop>
  <LinksUpToDate>false</LinksUpToDate>
  <CharactersWithSpaces>3362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2019-02-11T02:14:00Z</dcterms:created>
  <dc:creator>刘晓萌</dc:creator>
  <cp:lastModifiedBy>dell</cp:lastModifiedBy>
  <dcterms:modified xsi:type="dcterms:W3CDTF">2025-03-11T01:55:54Z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