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北京市西城区人力资源和社会保障局</w:t>
      </w:r>
    </w:p>
    <w:p>
      <w:pPr>
        <w:jc w:val="center"/>
        <w:rPr>
          <w:rFonts w:ascii="宋体" w:hAnsi="宋体"/>
          <w:sz w:val="44"/>
          <w:szCs w:val="44"/>
        </w:rPr>
      </w:pPr>
      <w:r>
        <w:rPr>
          <w:rFonts w:hint="eastAsia" w:ascii="宋体" w:hAnsi="宋体"/>
          <w:sz w:val="44"/>
          <w:szCs w:val="44"/>
        </w:rPr>
        <w:t>2018年部门预算公开目录</w:t>
      </w:r>
    </w:p>
    <w:p>
      <w:pPr>
        <w:rPr>
          <w:rFonts w:ascii="宋体" w:hAnsi="宋体"/>
          <w:sz w:val="32"/>
          <w:szCs w:val="32"/>
        </w:rPr>
      </w:pPr>
      <w:r>
        <w:rPr>
          <w:rFonts w:hint="eastAsia" w:ascii="宋体" w:hAnsi="宋体"/>
          <w:sz w:val="32"/>
          <w:szCs w:val="32"/>
        </w:rPr>
        <w:t>第一部分 2018年部门预算情况说明</w:t>
      </w:r>
    </w:p>
    <w:p>
      <w:pPr>
        <w:rPr>
          <w:rFonts w:ascii="宋体" w:hAnsi="宋体"/>
          <w:sz w:val="32"/>
          <w:szCs w:val="32"/>
        </w:rPr>
      </w:pPr>
      <w:r>
        <w:rPr>
          <w:rFonts w:hint="eastAsia" w:ascii="宋体" w:hAnsi="宋体"/>
          <w:sz w:val="32"/>
          <w:szCs w:val="32"/>
        </w:rPr>
        <w:t>第二部分 2018年部门预算表</w:t>
      </w:r>
    </w:p>
    <w:p>
      <w:pPr>
        <w:rPr>
          <w:rFonts w:ascii="宋体" w:hAnsi="宋体"/>
          <w:sz w:val="32"/>
          <w:szCs w:val="32"/>
        </w:rPr>
      </w:pPr>
      <w:r>
        <w:rPr>
          <w:rFonts w:hint="eastAsia" w:ascii="宋体" w:hAnsi="宋体"/>
          <w:sz w:val="32"/>
          <w:szCs w:val="32"/>
        </w:rPr>
        <w:t xml:space="preserve">    表一、2018年部门收支总体情况表</w:t>
      </w:r>
    </w:p>
    <w:p>
      <w:pPr>
        <w:ind w:firstLine="640" w:firstLineChars="200"/>
        <w:rPr>
          <w:rFonts w:ascii="宋体" w:hAnsi="宋体"/>
          <w:sz w:val="32"/>
          <w:szCs w:val="32"/>
        </w:rPr>
      </w:pPr>
      <w:r>
        <w:rPr>
          <w:rFonts w:hint="eastAsia" w:ascii="宋体" w:hAnsi="宋体"/>
          <w:sz w:val="32"/>
          <w:szCs w:val="32"/>
        </w:rPr>
        <w:t>表二、2018年部门收入总体情况表</w:t>
      </w:r>
    </w:p>
    <w:p>
      <w:pPr>
        <w:ind w:firstLine="640" w:firstLineChars="200"/>
        <w:rPr>
          <w:rFonts w:ascii="宋体" w:hAnsi="宋体"/>
          <w:sz w:val="32"/>
          <w:szCs w:val="32"/>
        </w:rPr>
      </w:pPr>
      <w:r>
        <w:rPr>
          <w:rFonts w:hint="eastAsia" w:ascii="宋体" w:hAnsi="宋体"/>
          <w:sz w:val="32"/>
          <w:szCs w:val="32"/>
        </w:rPr>
        <w:t>表三、2018年部门支出总体情况表</w:t>
      </w:r>
    </w:p>
    <w:p>
      <w:pPr>
        <w:ind w:firstLine="640" w:firstLineChars="200"/>
        <w:rPr>
          <w:rFonts w:ascii="宋体" w:hAnsi="宋体"/>
          <w:sz w:val="32"/>
          <w:szCs w:val="32"/>
        </w:rPr>
      </w:pPr>
      <w:r>
        <w:rPr>
          <w:rFonts w:hint="eastAsia" w:ascii="宋体" w:hAnsi="宋体"/>
          <w:sz w:val="32"/>
          <w:szCs w:val="32"/>
        </w:rPr>
        <w:t>表四、2018年财政拨款收支总体情况表</w:t>
      </w:r>
    </w:p>
    <w:p>
      <w:pPr>
        <w:ind w:firstLine="640" w:firstLineChars="200"/>
        <w:rPr>
          <w:rFonts w:ascii="宋体" w:hAnsi="宋体"/>
          <w:sz w:val="32"/>
          <w:szCs w:val="32"/>
        </w:rPr>
      </w:pPr>
      <w:r>
        <w:rPr>
          <w:rFonts w:hint="eastAsia" w:ascii="宋体" w:hAnsi="宋体"/>
          <w:sz w:val="32"/>
          <w:szCs w:val="32"/>
        </w:rPr>
        <w:t>表五、2018年一般公共预算支出情况表</w:t>
      </w:r>
    </w:p>
    <w:p>
      <w:pPr>
        <w:ind w:firstLine="640" w:firstLineChars="200"/>
        <w:rPr>
          <w:rFonts w:ascii="宋体" w:hAnsi="宋体"/>
          <w:sz w:val="32"/>
          <w:szCs w:val="32"/>
        </w:rPr>
      </w:pPr>
      <w:r>
        <w:rPr>
          <w:rFonts w:hint="eastAsia" w:ascii="宋体" w:hAnsi="宋体"/>
          <w:sz w:val="32"/>
          <w:szCs w:val="32"/>
        </w:rPr>
        <w:t>表六、2018年一般公共预算基本支出情况表</w:t>
      </w:r>
    </w:p>
    <w:p>
      <w:pPr>
        <w:ind w:firstLine="640" w:firstLineChars="200"/>
        <w:rPr>
          <w:rFonts w:ascii="宋体" w:hAnsi="宋体"/>
          <w:sz w:val="32"/>
          <w:szCs w:val="32"/>
        </w:rPr>
      </w:pPr>
      <w:r>
        <w:rPr>
          <w:rFonts w:hint="eastAsia" w:ascii="宋体" w:hAnsi="宋体"/>
          <w:sz w:val="32"/>
          <w:szCs w:val="32"/>
        </w:rPr>
        <w:t>表七、2018年一般公共预算“三公”经费支出情况表</w:t>
      </w:r>
    </w:p>
    <w:p>
      <w:pPr>
        <w:ind w:firstLine="640" w:firstLineChars="200"/>
        <w:rPr>
          <w:rFonts w:ascii="宋体" w:hAnsi="宋体"/>
          <w:sz w:val="32"/>
          <w:szCs w:val="32"/>
        </w:rPr>
      </w:pPr>
      <w:r>
        <w:rPr>
          <w:rFonts w:hint="eastAsia" w:ascii="宋体" w:hAnsi="宋体"/>
          <w:sz w:val="32"/>
          <w:szCs w:val="32"/>
        </w:rPr>
        <w:t>表八、2018年政府性基金预算支出情况表</w:t>
      </w:r>
    </w:p>
    <w:p>
      <w:pPr>
        <w:ind w:firstLine="640" w:firstLineChars="200"/>
        <w:rPr>
          <w:rFonts w:ascii="宋体" w:hAnsi="宋体"/>
          <w:sz w:val="32"/>
          <w:szCs w:val="32"/>
        </w:rPr>
      </w:pPr>
      <w:r>
        <w:rPr>
          <w:rFonts w:hint="eastAsia" w:ascii="宋体" w:hAnsi="宋体"/>
          <w:sz w:val="32"/>
          <w:szCs w:val="32"/>
        </w:rPr>
        <w:t>表九、2018年部门预算明细表</w:t>
      </w:r>
    </w:p>
    <w:p>
      <w:pPr>
        <w:ind w:firstLine="640" w:firstLineChars="200"/>
        <w:rPr>
          <w:rFonts w:ascii="宋体" w:hAnsi="宋体"/>
          <w:sz w:val="32"/>
          <w:szCs w:val="32"/>
        </w:rPr>
      </w:pPr>
      <w:r>
        <w:rPr>
          <w:rFonts w:hint="eastAsia" w:ascii="宋体" w:hAnsi="宋体"/>
          <w:sz w:val="32"/>
          <w:szCs w:val="32"/>
        </w:rPr>
        <w:t>表十、2018年社会保险基金预算表</w:t>
      </w:r>
    </w:p>
    <w:p>
      <w:pPr>
        <w:ind w:firstLine="640" w:firstLineChars="200"/>
        <w:rPr>
          <w:rFonts w:ascii="宋体" w:hAnsi="宋体"/>
          <w:sz w:val="32"/>
          <w:szCs w:val="32"/>
        </w:rPr>
      </w:pPr>
      <w:r>
        <w:rPr>
          <w:rFonts w:hint="eastAsia" w:ascii="宋体" w:hAnsi="宋体"/>
          <w:sz w:val="32"/>
          <w:szCs w:val="32"/>
        </w:rPr>
        <w:t>表十一、2018年专项转移支付预算表</w:t>
      </w:r>
    </w:p>
    <w:p>
      <w:pPr>
        <w:jc w:val="center"/>
        <w:rPr>
          <w:rFonts w:ascii="楷体" w:hAnsi="楷体" w:eastAsia="楷体"/>
          <w:b/>
          <w:sz w:val="32"/>
          <w:szCs w:val="32"/>
        </w:rPr>
      </w:pPr>
    </w:p>
    <w:p>
      <w:pPr>
        <w:jc w:val="center"/>
        <w:rPr>
          <w:rFonts w:ascii="楷体" w:hAnsi="楷体" w:eastAsia="楷体"/>
          <w:b/>
          <w:sz w:val="32"/>
          <w:szCs w:val="32"/>
        </w:rPr>
      </w:pPr>
    </w:p>
    <w:p>
      <w:pPr>
        <w:jc w:val="center"/>
        <w:rPr>
          <w:rFonts w:ascii="楷体" w:hAnsi="楷体" w:eastAsia="楷体"/>
          <w:b/>
          <w:sz w:val="32"/>
          <w:szCs w:val="32"/>
        </w:rPr>
      </w:pPr>
    </w:p>
    <w:p>
      <w:pPr>
        <w:jc w:val="center"/>
        <w:rPr>
          <w:rFonts w:ascii="楷体" w:hAnsi="楷体" w:eastAsia="楷体"/>
          <w:b/>
          <w:sz w:val="32"/>
          <w:szCs w:val="32"/>
        </w:rPr>
      </w:pPr>
    </w:p>
    <w:p>
      <w:pPr>
        <w:ind w:firstLine="723" w:firstLineChars="200"/>
        <w:jc w:val="center"/>
        <w:rPr>
          <w:rFonts w:ascii="宋体" w:hAnsi="宋体"/>
          <w:b/>
          <w:sz w:val="36"/>
          <w:szCs w:val="36"/>
        </w:rPr>
      </w:pPr>
    </w:p>
    <w:p>
      <w:pPr>
        <w:ind w:firstLine="723" w:firstLineChars="200"/>
        <w:jc w:val="center"/>
        <w:rPr>
          <w:rFonts w:ascii="宋体" w:hAnsi="宋体"/>
          <w:b/>
          <w:sz w:val="36"/>
          <w:szCs w:val="36"/>
        </w:rPr>
      </w:pPr>
    </w:p>
    <w:p>
      <w:pPr>
        <w:ind w:firstLine="723" w:firstLineChars="200"/>
        <w:jc w:val="center"/>
        <w:rPr>
          <w:rFonts w:ascii="宋体" w:hAnsi="宋体"/>
          <w:b/>
          <w:sz w:val="36"/>
          <w:szCs w:val="36"/>
        </w:rPr>
      </w:pPr>
    </w:p>
    <w:p>
      <w:pPr>
        <w:rPr>
          <w:rFonts w:ascii="宋体" w:hAnsi="宋体"/>
          <w:b/>
          <w:sz w:val="36"/>
          <w:szCs w:val="36"/>
        </w:rPr>
      </w:pPr>
    </w:p>
    <w:p>
      <w:pPr>
        <w:ind w:firstLine="723" w:firstLineChars="200"/>
        <w:jc w:val="center"/>
        <w:rPr>
          <w:rFonts w:ascii="宋体" w:hAnsi="宋体"/>
          <w:b/>
          <w:sz w:val="36"/>
          <w:szCs w:val="36"/>
        </w:rPr>
      </w:pPr>
      <w:r>
        <w:rPr>
          <w:rFonts w:hint="eastAsia" w:ascii="宋体" w:hAnsi="宋体"/>
          <w:b/>
          <w:sz w:val="36"/>
          <w:szCs w:val="36"/>
        </w:rPr>
        <w:t>第一部分 2018年部门预算情况说明</w:t>
      </w:r>
    </w:p>
    <w:p>
      <w:pPr>
        <w:spacing w:line="360" w:lineRule="auto"/>
        <w:ind w:firstLine="555"/>
        <w:rPr>
          <w:rFonts w:ascii="仿宋" w:hAnsi="仿宋" w:eastAsia="仿宋"/>
          <w:sz w:val="32"/>
          <w:szCs w:val="32"/>
        </w:rPr>
      </w:pPr>
      <w:r>
        <w:rPr>
          <w:rFonts w:hint="eastAsia" w:ascii="仿宋" w:hAnsi="仿宋" w:eastAsia="仿宋"/>
          <w:sz w:val="32"/>
          <w:szCs w:val="32"/>
        </w:rPr>
        <w:t>一、部门情况</w:t>
      </w:r>
    </w:p>
    <w:p>
      <w:pPr>
        <w:spacing w:line="360" w:lineRule="auto"/>
        <w:ind w:firstLine="555"/>
        <w:rPr>
          <w:rFonts w:ascii="仿宋" w:hAnsi="仿宋" w:eastAsia="仿宋"/>
          <w:sz w:val="32"/>
          <w:szCs w:val="32"/>
        </w:rPr>
      </w:pPr>
      <w:r>
        <w:rPr>
          <w:rFonts w:hint="eastAsia" w:ascii="仿宋" w:hAnsi="仿宋" w:eastAsia="仿宋"/>
          <w:sz w:val="32"/>
          <w:szCs w:val="32"/>
        </w:rPr>
        <w:t>（一）部门机构设置、职责</w:t>
      </w:r>
    </w:p>
    <w:p>
      <w:pPr>
        <w:spacing w:line="360" w:lineRule="auto"/>
        <w:ind w:firstLine="555"/>
        <w:rPr>
          <w:rFonts w:ascii="仿宋" w:hAnsi="仿宋" w:eastAsia="仿宋"/>
          <w:sz w:val="32"/>
          <w:szCs w:val="32"/>
        </w:rPr>
      </w:pPr>
      <w:r>
        <w:rPr>
          <w:rFonts w:hint="eastAsia" w:ascii="仿宋" w:hAnsi="仿宋" w:eastAsia="仿宋"/>
          <w:sz w:val="32"/>
          <w:szCs w:val="32"/>
        </w:rPr>
        <w:t>1. 机构设置</w:t>
      </w:r>
    </w:p>
    <w:p>
      <w:pPr>
        <w:spacing w:line="360" w:lineRule="auto"/>
        <w:ind w:firstLine="555"/>
        <w:rPr>
          <w:rFonts w:ascii="仿宋" w:hAnsi="仿宋" w:eastAsia="仿宋"/>
          <w:sz w:val="32"/>
          <w:szCs w:val="32"/>
        </w:rPr>
      </w:pPr>
      <w:r>
        <w:rPr>
          <w:rFonts w:hint="eastAsia" w:ascii="仿宋" w:hAnsi="仿宋" w:eastAsia="仿宋"/>
          <w:sz w:val="32"/>
          <w:szCs w:val="32"/>
        </w:rPr>
        <w:t>内设机构：区人力社保局设23个内设机构，所属事业单位8个。</w:t>
      </w:r>
    </w:p>
    <w:p>
      <w:pPr>
        <w:spacing w:line="360" w:lineRule="auto"/>
        <w:ind w:firstLine="555"/>
        <w:rPr>
          <w:rFonts w:ascii="仿宋" w:hAnsi="仿宋" w:eastAsia="仿宋"/>
          <w:sz w:val="32"/>
          <w:szCs w:val="32"/>
        </w:rPr>
      </w:pPr>
      <w:r>
        <w:rPr>
          <w:rFonts w:hint="eastAsia" w:ascii="仿宋" w:hAnsi="仿宋" w:eastAsia="仿宋"/>
          <w:sz w:val="32"/>
          <w:szCs w:val="32"/>
        </w:rPr>
        <w:t>2. 职责：</w:t>
      </w:r>
    </w:p>
    <w:p>
      <w:pPr>
        <w:spacing w:line="360" w:lineRule="auto"/>
        <w:ind w:firstLine="555"/>
        <w:rPr>
          <w:rFonts w:ascii="仿宋" w:hAnsi="仿宋" w:eastAsia="仿宋"/>
          <w:sz w:val="32"/>
          <w:szCs w:val="32"/>
        </w:rPr>
      </w:pPr>
      <w:r>
        <w:rPr>
          <w:rFonts w:hint="eastAsia" w:ascii="仿宋" w:hAnsi="仿宋" w:eastAsia="仿宋"/>
          <w:sz w:val="32"/>
          <w:szCs w:val="32"/>
        </w:rPr>
        <w:t>（1）贯彻国家关于人力资源和社会保障的法律、法规、规章、政策和北京市的相关规定；研究制定本区人力资源和社会保障管理方面的管理措施；拟订本区人力资源和社会保障事业发展规划，并组织实施和监督检查。</w:t>
      </w:r>
    </w:p>
    <w:p>
      <w:pPr>
        <w:spacing w:line="360" w:lineRule="auto"/>
        <w:ind w:firstLine="555"/>
        <w:rPr>
          <w:rFonts w:ascii="仿宋" w:hAnsi="仿宋" w:eastAsia="仿宋"/>
          <w:sz w:val="32"/>
          <w:szCs w:val="32"/>
        </w:rPr>
      </w:pPr>
      <w:r>
        <w:rPr>
          <w:rFonts w:hint="eastAsia" w:ascii="仿宋" w:hAnsi="仿宋" w:eastAsia="仿宋"/>
          <w:sz w:val="32"/>
          <w:szCs w:val="32"/>
        </w:rPr>
        <w:t>（2）负责拟订并组织实施本区人力资源市场发展规划；依法管理人力资源市场，促进人力资源合理流动和有效配置。</w:t>
      </w:r>
    </w:p>
    <w:p>
      <w:pPr>
        <w:spacing w:line="360" w:lineRule="auto"/>
        <w:ind w:firstLine="555"/>
        <w:rPr>
          <w:rFonts w:ascii="仿宋" w:hAnsi="仿宋" w:eastAsia="仿宋"/>
          <w:sz w:val="32"/>
          <w:szCs w:val="32"/>
        </w:rPr>
      </w:pPr>
      <w:r>
        <w:rPr>
          <w:rFonts w:hint="eastAsia" w:ascii="仿宋" w:hAnsi="仿宋" w:eastAsia="仿宋"/>
          <w:sz w:val="32"/>
          <w:szCs w:val="32"/>
        </w:rPr>
        <w:t>（3）负责本区促进就业工作；完善公共就业服务体系；落实就业援助制度；实行职业资格证书制度相关政策；实施面向劳动者的职业培训制度；贯彻高校毕业生就业政策以及高技能人才的培养和激励政策。</w:t>
      </w:r>
    </w:p>
    <w:p>
      <w:pPr>
        <w:spacing w:line="360" w:lineRule="auto"/>
        <w:ind w:firstLine="555"/>
        <w:rPr>
          <w:rFonts w:ascii="仿宋" w:hAnsi="仿宋" w:eastAsia="仿宋"/>
          <w:sz w:val="32"/>
          <w:szCs w:val="32"/>
        </w:rPr>
      </w:pPr>
      <w:r>
        <w:rPr>
          <w:rFonts w:hint="eastAsia" w:ascii="仿宋" w:hAnsi="仿宋" w:eastAsia="仿宋"/>
          <w:sz w:val="32"/>
          <w:szCs w:val="32"/>
        </w:rPr>
        <w:t>（4）负责管理辖区社会保险工作；贯彻社会保险规定；指导本区社会保险经办机构依法开展社会保险具体工作；负责对社会保险基金的收支、管理情况进行监督检查。</w:t>
      </w:r>
    </w:p>
    <w:p>
      <w:pPr>
        <w:spacing w:line="360" w:lineRule="auto"/>
        <w:ind w:firstLine="555"/>
        <w:rPr>
          <w:rFonts w:ascii="仿宋" w:hAnsi="仿宋" w:eastAsia="仿宋"/>
          <w:sz w:val="32"/>
          <w:szCs w:val="32"/>
        </w:rPr>
      </w:pPr>
      <w:r>
        <w:rPr>
          <w:rFonts w:hint="eastAsia" w:ascii="仿宋" w:hAnsi="仿宋" w:eastAsia="仿宋"/>
          <w:sz w:val="32"/>
          <w:szCs w:val="32"/>
        </w:rPr>
        <w:t>（5）负责管理本区机关事业单位人员工资、福利和分配制度改革工作；贯彻机关事业单位工作人员工资、福利、津贴和补贴政策；落实机关企事业单位工作人员工资增长和支付保障机制；执行机关事业单位工作人员离退休政策。</w:t>
      </w:r>
    </w:p>
    <w:p>
      <w:pPr>
        <w:spacing w:line="360" w:lineRule="auto"/>
        <w:ind w:firstLine="555"/>
        <w:rPr>
          <w:rFonts w:ascii="仿宋" w:hAnsi="仿宋" w:eastAsia="仿宋"/>
          <w:sz w:val="32"/>
          <w:szCs w:val="32"/>
        </w:rPr>
      </w:pPr>
      <w:r>
        <w:rPr>
          <w:rFonts w:hint="eastAsia" w:ascii="仿宋" w:hAnsi="仿宋" w:eastAsia="仿宋"/>
          <w:sz w:val="32"/>
          <w:szCs w:val="32"/>
        </w:rPr>
        <w:t>（6）负责会同有关部门指导本区事业单位人事制度改革；管理本区专业技术职称工作；贯彻专业技术人员管理和继续教育政策；落实本区事业单位人员和机关工勤人员管理政策。</w:t>
      </w:r>
    </w:p>
    <w:p>
      <w:pPr>
        <w:spacing w:line="360" w:lineRule="auto"/>
        <w:ind w:firstLine="555"/>
        <w:rPr>
          <w:rFonts w:ascii="仿宋" w:hAnsi="仿宋" w:eastAsia="仿宋"/>
          <w:sz w:val="32"/>
          <w:szCs w:val="32"/>
        </w:rPr>
      </w:pPr>
      <w:r>
        <w:rPr>
          <w:rFonts w:hint="eastAsia" w:ascii="仿宋" w:hAnsi="仿宋" w:eastAsia="仿宋"/>
          <w:sz w:val="32"/>
          <w:szCs w:val="32"/>
        </w:rPr>
        <w:t>（7）负责高层次人才选拔、培养和管理服务；负责引进国外智力工作；参与本区人才管理工作。</w:t>
      </w:r>
    </w:p>
    <w:p>
      <w:pPr>
        <w:spacing w:line="360" w:lineRule="auto"/>
        <w:ind w:firstLine="555"/>
        <w:rPr>
          <w:rFonts w:ascii="仿宋" w:hAnsi="仿宋" w:eastAsia="仿宋"/>
          <w:sz w:val="32"/>
          <w:szCs w:val="32"/>
        </w:rPr>
      </w:pPr>
      <w:r>
        <w:rPr>
          <w:rFonts w:hint="eastAsia" w:ascii="仿宋" w:hAnsi="仿宋" w:eastAsia="仿宋"/>
          <w:sz w:val="32"/>
          <w:szCs w:val="32"/>
        </w:rPr>
        <w:t>（8）履行全区公务员主管部门职责；负责全区公务员综合管理工作；落实公务员管理政策；按规定承担区政府部门的督查考核和绩效考评工作；负责区政府各部门、各企事业单位领导人员及区政府授权管理的科级干部的任免工作。</w:t>
      </w:r>
    </w:p>
    <w:p>
      <w:pPr>
        <w:spacing w:line="360" w:lineRule="auto"/>
        <w:ind w:firstLine="555"/>
        <w:rPr>
          <w:rFonts w:ascii="仿宋" w:hAnsi="仿宋" w:eastAsia="仿宋"/>
          <w:sz w:val="32"/>
          <w:szCs w:val="32"/>
        </w:rPr>
      </w:pPr>
      <w:r>
        <w:rPr>
          <w:rFonts w:hint="eastAsia" w:ascii="仿宋" w:hAnsi="仿宋" w:eastAsia="仿宋"/>
          <w:sz w:val="32"/>
          <w:szCs w:val="32"/>
        </w:rPr>
        <w:t>（9）负责制定并组织实施本区军队转业干部安置计划和培训计划；承担本区自主择业军转干部的管理服务；负责本区企业军转干部解困和维稳工作；负责驻区部队随军家属安置工作。</w:t>
      </w:r>
    </w:p>
    <w:p>
      <w:pPr>
        <w:spacing w:line="360" w:lineRule="auto"/>
        <w:ind w:firstLine="555"/>
        <w:rPr>
          <w:rFonts w:ascii="仿宋" w:hAnsi="仿宋" w:eastAsia="仿宋"/>
          <w:sz w:val="32"/>
          <w:szCs w:val="32"/>
        </w:rPr>
      </w:pPr>
      <w:r>
        <w:rPr>
          <w:rFonts w:hint="eastAsia" w:ascii="仿宋" w:hAnsi="仿宋" w:eastAsia="仿宋"/>
          <w:sz w:val="32"/>
          <w:szCs w:val="32"/>
        </w:rPr>
        <w:t>（10）负责贯彻劳动关系政策；完善劳动关系协调机制；指导本区劳动人事争议调解仲裁工作；组织实施劳动保障监察，依法查处各类违法案件；落实各项童工、未成年工和女职工劳动保护政策。</w:t>
      </w:r>
    </w:p>
    <w:p>
      <w:pPr>
        <w:spacing w:line="360" w:lineRule="auto"/>
        <w:ind w:firstLine="555"/>
        <w:rPr>
          <w:rFonts w:ascii="仿宋" w:hAnsi="仿宋" w:eastAsia="仿宋"/>
          <w:sz w:val="32"/>
          <w:szCs w:val="32"/>
        </w:rPr>
      </w:pPr>
      <w:r>
        <w:rPr>
          <w:rFonts w:hint="eastAsia" w:ascii="仿宋" w:hAnsi="仿宋" w:eastAsia="仿宋"/>
          <w:sz w:val="32"/>
          <w:szCs w:val="32"/>
        </w:rPr>
        <w:t>（11）承办区政府和上级业务指导部门交办的其他事项。</w:t>
      </w:r>
    </w:p>
    <w:p>
      <w:pPr>
        <w:spacing w:line="360" w:lineRule="auto"/>
        <w:ind w:firstLine="555"/>
        <w:rPr>
          <w:rFonts w:ascii="仿宋" w:hAnsi="仿宋" w:eastAsia="仿宋"/>
          <w:sz w:val="32"/>
          <w:szCs w:val="32"/>
        </w:rPr>
      </w:pPr>
      <w:r>
        <w:rPr>
          <w:rFonts w:hint="eastAsia" w:ascii="仿宋" w:hAnsi="仿宋" w:eastAsia="仿宋"/>
          <w:sz w:val="32"/>
          <w:szCs w:val="32"/>
        </w:rPr>
        <w:t>（二）人员构成情况</w:t>
      </w:r>
    </w:p>
    <w:p>
      <w:pPr>
        <w:spacing w:line="360" w:lineRule="auto"/>
        <w:ind w:firstLine="555"/>
        <w:rPr>
          <w:rFonts w:ascii="仿宋" w:hAnsi="仿宋" w:eastAsia="仿宋"/>
          <w:sz w:val="32"/>
          <w:szCs w:val="32"/>
        </w:rPr>
      </w:pPr>
      <w:r>
        <w:rPr>
          <w:rFonts w:hint="eastAsia" w:ascii="仿宋" w:hAnsi="仿宋" w:eastAsia="仿宋"/>
          <w:sz w:val="32"/>
          <w:szCs w:val="32"/>
        </w:rPr>
        <w:t>北京市西城区人力资源和社会保障局行政编制523人（含参公）；事业编制200人，工勤编制11人；实际在职656人；长期聘用临时工48人。离退休人员251人，其中：离休13人，退休238人。</w:t>
      </w:r>
    </w:p>
    <w:p>
      <w:pPr>
        <w:spacing w:line="360" w:lineRule="auto"/>
        <w:ind w:firstLine="555"/>
        <w:rPr>
          <w:rFonts w:ascii="仿宋" w:hAnsi="仿宋" w:eastAsia="仿宋"/>
          <w:sz w:val="32"/>
          <w:szCs w:val="32"/>
        </w:rPr>
      </w:pPr>
      <w:r>
        <w:rPr>
          <w:rFonts w:hint="eastAsia" w:ascii="仿宋" w:hAnsi="仿宋" w:eastAsia="仿宋"/>
          <w:sz w:val="32"/>
          <w:szCs w:val="32"/>
        </w:rPr>
        <w:t>（三）本预算年度的主要工作任务</w:t>
      </w:r>
    </w:p>
    <w:p>
      <w:pPr>
        <w:spacing w:line="360" w:lineRule="auto"/>
        <w:ind w:firstLine="555"/>
        <w:rPr>
          <w:rFonts w:ascii="仿宋" w:hAnsi="仿宋" w:eastAsia="仿宋"/>
          <w:sz w:val="32"/>
          <w:szCs w:val="32"/>
        </w:rPr>
      </w:pPr>
      <w:r>
        <w:rPr>
          <w:rFonts w:hint="eastAsia" w:ascii="仿宋" w:hAnsi="仿宋" w:eastAsia="仿宋"/>
          <w:sz w:val="32"/>
          <w:szCs w:val="32"/>
        </w:rPr>
        <w:t>2018年，全区人力资源和社会保障部门将深入学习贯彻党的十九大精神，凝心聚力推动实现党的十九大提出的各项目标任务，紧紧围绕区委区政府年度重点工作，着力保障改善民生、着力保障经济发展、着力保障深化改革、着力保障执政队伍、着力保障社会稳定，加强综合性管理改革，努力推动人力社保各项工作再上新台阶。</w:t>
      </w:r>
    </w:p>
    <w:p>
      <w:pPr>
        <w:spacing w:line="360" w:lineRule="auto"/>
        <w:ind w:firstLine="555"/>
        <w:rPr>
          <w:rFonts w:ascii="仿宋" w:hAnsi="仿宋" w:eastAsia="仿宋"/>
          <w:sz w:val="32"/>
          <w:szCs w:val="32"/>
        </w:rPr>
      </w:pPr>
      <w:r>
        <w:rPr>
          <w:rFonts w:hint="eastAsia" w:ascii="仿宋" w:hAnsi="仿宋" w:eastAsia="仿宋"/>
          <w:sz w:val="32"/>
          <w:szCs w:val="32"/>
        </w:rPr>
        <w:t>（1）着力保障改善民生</w:t>
      </w:r>
    </w:p>
    <w:p>
      <w:pPr>
        <w:spacing w:line="360" w:lineRule="auto"/>
        <w:ind w:firstLine="713" w:firstLineChars="223"/>
        <w:rPr>
          <w:rFonts w:ascii="仿宋" w:hAnsi="仿宋" w:eastAsia="仿宋"/>
          <w:sz w:val="32"/>
          <w:szCs w:val="32"/>
        </w:rPr>
      </w:pPr>
      <w:r>
        <w:rPr>
          <w:rFonts w:hint="eastAsia" w:ascii="仿宋" w:hAnsi="仿宋" w:eastAsia="仿宋"/>
          <w:sz w:val="32"/>
          <w:szCs w:val="32"/>
        </w:rPr>
        <w:t>1．以实施积极的就业政策为主线，促进更高质量的就业。针对区域促进就业新政策，建立常态化培训、宣传机制，保障政策落实到位。研究制定推动政府购买服务项目的用工本地化政策措施，全面推进“城市公共服务类岗位安置本市农村劳动力就业促进农民增收”试点工作，推进社区聘用退休人员社会化服务试点改革。完善就业困难群体精准服务规程，发挥好“就业援助工作室”就业服务作用。开展辖区就业失业状况调查，加强辖区就业形势分析，增强人力资源供需调控能力。完善街道、社区充分就业创建工作评价标准，提升充分就业地区创建质量。以精细化服务理念开展“就业援助月”、“春风行动 ”、“民营企业招聘月”、“高校毕业生就业服务月”等就业服务专项行动。探索公共就业“全自助”求职服务方式，完成西城就业服务网络平台升级建设项目验收工作，依托人事档案数字化平台实现“一点受理，多点办理”的信息化服务模式。建立西城区职业技能培训联盟，努力打造我区职业技能培训工作新亮点。加强与河北省阜平县、张北县等四个贫困地区的劳务对接，做好对口扶贫工作。</w:t>
      </w:r>
    </w:p>
    <w:p>
      <w:pPr>
        <w:spacing w:line="360" w:lineRule="auto"/>
        <w:ind w:firstLine="555"/>
        <w:rPr>
          <w:rFonts w:ascii="仿宋" w:hAnsi="仿宋" w:eastAsia="仿宋"/>
          <w:sz w:val="32"/>
          <w:szCs w:val="32"/>
        </w:rPr>
      </w:pPr>
      <w:r>
        <w:rPr>
          <w:rFonts w:hint="eastAsia" w:ascii="仿宋" w:hAnsi="仿宋" w:eastAsia="仿宋"/>
          <w:sz w:val="32"/>
          <w:szCs w:val="32"/>
        </w:rPr>
        <w:t>2．以落实社会保险制度改革任务为重点，织密扎牢社会保障安全网。大力推进全民参保计划，确定各险种扩面征缴重点领域，开展重点宣传，实现应保尽保。按照市局工作部署，深化综合医疗改革。积极落实住院医疗费用按病种付费工作，督促定点医疗机构规范病案管理。做好机关事业单位养老保险改革后续工作，完成退休金新旧办法待遇对比和核发、养老保险关系和职业年金转移预备工作。开展医疗鉴定专家的选聘工作，扩充我区医疗鉴定专家库，保证鉴定科别的需要，保持鉴定结论无改变。深入推进社保经办模式改革，启动“一号一窗一网”受理试点工作。完善网上预约系统，扩宽网上预约服务工作范围，逐步向社会保险代理处及重点企业延伸和扩展。全面推进养老保险行政业务办理系统运行。推进工伤认定和劳动能力鉴定档案管理信息化。充分应用医保大数据，加大部门间数据信息互通共享力度，形成长效监控机制。加强基金运行风险点防控，强化监督管理，确保基金安全。</w:t>
      </w:r>
    </w:p>
    <w:p>
      <w:pPr>
        <w:spacing w:line="360" w:lineRule="auto"/>
        <w:ind w:firstLine="55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着力保障经济发展</w:t>
      </w:r>
    </w:p>
    <w:p>
      <w:pPr>
        <w:spacing w:line="360" w:lineRule="auto"/>
        <w:ind w:firstLine="555"/>
        <w:rPr>
          <w:rFonts w:ascii="仿宋" w:hAnsi="仿宋" w:eastAsia="仿宋"/>
          <w:sz w:val="32"/>
          <w:szCs w:val="32"/>
        </w:rPr>
      </w:pPr>
      <w:r>
        <w:rPr>
          <w:rFonts w:hint="eastAsia" w:ascii="仿宋" w:hAnsi="仿宋" w:eastAsia="仿宋"/>
          <w:sz w:val="32"/>
          <w:szCs w:val="32"/>
        </w:rPr>
        <w:t>充分发挥部门职能作用，着力优化区域营商环境。在人才引进指标缩减的形势下，注重提升人才引进效能，重点保障区属国有企业、金融、高新企业急需的高层次人才需求。跟踪问效引进人才使用情况，鼓励企业用足用好现有人才。合理制定我区非北京生源毕业生引进指标分配方案，规范引进工作程序，保障企业人才需求。积极应对北京市工作居住证审批权限下放区县，统筹做好全区工作居住证办理工作。按照北京市统一部署，做好积分落户相关筹备工作。继续做好高端领军人才职称评价工作，积极推荐区域优秀人才参加各类人才表彰。认真筹办北京市高级研修班、技师研修班，积极组织高技能人才大讲堂，营造人才创新发展优良环境，促进区域经济健康持续发展。</w:t>
      </w:r>
    </w:p>
    <w:p>
      <w:pPr>
        <w:spacing w:line="360" w:lineRule="auto"/>
        <w:ind w:firstLine="555"/>
        <w:rPr>
          <w:rFonts w:ascii="仿宋" w:hAnsi="仿宋" w:eastAsia="仿宋"/>
          <w:sz w:val="32"/>
          <w:szCs w:val="32"/>
        </w:rPr>
      </w:pPr>
      <w:r>
        <w:rPr>
          <w:rFonts w:hint="eastAsia" w:ascii="仿宋" w:hAnsi="仿宋" w:eastAsia="仿宋"/>
          <w:sz w:val="32"/>
          <w:szCs w:val="32"/>
        </w:rPr>
        <w:t>(3)着力保障深化改革</w:t>
      </w:r>
    </w:p>
    <w:p>
      <w:pPr>
        <w:spacing w:line="360" w:lineRule="auto"/>
        <w:ind w:firstLine="555"/>
        <w:rPr>
          <w:rFonts w:ascii="仿宋" w:hAnsi="仿宋" w:eastAsia="仿宋"/>
          <w:sz w:val="32"/>
          <w:szCs w:val="32"/>
        </w:rPr>
      </w:pPr>
      <w:r>
        <w:rPr>
          <w:rFonts w:hint="eastAsia" w:ascii="仿宋" w:hAnsi="仿宋" w:eastAsia="仿宋"/>
          <w:sz w:val="32"/>
          <w:szCs w:val="32"/>
        </w:rPr>
        <w:t>加强人力社保与全区各领域改革发展对接，配合各项改革政策稳步推进，在人员配置、岗位设置、职数管理、教育培训等方面及时跟进，确保各项改革平稳落地。配合街道大部制改革，研究出台《西城区城管执法队伍双重管理办法》和《西城区建设指挥部干部管理办法》，加强任职管理，做好城管分队干部和指挥部干部下沉街道的职数重新核定工作。落实城市管理体制改革，研究起草《西城区各街道公开招聘基层工作者实施方案》，探索把优秀社区党组织书记选拔到街道领导岗位。全力配合医药卫生体制改革，完善公立医院与收入分配挂钩的绩效工资总量核定办法；配合推进家庭医生签约服务工作，调整基层医疗卫生机构绩效工资总量，向基层一线医务人员倾斜。深化事业单位人事制度改革，开展处、科级事业单位七、八级管理岗位设置试点工作，严格规范聘用程序，落实工作责任制。继续深化职称制度改革，组织开展年度中小学教师职称评审，加大职称制度改革精神的宣传力度；推进事业单位岗位设置及岗位聘任工作，完成教育系统编制调整单位的岗位设置方案及任职资格审核。</w:t>
      </w:r>
    </w:p>
    <w:p>
      <w:pPr>
        <w:spacing w:line="360" w:lineRule="auto"/>
        <w:ind w:firstLine="555"/>
        <w:rPr>
          <w:rFonts w:ascii="仿宋" w:hAnsi="仿宋" w:eastAsia="仿宋"/>
          <w:sz w:val="32"/>
          <w:szCs w:val="32"/>
        </w:rPr>
      </w:pPr>
      <w:r>
        <w:rPr>
          <w:rFonts w:hint="eastAsia" w:ascii="仿宋" w:hAnsi="仿宋" w:eastAsia="仿宋"/>
          <w:sz w:val="32"/>
          <w:szCs w:val="32"/>
        </w:rPr>
        <w:t>(4)着力保障执政队伍</w:t>
      </w:r>
    </w:p>
    <w:p>
      <w:pPr>
        <w:spacing w:line="360" w:lineRule="auto"/>
        <w:ind w:firstLine="555"/>
        <w:rPr>
          <w:rFonts w:ascii="仿宋" w:hAnsi="仿宋" w:eastAsia="仿宋"/>
          <w:sz w:val="32"/>
          <w:szCs w:val="32"/>
        </w:rPr>
      </w:pPr>
      <w:r>
        <w:rPr>
          <w:rFonts w:hint="eastAsia" w:ascii="仿宋" w:hAnsi="仿宋" w:eastAsia="仿宋"/>
          <w:sz w:val="32"/>
          <w:szCs w:val="32"/>
        </w:rPr>
        <w:t>加快制定《关于进一步加强西城区公务员队伍建设的意见》，形成全区公务员队伍建设政策体系。组织实施全区公务员科级干部交流，科级后备干部推荐选拔工作。进一步优化公务员队伍结构，加大“985”、“211”院校优秀毕业生引进力度，开展我区“选培生”招考及多岗位锻炼工作。完成2018年公务员考试录用以及公务员职位管理工作。加强公务员日常绩效管理，激发公务员队伍活力。</w:t>
      </w:r>
      <w:r>
        <w:rPr>
          <w:rFonts w:ascii="仿宋" w:hAnsi="仿宋" w:eastAsia="仿宋"/>
          <w:sz w:val="32"/>
          <w:szCs w:val="32"/>
        </w:rPr>
        <w:t>做好事业单位纳入规范管理研究论证及审批</w:t>
      </w:r>
      <w:r>
        <w:rPr>
          <w:rFonts w:hint="eastAsia" w:ascii="仿宋" w:hAnsi="仿宋" w:eastAsia="仿宋"/>
          <w:sz w:val="32"/>
          <w:szCs w:val="32"/>
        </w:rPr>
        <w:t>工作，组织完成事业单位公开招聘任务</w:t>
      </w:r>
      <w:r>
        <w:rPr>
          <w:rFonts w:ascii="仿宋" w:hAnsi="仿宋" w:eastAsia="仿宋"/>
          <w:sz w:val="32"/>
          <w:szCs w:val="32"/>
        </w:rPr>
        <w:t>。</w:t>
      </w:r>
      <w:r>
        <w:rPr>
          <w:rFonts w:hint="eastAsia" w:ascii="仿宋" w:hAnsi="仿宋" w:eastAsia="仿宋"/>
          <w:sz w:val="32"/>
          <w:szCs w:val="32"/>
        </w:rPr>
        <w:t>完成军转干部接收安置任务，做好随军家属就业服务工作，落实企业军转干部生活补助发放任务。加大公务员教育培训力度，继续开展初任公务员、科级干部任职、军转干部等主体培训，加大在线学习督学促学力度，开展十九大专题学习，编制《西城区公务员基础知识教材》，继续加大与名校合作力度举办高级研修班，着力提升公务员岗位任职能力。</w:t>
      </w:r>
    </w:p>
    <w:p>
      <w:pPr>
        <w:spacing w:line="360" w:lineRule="auto"/>
        <w:ind w:firstLine="555"/>
        <w:rPr>
          <w:rFonts w:ascii="仿宋" w:hAnsi="仿宋" w:eastAsia="仿宋"/>
          <w:sz w:val="32"/>
          <w:szCs w:val="32"/>
        </w:rPr>
      </w:pPr>
      <w:r>
        <w:rPr>
          <w:rFonts w:hint="eastAsia" w:ascii="仿宋" w:hAnsi="仿宋" w:eastAsia="仿宋"/>
          <w:sz w:val="32"/>
          <w:szCs w:val="32"/>
        </w:rPr>
        <w:t>(5)着力保障社会稳定</w:t>
      </w:r>
    </w:p>
    <w:p>
      <w:pPr>
        <w:spacing w:line="360" w:lineRule="auto"/>
        <w:ind w:firstLine="555"/>
        <w:rPr>
          <w:rFonts w:ascii="仿宋" w:hAnsi="仿宋" w:eastAsia="仿宋"/>
          <w:sz w:val="32"/>
          <w:szCs w:val="32"/>
        </w:rPr>
      </w:pPr>
      <w:r>
        <w:rPr>
          <w:rFonts w:hint="eastAsia" w:ascii="仿宋" w:hAnsi="仿宋" w:eastAsia="仿宋"/>
          <w:sz w:val="32"/>
          <w:szCs w:val="32"/>
        </w:rPr>
        <w:t>1.以完善劳动关系调控体系为主导，努力构建和谐劳动关系首善之区。加快《西城区关于深入构建和谐劳动关系的实施意见》推进步伐，发挥劳动关系三方委员会平台优势。对实行特殊工时工作制的企业及时给予政策指导，严格劳务派遣经营企业准入条件，企业实地核查率达到100%。落实集体合同攻坚计划和“</w:t>
      </w:r>
      <w:r>
        <w:rPr>
          <w:rFonts w:ascii="仿宋" w:hAnsi="仿宋" w:eastAsia="仿宋"/>
          <w:sz w:val="32"/>
          <w:szCs w:val="32"/>
        </w:rPr>
        <w:t>要约行动</w:t>
      </w:r>
      <w:r>
        <w:rPr>
          <w:rFonts w:hint="eastAsia" w:ascii="仿宋" w:hAnsi="仿宋" w:eastAsia="仿宋"/>
          <w:sz w:val="32"/>
          <w:szCs w:val="32"/>
        </w:rPr>
        <w:t>”</w:t>
      </w:r>
      <w:r>
        <w:rPr>
          <w:rFonts w:ascii="仿宋" w:hAnsi="仿宋" w:eastAsia="仿宋"/>
          <w:sz w:val="32"/>
          <w:szCs w:val="32"/>
        </w:rPr>
        <w:t>，确保建会企业集体合同签约率和工资集体签约率均达到95%以上。</w:t>
      </w:r>
    </w:p>
    <w:p>
      <w:pPr>
        <w:spacing w:line="360" w:lineRule="auto"/>
        <w:ind w:firstLine="555"/>
        <w:rPr>
          <w:rFonts w:ascii="仿宋" w:hAnsi="仿宋" w:eastAsia="仿宋"/>
          <w:sz w:val="32"/>
          <w:szCs w:val="32"/>
        </w:rPr>
      </w:pPr>
      <w:r>
        <w:rPr>
          <w:rFonts w:hint="eastAsia" w:ascii="仿宋" w:hAnsi="仿宋" w:eastAsia="仿宋"/>
          <w:sz w:val="32"/>
          <w:szCs w:val="32"/>
        </w:rPr>
        <w:t>2．以规范劳动用工秩序为核心，深入开展劳动保障监察执法。加大重点领域、重点行业专项执法监管力度，做好建筑施工、餐饮服务、美容美发、物业、保安以及中小企业劳动用工专项执法检查，全面落实“无工资拖欠”工作任务。采取多种形式开展劳动保障政策法规宣传，重点加强建筑工程领域新法规的政策解读培训宣传。推进实施劳动保障领域社会信用体系建设，对企业开展守法诚信等级评价，建立企业劳动保障守法诚信信息数据库，实施动态分类监管，对失信企业实施联合监管、综合治理。建立多部门会商研判、联动处置工作机制。实行行政调解前置，加大劳动纠纷的案前调解力度，强化源头矛盾化解，</w:t>
      </w:r>
      <w:r>
        <w:rPr>
          <w:rFonts w:ascii="仿宋" w:hAnsi="仿宋" w:eastAsia="仿宋"/>
          <w:sz w:val="32"/>
          <w:szCs w:val="32"/>
        </w:rPr>
        <w:t>切实做好举报投诉案件</w:t>
      </w:r>
      <w:r>
        <w:rPr>
          <w:rFonts w:hint="eastAsia" w:ascii="仿宋" w:hAnsi="仿宋" w:eastAsia="仿宋"/>
          <w:sz w:val="32"/>
          <w:szCs w:val="32"/>
        </w:rPr>
        <w:t>立案</w:t>
      </w:r>
      <w:r>
        <w:rPr>
          <w:rFonts w:ascii="仿宋" w:hAnsi="仿宋" w:eastAsia="仿宋"/>
          <w:sz w:val="32"/>
          <w:szCs w:val="32"/>
        </w:rPr>
        <w:t>查处及群体性</w:t>
      </w:r>
      <w:r>
        <w:rPr>
          <w:rFonts w:hint="eastAsia" w:ascii="仿宋" w:hAnsi="仿宋" w:eastAsia="仿宋"/>
          <w:sz w:val="32"/>
          <w:szCs w:val="32"/>
        </w:rPr>
        <w:t>讨薪突发</w:t>
      </w:r>
      <w:r>
        <w:rPr>
          <w:rFonts w:ascii="仿宋" w:hAnsi="仿宋" w:eastAsia="仿宋"/>
          <w:sz w:val="32"/>
          <w:szCs w:val="32"/>
        </w:rPr>
        <w:t>事件的</w:t>
      </w:r>
      <w:r>
        <w:rPr>
          <w:rFonts w:hint="eastAsia" w:ascii="仿宋" w:hAnsi="仿宋" w:eastAsia="仿宋"/>
          <w:sz w:val="32"/>
          <w:szCs w:val="32"/>
        </w:rPr>
        <w:t>应急</w:t>
      </w:r>
      <w:r>
        <w:rPr>
          <w:rFonts w:ascii="仿宋" w:hAnsi="仿宋" w:eastAsia="仿宋"/>
          <w:sz w:val="32"/>
          <w:szCs w:val="32"/>
        </w:rPr>
        <w:t>处置工作</w:t>
      </w:r>
      <w:r>
        <w:rPr>
          <w:rFonts w:hint="eastAsia" w:ascii="仿宋" w:hAnsi="仿宋" w:eastAsia="仿宋"/>
          <w:sz w:val="32"/>
          <w:szCs w:val="32"/>
        </w:rPr>
        <w:t>，确保辖区劳动关系和谐稳定</w:t>
      </w:r>
      <w:r>
        <w:rPr>
          <w:rFonts w:ascii="仿宋" w:hAnsi="仿宋" w:eastAsia="仿宋"/>
          <w:sz w:val="32"/>
          <w:szCs w:val="32"/>
        </w:rPr>
        <w:t>。</w:t>
      </w:r>
    </w:p>
    <w:p>
      <w:pPr>
        <w:spacing w:line="360" w:lineRule="auto"/>
        <w:ind w:firstLine="555"/>
        <w:rPr>
          <w:rFonts w:ascii="仿宋" w:hAnsi="仿宋" w:eastAsia="仿宋"/>
          <w:sz w:val="32"/>
          <w:szCs w:val="32"/>
        </w:rPr>
      </w:pPr>
      <w:r>
        <w:rPr>
          <w:rFonts w:hint="eastAsia" w:ascii="仿宋" w:hAnsi="仿宋" w:eastAsia="仿宋"/>
          <w:sz w:val="32"/>
          <w:szCs w:val="32"/>
        </w:rPr>
        <w:t>3.以优化工作机制为途径，推动仲裁办案能力和质量效率全面提升。规范严谨地适用“一裁终局”程序，加强在立案环节对申请人的引导释明，严格案件审理和结案审核，确保终局案件依法处理，保证“一裁终局率”工作目标的完成，进一步减少当事人维权成本，提高当事人维权效率。坚持农民工劳动报酬争议“绿色通道”制度，建立健全劳动关系三方集体争议案件联动处置机制，依法、妥善处理集体争议。大力促成劳动人事争议案件的庭前化解，与街道调解实现信息共享，不断探索调解工作有效模式，提高案件调解率。</w:t>
      </w:r>
    </w:p>
    <w:p>
      <w:pPr>
        <w:spacing w:line="360" w:lineRule="auto"/>
        <w:ind w:firstLine="555"/>
        <w:rPr>
          <w:rFonts w:ascii="仿宋" w:hAnsi="仿宋" w:eastAsia="仿宋"/>
          <w:sz w:val="32"/>
          <w:szCs w:val="32"/>
        </w:rPr>
      </w:pPr>
      <w:r>
        <w:rPr>
          <w:rFonts w:hint="eastAsia" w:ascii="仿宋" w:hAnsi="仿宋" w:eastAsia="仿宋"/>
          <w:sz w:val="32"/>
          <w:szCs w:val="32"/>
        </w:rPr>
        <w:t>(6)加强综合性管理改革</w:t>
      </w:r>
    </w:p>
    <w:p>
      <w:pPr>
        <w:spacing w:line="360" w:lineRule="auto"/>
        <w:ind w:firstLine="555"/>
        <w:rPr>
          <w:rFonts w:ascii="仿宋" w:hAnsi="仿宋" w:eastAsia="仿宋"/>
          <w:sz w:val="32"/>
          <w:szCs w:val="32"/>
        </w:rPr>
      </w:pPr>
      <w:r>
        <w:rPr>
          <w:rFonts w:hint="eastAsia" w:ascii="仿宋" w:hAnsi="仿宋" w:eastAsia="仿宋"/>
          <w:sz w:val="32"/>
          <w:szCs w:val="32"/>
        </w:rPr>
        <w:t>1.在推进政民互动中提升品质。深化政府信息公开区级试点工作，促进公共服务更加透明。建立服务对象座谈会长效机制，采取邀请服务对象开展评价监督等方式，与服务对象建立良性沟通机制，对于征询到的问题，进行任务分解、挂账督办，切实推动问题解决，把问题整改情况向群众反馈好，增进互信，提升互动。</w:t>
      </w:r>
    </w:p>
    <w:p>
      <w:pPr>
        <w:spacing w:line="360" w:lineRule="auto"/>
        <w:ind w:firstLine="555"/>
        <w:rPr>
          <w:rFonts w:ascii="仿宋" w:hAnsi="仿宋" w:eastAsia="仿宋"/>
          <w:sz w:val="32"/>
          <w:szCs w:val="32"/>
        </w:rPr>
      </w:pPr>
      <w:r>
        <w:rPr>
          <w:rFonts w:hint="eastAsia" w:ascii="仿宋" w:hAnsi="仿宋" w:eastAsia="仿宋"/>
          <w:sz w:val="32"/>
          <w:szCs w:val="32"/>
        </w:rPr>
        <w:t>2.在深化公共服务标准化中提升品质。开展标准体系运行情况检查督导，组织标准补充和修订，开展标准化监测。推进服务流程的整合优化，建立新的全流程服务标准，并转化为办事指南。系统设计“互联网+人力社保公共服务”，建立局微信公众号，并开展手机APP客户端服务。促进标准化与12341热线服务有机结合，从百姓的角度改进服务方式，归集服务项目推进“一窗式”服务和全程代办。</w:t>
      </w:r>
      <w:r>
        <w:rPr>
          <w:rFonts w:ascii="仿宋" w:hAnsi="仿宋" w:eastAsia="仿宋"/>
          <w:sz w:val="32"/>
          <w:szCs w:val="32"/>
        </w:rPr>
        <w:t xml:space="preserve"> </w:t>
      </w:r>
    </w:p>
    <w:p>
      <w:pPr>
        <w:spacing w:line="360" w:lineRule="auto"/>
        <w:ind w:firstLine="555"/>
        <w:rPr>
          <w:rFonts w:ascii="仿宋" w:hAnsi="仿宋" w:eastAsia="仿宋"/>
          <w:sz w:val="32"/>
          <w:szCs w:val="32"/>
        </w:rPr>
      </w:pPr>
      <w:r>
        <w:rPr>
          <w:rFonts w:hint="eastAsia" w:ascii="仿宋" w:hAnsi="仿宋" w:eastAsia="仿宋"/>
          <w:sz w:val="32"/>
          <w:szCs w:val="32"/>
        </w:rPr>
        <w:t>3.在加强政风行风建设中提升品质。系统梳理政风行风建设要求，坚持和拓展“双随机</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一公开”检查，并强化检查结果应用。加强干部教育、业务素质培训和服务技巧培训，进一步提升服务品质，努力实现“政策落地有温度”。建立部门重要审批、重要许可、重要经办事项制约机制，推进权力在阳光下运行。聘请会计师事务所对内部财务进行专项审计，建立完善的内控制度。</w:t>
      </w:r>
    </w:p>
    <w:p>
      <w:pPr>
        <w:spacing w:line="360" w:lineRule="auto"/>
        <w:ind w:firstLine="555"/>
        <w:rPr>
          <w:rFonts w:ascii="仿宋" w:hAnsi="仿宋" w:eastAsia="仿宋"/>
          <w:sz w:val="32"/>
          <w:szCs w:val="32"/>
        </w:rPr>
      </w:pPr>
      <w:r>
        <w:rPr>
          <w:rFonts w:hint="eastAsia" w:ascii="仿宋" w:hAnsi="仿宋" w:eastAsia="仿宋"/>
          <w:sz w:val="32"/>
          <w:szCs w:val="32"/>
        </w:rPr>
        <w:t>4.在推进深化改革中提升品质。成立局深化改革领导小组，重点围绕“放管服”改革定期研究，设计改革目标、改革项目、改革任务，分工督导落实。深入推进清单式管理，指导全局各部门建立二级清单，形成我局层级清单管理模式。大力推进依法行政，加强法制培训，提升依法行政能力；完善法律顾问制度，并加强复议诉讼案件的调查分析。深入推进局内综合执法改革，做大做强劳动监察，形成全局各业务领域全面覆盖的大劳动监察。</w:t>
      </w:r>
    </w:p>
    <w:p>
      <w:pPr>
        <w:spacing w:line="360" w:lineRule="auto"/>
        <w:ind w:firstLine="555"/>
        <w:rPr>
          <w:rFonts w:ascii="仿宋" w:hAnsi="仿宋" w:eastAsia="仿宋"/>
          <w:sz w:val="32"/>
          <w:szCs w:val="32"/>
        </w:rPr>
      </w:pPr>
      <w:r>
        <w:rPr>
          <w:rFonts w:hint="eastAsia" w:ascii="仿宋" w:hAnsi="仿宋" w:eastAsia="仿宋"/>
          <w:sz w:val="32"/>
          <w:szCs w:val="32"/>
        </w:rPr>
        <w:t>二、一般公共预算财政拨款收入说明</w:t>
      </w:r>
    </w:p>
    <w:p>
      <w:pPr>
        <w:spacing w:line="360" w:lineRule="auto"/>
        <w:ind w:firstLine="555"/>
        <w:rPr>
          <w:rFonts w:ascii="仿宋" w:hAnsi="仿宋" w:eastAsia="仿宋"/>
          <w:sz w:val="32"/>
          <w:szCs w:val="32"/>
        </w:rPr>
      </w:pPr>
      <w:r>
        <w:rPr>
          <w:rFonts w:hint="eastAsia" w:ascii="仿宋" w:hAnsi="仿宋" w:eastAsia="仿宋"/>
          <w:sz w:val="32"/>
          <w:szCs w:val="32"/>
        </w:rPr>
        <w:t>2018年收入预算665,115,671.58元，比2017年收入预算563,498,443.96元增加101</w:t>
      </w:r>
      <w:r>
        <w:rPr>
          <w:rFonts w:ascii="仿宋" w:hAnsi="仿宋" w:eastAsia="仿宋"/>
          <w:sz w:val="32"/>
          <w:szCs w:val="32"/>
        </w:rPr>
        <w:t>,6</w:t>
      </w:r>
      <w:r>
        <w:rPr>
          <w:rFonts w:hint="eastAsia" w:ascii="仿宋" w:hAnsi="仿宋" w:eastAsia="仿宋"/>
          <w:sz w:val="32"/>
          <w:szCs w:val="32"/>
        </w:rPr>
        <w:t>17</w:t>
      </w:r>
      <w:r>
        <w:rPr>
          <w:rFonts w:ascii="仿宋" w:hAnsi="仿宋" w:eastAsia="仿宋"/>
          <w:sz w:val="32"/>
          <w:szCs w:val="32"/>
        </w:rPr>
        <w:t>,2</w:t>
      </w:r>
      <w:r>
        <w:rPr>
          <w:rFonts w:hint="eastAsia" w:ascii="仿宋" w:hAnsi="仿宋" w:eastAsia="仿宋"/>
          <w:sz w:val="32"/>
          <w:szCs w:val="32"/>
        </w:rPr>
        <w:t>2</w:t>
      </w:r>
      <w:r>
        <w:rPr>
          <w:rFonts w:ascii="仿宋" w:hAnsi="仿宋" w:eastAsia="仿宋"/>
          <w:sz w:val="32"/>
          <w:szCs w:val="32"/>
        </w:rPr>
        <w:t xml:space="preserve">7.62 </w:t>
      </w:r>
      <w:r>
        <w:rPr>
          <w:rFonts w:hint="eastAsia" w:ascii="仿宋" w:hAnsi="仿宋" w:eastAsia="仿宋"/>
          <w:sz w:val="32"/>
          <w:szCs w:val="32"/>
        </w:rPr>
        <w:t>元。其中：预算内资金652,197,731.58元，比2017年预算内资金535,497,743.96元增加116</w:t>
      </w:r>
      <w:r>
        <w:rPr>
          <w:rFonts w:ascii="仿宋" w:hAnsi="仿宋" w:eastAsia="仿宋"/>
          <w:sz w:val="32"/>
          <w:szCs w:val="32"/>
        </w:rPr>
        <w:t>,699,</w:t>
      </w:r>
      <w:r>
        <w:rPr>
          <w:rFonts w:hint="eastAsia" w:ascii="仿宋" w:hAnsi="仿宋" w:eastAsia="仿宋"/>
          <w:sz w:val="32"/>
          <w:szCs w:val="32"/>
        </w:rPr>
        <w:t>9</w:t>
      </w:r>
      <w:r>
        <w:rPr>
          <w:rFonts w:ascii="仿宋" w:hAnsi="仿宋" w:eastAsia="仿宋"/>
          <w:sz w:val="32"/>
          <w:szCs w:val="32"/>
        </w:rPr>
        <w:t>87.62</w:t>
      </w:r>
      <w:r>
        <w:rPr>
          <w:rFonts w:hint="eastAsia" w:ascii="仿宋" w:hAnsi="仿宋" w:eastAsia="仿宋"/>
          <w:sz w:val="32"/>
          <w:szCs w:val="32"/>
        </w:rPr>
        <w:t>元。增加的主要原因是由于政策调整，城乡居民养老保险支出、城镇居民基本医疗保险财政补助资金及城乡无社会保障老年居民养老保障支出金额大幅增加。市级提前下达专项转移支付项目资金12,917,940元。</w:t>
      </w:r>
    </w:p>
    <w:p>
      <w:pPr>
        <w:spacing w:line="360" w:lineRule="auto"/>
        <w:ind w:firstLine="555"/>
        <w:rPr>
          <w:rFonts w:ascii="仿宋" w:hAnsi="仿宋" w:eastAsia="仿宋"/>
          <w:sz w:val="32"/>
          <w:szCs w:val="32"/>
        </w:rPr>
      </w:pPr>
      <w:r>
        <w:rPr>
          <w:rFonts w:hint="eastAsia" w:ascii="仿宋" w:hAnsi="仿宋" w:eastAsia="仿宋"/>
          <w:sz w:val="32"/>
          <w:szCs w:val="32"/>
        </w:rPr>
        <w:t>三、一般公共预算财政拨款支出说明</w:t>
      </w:r>
    </w:p>
    <w:p>
      <w:pPr>
        <w:spacing w:line="360" w:lineRule="auto"/>
        <w:ind w:firstLine="555"/>
        <w:rPr>
          <w:rFonts w:ascii="仿宋" w:hAnsi="仿宋" w:eastAsia="仿宋"/>
          <w:sz w:val="32"/>
          <w:szCs w:val="32"/>
        </w:rPr>
      </w:pPr>
      <w:r>
        <w:rPr>
          <w:rFonts w:hint="eastAsia" w:ascii="仿宋" w:hAnsi="仿宋" w:eastAsia="仿宋"/>
          <w:sz w:val="32"/>
          <w:szCs w:val="32"/>
        </w:rPr>
        <w:t>2018年支出预算按用途划分：</w:t>
      </w:r>
    </w:p>
    <w:p>
      <w:pPr>
        <w:spacing w:line="360" w:lineRule="auto"/>
        <w:ind w:firstLine="555"/>
        <w:rPr>
          <w:rFonts w:ascii="仿宋" w:hAnsi="仿宋" w:eastAsia="仿宋"/>
          <w:sz w:val="32"/>
          <w:szCs w:val="32"/>
        </w:rPr>
      </w:pPr>
      <w:r>
        <w:rPr>
          <w:rFonts w:hint="eastAsia" w:ascii="仿宋" w:hAnsi="仿宋" w:eastAsia="仿宋"/>
          <w:sz w:val="32"/>
          <w:szCs w:val="32"/>
        </w:rPr>
        <w:t>（1）基本支出预算191,782,417.57元，占总支出预算的29.41%，比2017年180,831,402.93元增加</w:t>
      </w:r>
      <w:r>
        <w:rPr>
          <w:rFonts w:ascii="仿宋" w:hAnsi="仿宋" w:eastAsia="仿宋"/>
          <w:sz w:val="32"/>
          <w:szCs w:val="32"/>
        </w:rPr>
        <w:t xml:space="preserve">10,951,014.64 </w:t>
      </w:r>
      <w:r>
        <w:rPr>
          <w:rFonts w:hint="eastAsia" w:ascii="仿宋" w:hAnsi="仿宋" w:eastAsia="仿宋"/>
          <w:sz w:val="32"/>
          <w:szCs w:val="32"/>
        </w:rPr>
        <w:t>元，增长6.06%，主要原因是人员经费增加。</w:t>
      </w:r>
    </w:p>
    <w:p>
      <w:pPr>
        <w:spacing w:line="360" w:lineRule="auto"/>
        <w:ind w:firstLine="555"/>
        <w:rPr>
          <w:rFonts w:ascii="仿宋" w:hAnsi="仿宋" w:eastAsia="仿宋"/>
          <w:sz w:val="32"/>
          <w:szCs w:val="32"/>
        </w:rPr>
      </w:pPr>
      <w:r>
        <w:rPr>
          <w:rFonts w:hint="eastAsia" w:ascii="仿宋" w:hAnsi="仿宋" w:eastAsia="仿宋"/>
          <w:sz w:val="32"/>
          <w:szCs w:val="32"/>
        </w:rPr>
        <w:t>（2）项目支出预算460,415,314.01元，占总支出预算的70.59%，比2017年354,666,341.03增加105,748,972.98元，增长29.82%。增加的主要原因是政策调整，城乡居民养老保险支出、城镇居民基本医疗保险财政补助资金及城乡无社会保障老年居民养老保障支出金额大幅增加。</w:t>
      </w:r>
    </w:p>
    <w:p>
      <w:pPr>
        <w:spacing w:line="360" w:lineRule="auto"/>
        <w:ind w:firstLine="555"/>
        <w:rPr>
          <w:rFonts w:ascii="仿宋" w:hAnsi="仿宋" w:eastAsia="仿宋"/>
          <w:sz w:val="32"/>
          <w:szCs w:val="32"/>
        </w:rPr>
      </w:pPr>
      <w:r>
        <w:rPr>
          <w:rFonts w:hint="eastAsia" w:ascii="仿宋" w:hAnsi="仿宋" w:eastAsia="仿宋"/>
          <w:sz w:val="32"/>
          <w:szCs w:val="32"/>
        </w:rPr>
        <w:t>主要项目是居民养老保险政策调整</w:t>
      </w:r>
      <w:r>
        <w:rPr>
          <w:rFonts w:hint="eastAsia" w:ascii="仿宋" w:hAnsi="仿宋" w:eastAsia="仿宋"/>
          <w:sz w:val="32"/>
          <w:szCs w:val="32"/>
        </w:rPr>
        <w:fldChar w:fldCharType="begin"/>
      </w:r>
      <w:r>
        <w:rPr>
          <w:rFonts w:hint="eastAsia" w:ascii="仿宋" w:hAnsi="仿宋" w:eastAsia="仿宋"/>
          <w:sz w:val="32"/>
          <w:szCs w:val="32"/>
        </w:rPr>
        <w:instrText xml:space="preserve"> = 1 \* GB3 </w:instrText>
      </w:r>
      <w:r>
        <w:rPr>
          <w:rFonts w:hint="eastAsia" w:ascii="仿宋" w:hAnsi="仿宋" w:eastAsia="仿宋"/>
          <w:sz w:val="32"/>
          <w:szCs w:val="32"/>
        </w:rPr>
        <w:fldChar w:fldCharType="separate"/>
      </w:r>
      <w:r>
        <w:rPr>
          <w:rFonts w:hint="eastAsia" w:ascii="仿宋" w:hAnsi="仿宋" w:eastAsia="仿宋"/>
          <w:sz w:val="32"/>
          <w:szCs w:val="32"/>
        </w:rPr>
        <w:t>①</w:t>
      </w:r>
      <w:r>
        <w:rPr>
          <w:rFonts w:hint="eastAsia" w:ascii="仿宋" w:hAnsi="仿宋" w:eastAsia="仿宋"/>
          <w:sz w:val="32"/>
          <w:szCs w:val="32"/>
        </w:rPr>
        <w:fldChar w:fldCharType="end"/>
      </w:r>
      <w:r>
        <w:rPr>
          <w:rFonts w:hint="eastAsia" w:ascii="仿宋" w:hAnsi="仿宋" w:eastAsia="仿宋"/>
          <w:sz w:val="32"/>
          <w:szCs w:val="32"/>
        </w:rPr>
        <w:t>城镇居民基本医疗保险财政补助资金；</w:t>
      </w:r>
      <w:r>
        <w:rPr>
          <w:rFonts w:hint="eastAsia" w:ascii="仿宋" w:hAnsi="仿宋" w:eastAsia="仿宋"/>
          <w:sz w:val="32"/>
          <w:szCs w:val="32"/>
        </w:rPr>
        <w:fldChar w:fldCharType="begin"/>
      </w:r>
      <w:r>
        <w:rPr>
          <w:rFonts w:hint="eastAsia" w:ascii="仿宋" w:hAnsi="仿宋" w:eastAsia="仿宋"/>
          <w:sz w:val="32"/>
          <w:szCs w:val="32"/>
        </w:rPr>
        <w:instrText xml:space="preserve"> = 2 \* GB3 </w:instrText>
      </w:r>
      <w:r>
        <w:rPr>
          <w:rFonts w:hint="eastAsia" w:ascii="仿宋" w:hAnsi="仿宋" w:eastAsia="仿宋"/>
          <w:sz w:val="32"/>
          <w:szCs w:val="32"/>
        </w:rPr>
        <w:fldChar w:fldCharType="separate"/>
      </w:r>
      <w:r>
        <w:rPr>
          <w:rFonts w:hint="eastAsia" w:ascii="仿宋" w:hAnsi="仿宋" w:eastAsia="仿宋"/>
          <w:sz w:val="32"/>
          <w:szCs w:val="32"/>
        </w:rPr>
        <w:t>②</w:t>
      </w:r>
      <w:r>
        <w:rPr>
          <w:rFonts w:hint="eastAsia" w:ascii="仿宋" w:hAnsi="仿宋" w:eastAsia="仿宋"/>
          <w:sz w:val="32"/>
          <w:szCs w:val="32"/>
        </w:rPr>
        <w:fldChar w:fldCharType="end"/>
      </w:r>
      <w:r>
        <w:rPr>
          <w:rFonts w:hint="eastAsia" w:ascii="仿宋" w:hAnsi="仿宋" w:eastAsia="仿宋"/>
          <w:sz w:val="32"/>
          <w:szCs w:val="32"/>
        </w:rPr>
        <w:t>城乡无社会保障老年居民养老保障支出；</w:t>
      </w:r>
      <w:r>
        <w:rPr>
          <w:rFonts w:hint="eastAsia" w:ascii="仿宋" w:hAnsi="仿宋" w:eastAsia="仿宋"/>
          <w:sz w:val="32"/>
          <w:szCs w:val="32"/>
        </w:rPr>
        <w:fldChar w:fldCharType="begin"/>
      </w:r>
      <w:r>
        <w:rPr>
          <w:rFonts w:hint="eastAsia" w:ascii="仿宋" w:hAnsi="仿宋" w:eastAsia="仿宋"/>
          <w:sz w:val="32"/>
          <w:szCs w:val="32"/>
        </w:rPr>
        <w:instrText xml:space="preserve"> = 3 \* GB3 </w:instrText>
      </w:r>
      <w:r>
        <w:rPr>
          <w:rFonts w:hint="eastAsia" w:ascii="仿宋" w:hAnsi="仿宋" w:eastAsia="仿宋"/>
          <w:sz w:val="32"/>
          <w:szCs w:val="32"/>
        </w:rPr>
        <w:fldChar w:fldCharType="separate"/>
      </w:r>
      <w:r>
        <w:rPr>
          <w:rFonts w:hint="eastAsia" w:ascii="仿宋" w:hAnsi="仿宋" w:eastAsia="仿宋"/>
          <w:sz w:val="32"/>
          <w:szCs w:val="32"/>
        </w:rPr>
        <w:t>③</w:t>
      </w:r>
      <w:r>
        <w:rPr>
          <w:rFonts w:hint="eastAsia" w:ascii="仿宋" w:hAnsi="仿宋" w:eastAsia="仿宋"/>
          <w:sz w:val="32"/>
          <w:szCs w:val="32"/>
        </w:rPr>
        <w:fldChar w:fldCharType="end"/>
      </w:r>
      <w:r>
        <w:rPr>
          <w:rFonts w:hint="eastAsia" w:ascii="仿宋" w:hAnsi="仿宋" w:eastAsia="仿宋"/>
          <w:sz w:val="32"/>
          <w:szCs w:val="32"/>
        </w:rPr>
        <w:t>区县离休干部生活补贴支出；</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城乡居民养老保险支出。</w:t>
      </w:r>
    </w:p>
    <w:p>
      <w:pPr>
        <w:spacing w:line="360" w:lineRule="auto"/>
        <w:ind w:firstLine="555"/>
        <w:rPr>
          <w:rFonts w:ascii="仿宋" w:hAnsi="仿宋" w:eastAsia="仿宋"/>
          <w:sz w:val="32"/>
          <w:szCs w:val="32"/>
        </w:rPr>
      </w:pPr>
      <w:r>
        <w:rPr>
          <w:rFonts w:hint="eastAsia" w:ascii="仿宋" w:hAnsi="仿宋" w:eastAsia="仿宋"/>
          <w:sz w:val="32"/>
          <w:szCs w:val="32"/>
        </w:rPr>
        <w:t>四、2018年社会保险基金收入支出说明</w:t>
      </w:r>
    </w:p>
    <w:p>
      <w:pPr>
        <w:spacing w:line="360" w:lineRule="auto"/>
        <w:ind w:firstLine="555"/>
        <w:rPr>
          <w:rFonts w:ascii="仿宋" w:hAnsi="仿宋" w:eastAsia="仿宋"/>
          <w:sz w:val="32"/>
          <w:szCs w:val="32"/>
        </w:rPr>
      </w:pPr>
      <w:r>
        <w:rPr>
          <w:rFonts w:hint="eastAsia" w:ascii="仿宋" w:hAnsi="仿宋" w:eastAsia="仿宋"/>
          <w:sz w:val="32"/>
          <w:szCs w:val="32"/>
        </w:rPr>
        <w:t>2018年社保基金上年结余38,450,562.06元，社保基金收入预算87,225,254元，社保基金支出预算86,434,945元，年末滚存结余39,240,871.06元。</w:t>
      </w:r>
    </w:p>
    <w:p>
      <w:pPr>
        <w:spacing w:line="360" w:lineRule="auto"/>
        <w:ind w:firstLine="555"/>
        <w:rPr>
          <w:rFonts w:ascii="仿宋" w:hAnsi="仿宋" w:eastAsia="仿宋"/>
          <w:sz w:val="32"/>
          <w:szCs w:val="32"/>
        </w:rPr>
      </w:pPr>
      <w:r>
        <w:rPr>
          <w:rFonts w:hint="eastAsia" w:ascii="仿宋" w:hAnsi="仿宋" w:eastAsia="仿宋"/>
          <w:sz w:val="32"/>
          <w:szCs w:val="32"/>
        </w:rPr>
        <w:t>五、2018年“三公”经费财政拨款预算情况</w:t>
      </w:r>
    </w:p>
    <w:p>
      <w:pPr>
        <w:spacing w:line="360" w:lineRule="auto"/>
        <w:ind w:firstLine="555"/>
        <w:rPr>
          <w:rFonts w:ascii="仿宋" w:hAnsi="仿宋" w:eastAsia="仿宋"/>
          <w:sz w:val="32"/>
          <w:szCs w:val="32"/>
        </w:rPr>
      </w:pPr>
      <w:r>
        <w:rPr>
          <w:rFonts w:hint="eastAsia" w:ascii="仿宋" w:hAnsi="仿宋" w:eastAsia="仿宋"/>
          <w:sz w:val="32"/>
          <w:szCs w:val="32"/>
        </w:rPr>
        <w:t>（一）预算单位范围</w:t>
      </w:r>
    </w:p>
    <w:p>
      <w:pPr>
        <w:spacing w:line="360" w:lineRule="auto"/>
        <w:ind w:firstLine="555"/>
        <w:rPr>
          <w:rFonts w:ascii="仿宋" w:hAnsi="仿宋" w:eastAsia="仿宋"/>
          <w:sz w:val="32"/>
          <w:szCs w:val="32"/>
        </w:rPr>
      </w:pPr>
      <w:r>
        <w:rPr>
          <w:rFonts w:hint="eastAsia" w:ascii="仿宋" w:hAnsi="仿宋" w:eastAsia="仿宋"/>
          <w:sz w:val="32"/>
          <w:szCs w:val="32"/>
        </w:rPr>
        <w:t>北京市西城区人力资源和社会保障局预算中因公出国（境）费、公务接待费、公务用车购置及运行维护费的支出单位包括本级和8个所属单位，即1.西城区职业能力建设指导中心、2.西城区社会保险管理中心、3.西城区公费医疗委员会办公室、4.西城区职业能力鉴定指导中心、5.西城区劳动服务管理中心、6.西城区医疗保险事务管理中心、7.西城区人事考试中心、8.西城区人力资源公共服务中心。</w:t>
      </w:r>
    </w:p>
    <w:p>
      <w:pPr>
        <w:spacing w:line="360" w:lineRule="auto"/>
        <w:ind w:firstLine="555"/>
        <w:rPr>
          <w:rFonts w:ascii="仿宋" w:hAnsi="仿宋" w:eastAsia="仿宋"/>
          <w:sz w:val="32"/>
          <w:szCs w:val="32"/>
        </w:rPr>
      </w:pPr>
      <w:r>
        <w:rPr>
          <w:rFonts w:hint="eastAsia" w:ascii="仿宋" w:hAnsi="仿宋" w:eastAsia="仿宋"/>
          <w:sz w:val="32"/>
          <w:szCs w:val="32"/>
        </w:rPr>
        <w:t>(二)关于2018年部门预算中“三公”经费财政拨款预算情况及与上年对比原因说明:</w:t>
      </w:r>
    </w:p>
    <w:p>
      <w:pPr>
        <w:spacing w:line="360" w:lineRule="auto"/>
        <w:ind w:firstLine="555"/>
        <w:rPr>
          <w:rFonts w:ascii="仿宋" w:hAnsi="仿宋" w:eastAsia="仿宋"/>
          <w:sz w:val="32"/>
          <w:szCs w:val="32"/>
        </w:rPr>
      </w:pPr>
      <w:r>
        <w:rPr>
          <w:rFonts w:hint="eastAsia" w:ascii="仿宋" w:hAnsi="仿宋" w:eastAsia="仿宋"/>
          <w:sz w:val="32"/>
          <w:szCs w:val="32"/>
        </w:rPr>
        <w:t>2018年部门预算“三公”经费财政预算262,951.83元，比2017年部门预算“三公”经费财政预算539,208.43元减少276,256.6元，其中：</w:t>
      </w:r>
    </w:p>
    <w:p>
      <w:pPr>
        <w:spacing w:line="360" w:lineRule="auto"/>
        <w:ind w:firstLine="555"/>
        <w:rPr>
          <w:rFonts w:ascii="仿宋" w:hAnsi="仿宋" w:eastAsia="仿宋"/>
          <w:sz w:val="32"/>
          <w:szCs w:val="32"/>
        </w:rPr>
      </w:pPr>
      <w:r>
        <w:rPr>
          <w:rFonts w:hint="eastAsia" w:ascii="仿宋" w:hAnsi="仿宋" w:eastAsia="仿宋"/>
          <w:sz w:val="32"/>
          <w:szCs w:val="32"/>
        </w:rPr>
        <w:t>1、因公出国（境）费</w:t>
      </w:r>
    </w:p>
    <w:p>
      <w:pPr>
        <w:spacing w:line="360" w:lineRule="auto"/>
        <w:ind w:firstLine="555"/>
        <w:rPr>
          <w:rFonts w:ascii="仿宋" w:hAnsi="仿宋" w:eastAsia="仿宋"/>
          <w:sz w:val="32"/>
          <w:szCs w:val="32"/>
        </w:rPr>
      </w:pPr>
      <w:r>
        <w:rPr>
          <w:rFonts w:hint="eastAsia" w:ascii="仿宋" w:hAnsi="仿宋" w:eastAsia="仿宋"/>
          <w:sz w:val="32"/>
          <w:szCs w:val="32"/>
        </w:rPr>
        <w:t>2018年财政预算数0元，与2017年财政预算数一致。</w:t>
      </w:r>
    </w:p>
    <w:p>
      <w:pPr>
        <w:spacing w:line="360" w:lineRule="auto"/>
        <w:ind w:firstLine="555"/>
        <w:rPr>
          <w:rFonts w:ascii="仿宋" w:hAnsi="仿宋" w:eastAsia="仿宋"/>
          <w:sz w:val="32"/>
          <w:szCs w:val="32"/>
        </w:rPr>
      </w:pPr>
      <w:r>
        <w:rPr>
          <w:rFonts w:hint="eastAsia" w:ascii="仿宋" w:hAnsi="仿宋" w:eastAsia="仿宋"/>
          <w:sz w:val="32"/>
          <w:szCs w:val="32"/>
        </w:rPr>
        <w:t>2、公务接待费</w:t>
      </w:r>
    </w:p>
    <w:p>
      <w:pPr>
        <w:spacing w:line="360" w:lineRule="auto"/>
        <w:ind w:firstLine="555"/>
        <w:rPr>
          <w:rFonts w:ascii="仿宋" w:hAnsi="仿宋" w:eastAsia="仿宋"/>
          <w:sz w:val="32"/>
          <w:szCs w:val="32"/>
        </w:rPr>
      </w:pPr>
      <w:r>
        <w:rPr>
          <w:rFonts w:hint="eastAsia" w:ascii="仿宋" w:hAnsi="仿宋" w:eastAsia="仿宋"/>
          <w:sz w:val="32"/>
          <w:szCs w:val="32"/>
        </w:rPr>
        <w:t>2018年财政预算数48,451.83元，比2017年财政预算数49,208.43元减少756.6元，按照标准系统自动生成。</w:t>
      </w:r>
    </w:p>
    <w:p>
      <w:pPr>
        <w:spacing w:line="360" w:lineRule="auto"/>
        <w:ind w:firstLine="555"/>
        <w:rPr>
          <w:rFonts w:ascii="仿宋" w:hAnsi="仿宋" w:eastAsia="仿宋"/>
          <w:sz w:val="32"/>
          <w:szCs w:val="32"/>
        </w:rPr>
      </w:pPr>
      <w:r>
        <w:rPr>
          <w:rFonts w:hint="eastAsia" w:ascii="仿宋" w:hAnsi="仿宋" w:eastAsia="仿宋"/>
          <w:sz w:val="32"/>
          <w:szCs w:val="32"/>
        </w:rPr>
        <w:t>3、公务用车购置及运行维护费</w:t>
      </w:r>
    </w:p>
    <w:p>
      <w:pPr>
        <w:spacing w:line="360" w:lineRule="auto"/>
        <w:ind w:firstLine="555"/>
        <w:rPr>
          <w:rFonts w:ascii="仿宋" w:hAnsi="仿宋" w:eastAsia="仿宋"/>
          <w:sz w:val="32"/>
          <w:szCs w:val="32"/>
        </w:rPr>
      </w:pPr>
      <w:r>
        <w:rPr>
          <w:rFonts w:hint="eastAsia" w:ascii="仿宋" w:hAnsi="仿宋" w:eastAsia="仿宋"/>
          <w:sz w:val="32"/>
          <w:szCs w:val="32"/>
        </w:rPr>
        <w:t>2018年公务用车财政预算数量为9辆，2017年公务用车数量为20辆。2018年比2017年公务用车财政预算数减少11辆。2018年公务用车购置及运行维护费财政预算数214,500.00元，比2017年公务用车购置及运行维护费490,000.00元，减少了275,500.00 元，其中公务用车购置费0元，与2017年公务用车购置费一致。2018年公务用车运行维护费214,500.00元，比2017年公务用车运行维护费490,000.00元，减少了275,500.00 元。主要原因是公车改革，车辆减少11辆。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六、政府性基金预算财政拨款收入、支出全为零。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七、其他情况说明</w:t>
      </w:r>
    </w:p>
    <w:p>
      <w:pPr>
        <w:spacing w:line="360" w:lineRule="auto"/>
        <w:ind w:firstLine="555"/>
        <w:rPr>
          <w:rFonts w:ascii="仿宋" w:hAnsi="仿宋" w:eastAsia="仿宋"/>
          <w:sz w:val="32"/>
          <w:szCs w:val="32"/>
        </w:rPr>
      </w:pPr>
      <w:r>
        <w:rPr>
          <w:rFonts w:hint="eastAsia" w:ascii="仿宋" w:hAnsi="仿宋" w:eastAsia="仿宋"/>
          <w:sz w:val="32"/>
          <w:szCs w:val="32"/>
        </w:rPr>
        <w:t>（一）政府采购预算说明</w:t>
      </w:r>
    </w:p>
    <w:p>
      <w:pPr>
        <w:spacing w:line="360" w:lineRule="auto"/>
        <w:ind w:firstLine="555"/>
        <w:rPr>
          <w:rFonts w:ascii="仿宋" w:hAnsi="仿宋" w:eastAsia="仿宋"/>
          <w:sz w:val="32"/>
          <w:szCs w:val="32"/>
        </w:rPr>
      </w:pPr>
      <w:r>
        <w:rPr>
          <w:rFonts w:hint="eastAsia" w:ascii="仿宋" w:hAnsi="仿宋" w:eastAsia="仿宋"/>
          <w:sz w:val="32"/>
          <w:szCs w:val="32"/>
        </w:rPr>
        <w:t>2018年涉及政府采购项目42个，预算资金12,581,140.80元</w:t>
      </w:r>
    </w:p>
    <w:p>
      <w:pPr>
        <w:spacing w:line="360" w:lineRule="auto"/>
        <w:ind w:firstLine="555"/>
        <w:rPr>
          <w:rFonts w:ascii="仿宋" w:hAnsi="仿宋" w:eastAsia="仿宋"/>
          <w:sz w:val="32"/>
          <w:szCs w:val="32"/>
        </w:rPr>
      </w:pPr>
      <w:r>
        <w:rPr>
          <w:rFonts w:hint="eastAsia" w:ascii="仿宋" w:hAnsi="仿宋" w:eastAsia="仿宋"/>
          <w:sz w:val="32"/>
          <w:szCs w:val="32"/>
        </w:rPr>
        <w:t>（二）政府购买服务预算说明</w:t>
      </w:r>
    </w:p>
    <w:p>
      <w:pPr>
        <w:spacing w:line="360" w:lineRule="auto"/>
        <w:ind w:firstLine="555"/>
        <w:rPr>
          <w:rFonts w:ascii="仿宋" w:hAnsi="仿宋" w:eastAsia="仿宋"/>
          <w:sz w:val="32"/>
          <w:szCs w:val="32"/>
        </w:rPr>
      </w:pPr>
      <w:r>
        <w:rPr>
          <w:rFonts w:hint="eastAsia" w:ascii="仿宋" w:hAnsi="仿宋" w:eastAsia="仿宋"/>
          <w:sz w:val="32"/>
          <w:szCs w:val="32"/>
        </w:rPr>
        <w:t>涉及政府购买服务项目6个，预算资金8,548,636.80元。</w:t>
      </w:r>
    </w:p>
    <w:p>
      <w:pPr>
        <w:spacing w:line="360" w:lineRule="auto"/>
        <w:ind w:firstLine="555"/>
        <w:rPr>
          <w:rFonts w:ascii="仿宋" w:hAnsi="仿宋" w:eastAsia="仿宋"/>
          <w:sz w:val="32"/>
          <w:szCs w:val="32"/>
        </w:rPr>
      </w:pPr>
      <w:r>
        <w:rPr>
          <w:rFonts w:hint="eastAsia" w:ascii="仿宋" w:hAnsi="仿宋" w:eastAsia="仿宋"/>
          <w:sz w:val="32"/>
          <w:szCs w:val="32"/>
        </w:rPr>
        <w:t xml:space="preserve">（三）2018年机关运行经费预算情况 </w:t>
      </w:r>
    </w:p>
    <w:p>
      <w:pPr>
        <w:spacing w:line="360" w:lineRule="auto"/>
        <w:ind w:firstLine="555"/>
        <w:rPr>
          <w:rFonts w:ascii="仿宋" w:hAnsi="仿宋" w:eastAsia="仿宋"/>
          <w:sz w:val="32"/>
          <w:szCs w:val="32"/>
        </w:rPr>
      </w:pPr>
      <w:r>
        <w:rPr>
          <w:rFonts w:hint="eastAsia" w:ascii="仿宋" w:hAnsi="仿宋" w:eastAsia="仿宋"/>
          <w:sz w:val="32"/>
          <w:szCs w:val="32"/>
        </w:rPr>
        <w:t>2018年本部门（含下属单位）履行一般行政事业管理职能、维持机关运行，用于一般公共预算安排的行政运行经费，合计26,985,934.99元。</w:t>
      </w:r>
    </w:p>
    <w:p>
      <w:pPr>
        <w:spacing w:line="360" w:lineRule="auto"/>
        <w:ind w:firstLine="555"/>
        <w:rPr>
          <w:rFonts w:ascii="仿宋" w:hAnsi="仿宋" w:eastAsia="仿宋"/>
          <w:sz w:val="32"/>
          <w:szCs w:val="32"/>
        </w:rPr>
      </w:pPr>
      <w:r>
        <w:rPr>
          <w:rFonts w:hint="eastAsia" w:ascii="仿宋" w:hAnsi="仿宋" w:eastAsia="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ind w:firstLine="555"/>
        <w:rPr>
          <w:rFonts w:ascii="仿宋" w:hAnsi="仿宋" w:eastAsia="仿宋"/>
          <w:sz w:val="32"/>
          <w:szCs w:val="32"/>
        </w:rPr>
      </w:pPr>
      <w:r>
        <w:rPr>
          <w:rFonts w:hint="eastAsia" w:ascii="仿宋" w:hAnsi="仿宋" w:eastAsia="仿宋"/>
          <w:sz w:val="32"/>
          <w:szCs w:val="32"/>
        </w:rPr>
        <w:t>（四）项目支出绩效目标情况说明</w:t>
      </w:r>
    </w:p>
    <w:p>
      <w:pPr>
        <w:spacing w:line="360" w:lineRule="auto"/>
        <w:ind w:firstLine="555"/>
        <w:rPr>
          <w:rFonts w:ascii="仿宋" w:hAnsi="仿宋" w:eastAsia="仿宋"/>
          <w:sz w:val="32"/>
          <w:szCs w:val="32"/>
        </w:rPr>
      </w:pPr>
      <w:r>
        <w:rPr>
          <w:rFonts w:hint="eastAsia" w:ascii="仿宋" w:hAnsi="仿宋" w:eastAsia="仿宋"/>
          <w:sz w:val="32"/>
          <w:szCs w:val="32"/>
        </w:rPr>
        <w:t>2017年北京市西城区人力资源和社会保障局办公大楼运行维护费项目参加区专项绩效考评，考评得分为91.28分，考评等级为优秀。</w:t>
      </w:r>
    </w:p>
    <w:p>
      <w:pPr>
        <w:spacing w:line="360" w:lineRule="auto"/>
        <w:ind w:firstLine="555"/>
        <w:rPr>
          <w:rFonts w:ascii="仿宋" w:hAnsi="仿宋" w:eastAsia="仿宋"/>
          <w:sz w:val="32"/>
          <w:szCs w:val="32"/>
        </w:rPr>
      </w:pPr>
      <w:r>
        <w:rPr>
          <w:rFonts w:hint="eastAsia" w:ascii="仿宋" w:hAnsi="仿宋" w:eastAsia="仿宋"/>
          <w:sz w:val="32"/>
          <w:szCs w:val="32"/>
        </w:rPr>
        <w:t>北京市西城区人力资源和社会保障局办公大楼运行维护费项目总体绩效目标：</w:t>
      </w:r>
    </w:p>
    <w:p>
      <w:pPr>
        <w:spacing w:line="360" w:lineRule="auto"/>
        <w:ind w:firstLine="555"/>
        <w:rPr>
          <w:rFonts w:ascii="仿宋" w:hAnsi="仿宋" w:eastAsia="仿宋"/>
          <w:color w:val="FF0000"/>
          <w:sz w:val="32"/>
          <w:szCs w:val="32"/>
        </w:rPr>
      </w:pPr>
      <w:r>
        <w:rPr>
          <w:rFonts w:hint="eastAsia" w:ascii="仿宋" w:hAnsi="仿宋" w:eastAsia="仿宋"/>
          <w:sz w:val="32"/>
          <w:szCs w:val="32"/>
        </w:rPr>
        <w:t>通过对本项目有效实施，确保社保大厦等四处办公地点设施设备安全有效运行，消除不安全隐患，确保全体工作人员良好的工作环境，为区人力社保局高效承担起全区就业创业、劳动关系和谐、输送合格人才、社保医保惠民，更好地履行工作职责，更好地服务中央、服务改革创新，促进西城和谐健康发展，发挥服务保障职能。</w:t>
      </w:r>
    </w:p>
    <w:p>
      <w:pPr>
        <w:spacing w:line="360" w:lineRule="auto"/>
        <w:ind w:firstLine="640" w:firstLineChars="200"/>
        <w:rPr>
          <w:rFonts w:ascii="仿宋" w:hAnsi="仿宋" w:eastAsia="仿宋"/>
          <w:sz w:val="32"/>
          <w:szCs w:val="32"/>
        </w:rPr>
      </w:pPr>
      <w:r>
        <w:rPr>
          <w:rFonts w:hint="eastAsia" w:ascii="仿宋_GB2312" w:eastAsia="仿宋_GB2312"/>
          <w:color w:val="000000"/>
          <w:sz w:val="32"/>
          <w:szCs w:val="32"/>
        </w:rPr>
        <w:t>（五）重点行政事业性收费情况说明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2017年北京市西城区人力资源和社会保障局无行政事业性收费重点项目。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 w:hAnsi="仿宋" w:eastAsia="仿宋"/>
          <w:sz w:val="32"/>
          <w:szCs w:val="32"/>
        </w:rPr>
        <w:t>2017年北京市西城区人力资源和社会保障局无</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 w:hAnsi="仿宋" w:eastAsia="仿宋"/>
          <w:sz w:val="32"/>
          <w:szCs w:val="32"/>
        </w:rPr>
        <w:t>。</w:t>
      </w:r>
    </w:p>
    <w:p>
      <w:pPr>
        <w:spacing w:line="360" w:lineRule="auto"/>
        <w:ind w:firstLine="555"/>
        <w:rPr>
          <w:rFonts w:ascii="仿宋" w:hAnsi="仿宋" w:eastAsia="仿宋"/>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360" w:lineRule="auto"/>
        <w:ind w:firstLine="555"/>
        <w:rPr>
          <w:rFonts w:ascii="仿宋" w:hAnsi="仿宋" w:eastAsia="仿宋"/>
          <w:sz w:val="32"/>
          <w:szCs w:val="32"/>
        </w:rPr>
      </w:pPr>
      <w:r>
        <w:rPr>
          <w:rFonts w:hint="eastAsia" w:ascii="仿宋_GB2312" w:eastAsia="仿宋_GB2312"/>
          <w:color w:val="000000"/>
          <w:sz w:val="32"/>
          <w:szCs w:val="32"/>
        </w:rPr>
        <w:t>截止2017年12月31日，我单位占用固定资产总额</w:t>
      </w:r>
      <w:r>
        <w:rPr>
          <w:rFonts w:ascii="仿宋_GB2312" w:eastAsia="仿宋_GB2312"/>
          <w:color w:val="000000"/>
          <w:sz w:val="32"/>
          <w:szCs w:val="32"/>
        </w:rPr>
        <w:t>243,395,779.20</w:t>
      </w:r>
      <w:r>
        <w:rPr>
          <w:rFonts w:hint="eastAsia" w:ascii="仿宋_GB2312" w:eastAsia="仿宋_GB2312"/>
          <w:color w:val="000000"/>
          <w:sz w:val="32"/>
          <w:szCs w:val="32"/>
        </w:rPr>
        <w:t>元，其中：车辆15台，2,715,249.90元；（其中6辆车尚未接到车改办通知，未变更部分车辆资产过户、调拨等手续）单位价值50</w:t>
      </w:r>
      <w:r>
        <w:rPr>
          <w:rFonts w:hint="eastAsia" w:ascii="仿宋" w:hAnsi="仿宋" w:eastAsia="仿宋"/>
          <w:sz w:val="32"/>
          <w:szCs w:val="32"/>
        </w:rPr>
        <w:t>万元以上的通用设备1套、630,000.00元，单位价值100万元以上的专用设备0台（套）。</w:t>
      </w:r>
    </w:p>
    <w:p>
      <w:pPr>
        <w:ind w:firstLine="640" w:firstLineChars="200"/>
        <w:rPr>
          <w:rFonts w:ascii="仿宋_GB2312" w:hAnsi="宋体" w:eastAsia="仿宋_GB2312"/>
          <w:sz w:val="32"/>
          <w:szCs w:val="32"/>
        </w:rPr>
      </w:pPr>
      <w:r>
        <w:rPr>
          <w:rFonts w:hint="eastAsia" w:ascii="仿宋" w:hAnsi="仿宋" w:eastAsia="仿宋"/>
          <w:sz w:val="32"/>
          <w:szCs w:val="32"/>
        </w:rPr>
        <w:t>（八）名词解释</w:t>
      </w:r>
    </w:p>
    <w:p>
      <w:pPr>
        <w:ind w:firstLine="640" w:firstLineChars="200"/>
        <w:rPr>
          <w:rFonts w:ascii="仿宋" w:hAnsi="仿宋" w:eastAsia="仿宋"/>
          <w:sz w:val="32"/>
          <w:szCs w:val="32"/>
        </w:rPr>
      </w:pPr>
      <w:r>
        <w:rPr>
          <w:rFonts w:hint="eastAsia" w:ascii="仿宋" w:hAnsi="仿宋" w:eastAsia="仿宋"/>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sz w:val="32"/>
          <w:szCs w:val="32"/>
        </w:rPr>
      </w:pPr>
      <w:r>
        <w:rPr>
          <w:rFonts w:hint="eastAsia" w:ascii="仿宋" w:hAnsi="仿宋" w:eastAsia="仿宋"/>
          <w:sz w:val="32"/>
          <w:szCs w:val="32"/>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widowControl/>
        <w:jc w:val="center"/>
        <w:rPr>
          <w:sz w:val="28"/>
          <w:szCs w:val="28"/>
        </w:rPr>
      </w:pPr>
      <w:r>
        <w:rPr>
          <w:rFonts w:hint="eastAsia" w:ascii="宋体" w:hAnsi="宋体"/>
          <w:b/>
          <w:sz w:val="36"/>
          <w:szCs w:val="36"/>
        </w:rPr>
        <w:t>第二部分  2018年部门预算表</w:t>
      </w:r>
    </w:p>
    <w:p>
      <w:pPr>
        <w:rPr>
          <w:sz w:val="28"/>
          <w:szCs w:val="28"/>
        </w:rPr>
      </w:pPr>
      <w:r>
        <w:rPr>
          <w:rFonts w:hint="eastAsia"/>
          <w:sz w:val="28"/>
          <w:szCs w:val="28"/>
        </w:rPr>
        <w:t>表一：</w:t>
      </w:r>
    </w:p>
    <w:tbl>
      <w:tblPr>
        <w:tblStyle w:val="5"/>
        <w:tblW w:w="8095" w:type="dxa"/>
        <w:tblInd w:w="93" w:type="dxa"/>
        <w:tblLayout w:type="fixed"/>
        <w:tblCellMar>
          <w:top w:w="0" w:type="dxa"/>
          <w:left w:w="108" w:type="dxa"/>
          <w:bottom w:w="0" w:type="dxa"/>
          <w:right w:w="108" w:type="dxa"/>
        </w:tblCellMar>
      </w:tblPr>
      <w:tblGrid>
        <w:gridCol w:w="1858"/>
        <w:gridCol w:w="1701"/>
        <w:gridCol w:w="2552"/>
        <w:gridCol w:w="1984"/>
      </w:tblGrid>
      <w:tr>
        <w:tblPrEx>
          <w:tblLayout w:type="fixed"/>
          <w:tblCellMar>
            <w:top w:w="0" w:type="dxa"/>
            <w:left w:w="108" w:type="dxa"/>
            <w:bottom w:w="0" w:type="dxa"/>
            <w:right w:w="108" w:type="dxa"/>
          </w:tblCellMar>
        </w:tblPrEx>
        <w:trPr>
          <w:trHeight w:val="516" w:hRule="atLeast"/>
        </w:trPr>
        <w:tc>
          <w:tcPr>
            <w:tcW w:w="8095" w:type="dxa"/>
            <w:gridSpan w:val="4"/>
            <w:tcBorders>
              <w:top w:val="nil"/>
              <w:left w:val="nil"/>
              <w:bottom w:val="nil"/>
              <w:right w:val="nil"/>
            </w:tcBorders>
            <w:shd w:val="clear" w:color="auto" w:fill="auto"/>
            <w:vAlign w:val="center"/>
          </w:tcPr>
          <w:p>
            <w:pPr>
              <w:widowControl/>
              <w:jc w:val="center"/>
              <w:rPr>
                <w:rFonts w:ascii="宋体" w:hAnsi="宋体"/>
                <w:b/>
                <w:sz w:val="36"/>
                <w:szCs w:val="36"/>
              </w:rPr>
            </w:pPr>
            <w:r>
              <w:rPr>
                <w:rFonts w:hint="eastAsia" w:ascii="宋体" w:hAnsi="宋体"/>
                <w:b/>
                <w:sz w:val="36"/>
                <w:szCs w:val="36"/>
              </w:rPr>
              <w:t>2018年部门收支总体情况表</w:t>
            </w:r>
          </w:p>
        </w:tc>
      </w:tr>
      <w:tr>
        <w:tblPrEx>
          <w:tblLayout w:type="fixed"/>
          <w:tblCellMar>
            <w:top w:w="0" w:type="dxa"/>
            <w:left w:w="108" w:type="dxa"/>
            <w:bottom w:w="0" w:type="dxa"/>
            <w:right w:w="108" w:type="dxa"/>
          </w:tblCellMar>
        </w:tblPrEx>
        <w:trPr>
          <w:trHeight w:val="363" w:hRule="atLeast"/>
        </w:trPr>
        <w:tc>
          <w:tcPr>
            <w:tcW w:w="6111" w:type="dxa"/>
            <w:gridSpan w:val="3"/>
            <w:tcBorders>
              <w:top w:val="nil"/>
              <w:left w:val="nil"/>
              <w:bottom w:val="single" w:color="000000" w:sz="4" w:space="0"/>
              <w:right w:val="nil"/>
            </w:tcBorders>
            <w:shd w:val="clear" w:color="auto" w:fill="auto"/>
            <w:vAlign w:val="center"/>
          </w:tcPr>
          <w:p>
            <w:pPr>
              <w:widowControl/>
              <w:jc w:val="left"/>
              <w:rPr>
                <w:rFonts w:ascii="宋体" w:hAnsi="宋体" w:cs="Arial"/>
                <w:b/>
                <w:bCs/>
                <w:kern w:val="0"/>
                <w:sz w:val="18"/>
                <w:szCs w:val="18"/>
              </w:rPr>
            </w:pPr>
          </w:p>
        </w:tc>
        <w:tc>
          <w:tcPr>
            <w:tcW w:w="1984" w:type="dxa"/>
            <w:tcBorders>
              <w:top w:val="nil"/>
              <w:left w:val="nil"/>
              <w:bottom w:val="single" w:color="000000" w:sz="4" w:space="0"/>
              <w:right w:val="nil"/>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单位：元</w:t>
            </w:r>
          </w:p>
        </w:tc>
      </w:tr>
      <w:tr>
        <w:tblPrEx>
          <w:tblLayout w:type="fixed"/>
          <w:tblCellMar>
            <w:top w:w="0" w:type="dxa"/>
            <w:left w:w="108" w:type="dxa"/>
            <w:bottom w:w="0" w:type="dxa"/>
            <w:right w:w="108" w:type="dxa"/>
          </w:tblCellMar>
        </w:tblPrEx>
        <w:trPr>
          <w:trHeight w:val="703" w:hRule="atLeast"/>
        </w:trPr>
        <w:tc>
          <w:tcPr>
            <w:tcW w:w="1858" w:type="dxa"/>
            <w:tcBorders>
              <w:top w:val="single" w:color="000000" w:sz="4" w:space="0"/>
              <w:left w:val="single" w:color="000000" w:sz="4" w:space="0"/>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收入项目类别</w:t>
            </w:r>
          </w:p>
        </w:tc>
        <w:tc>
          <w:tcPr>
            <w:tcW w:w="1701"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收入预算金额</w:t>
            </w:r>
          </w:p>
        </w:tc>
        <w:tc>
          <w:tcPr>
            <w:tcW w:w="2552"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支出项目类别</w:t>
            </w:r>
          </w:p>
        </w:tc>
        <w:tc>
          <w:tcPr>
            <w:tcW w:w="1984"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支出预算金额</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预算内资金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一般公共预算支出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财政专户管理</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人力资源事务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8,941,800.00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财政专户资金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人力资源和社会保障管理事务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189,962,467.71</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教育收费收入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行政事业单位离退休</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41,367,378.53</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其他财政专户收入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就业补助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7,652,848.88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批准留用</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社会福利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67,413,000.00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上级补助收入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财政对基本养老保险基金的补助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19,852,580.00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事业收入（不含事业单位预算外资金）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其他社会保障和就业支出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3,126,723.96</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经营收入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行政事业单位医疗</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32,686,418.38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附属单位上缴收入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财政对基本医疗保险基金的补助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221,166,360.00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其他收入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住房改革支出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60,028,154.12</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本年收入合计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本年支出合计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用事业基金弥补收支差额</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上年结转</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收入总计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结转下年</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　</w:t>
            </w:r>
          </w:p>
        </w:tc>
      </w:tr>
    </w:tbl>
    <w:p>
      <w:pPr>
        <w:rPr>
          <w:sz w:val="28"/>
          <w:szCs w:val="28"/>
        </w:rPr>
        <w:sectPr>
          <w:pgSz w:w="11906" w:h="16838"/>
          <w:pgMar w:top="1440" w:right="1800" w:bottom="1440" w:left="1800" w:header="851" w:footer="992" w:gutter="0"/>
          <w:cols w:space="425" w:num="1"/>
          <w:docGrid w:type="lines" w:linePitch="312" w:charSpace="0"/>
        </w:sectPr>
      </w:pPr>
    </w:p>
    <w:p>
      <w:pPr>
        <w:rPr>
          <w:sz w:val="28"/>
          <w:szCs w:val="28"/>
        </w:rPr>
      </w:pPr>
      <w:r>
        <w:rPr>
          <w:rFonts w:hint="eastAsia"/>
          <w:sz w:val="28"/>
          <w:szCs w:val="28"/>
        </w:rPr>
        <w:t>表二：</w:t>
      </w:r>
    </w:p>
    <w:p>
      <w:pPr>
        <w:jc w:val="center"/>
        <w:rPr>
          <w:rFonts w:ascii="宋体" w:hAnsi="宋体"/>
          <w:b/>
          <w:sz w:val="36"/>
          <w:szCs w:val="36"/>
        </w:rPr>
      </w:pPr>
      <w:r>
        <w:rPr>
          <w:rFonts w:hint="eastAsia" w:ascii="宋体" w:hAnsi="宋体"/>
          <w:b/>
          <w:sz w:val="36"/>
          <w:szCs w:val="36"/>
        </w:rPr>
        <w:t>2018年部门收入总体情况表</w:t>
      </w:r>
    </w:p>
    <w:p>
      <w:pPr>
        <w:widowControl/>
        <w:jc w:val="center"/>
        <w:rPr>
          <w:rFonts w:ascii="宋体" w:hAnsi="宋体"/>
          <w:b/>
          <w:sz w:val="36"/>
          <w:szCs w:val="36"/>
        </w:rPr>
      </w:pPr>
      <w:r>
        <w:rPr>
          <w:rFonts w:hint="eastAsia" w:ascii="宋体" w:hAnsi="宋体"/>
          <w:b/>
          <w:sz w:val="36"/>
          <w:szCs w:val="36"/>
        </w:rPr>
        <w:t xml:space="preserve">                                                             </w:t>
      </w:r>
      <w:r>
        <w:rPr>
          <w:rFonts w:hint="eastAsia" w:ascii="宋体" w:hAnsi="宋体" w:cs="Arial"/>
          <w:kern w:val="0"/>
          <w:sz w:val="18"/>
          <w:szCs w:val="18"/>
        </w:rPr>
        <w:t>单位：元</w:t>
      </w:r>
    </w:p>
    <w:tbl>
      <w:tblPr>
        <w:tblStyle w:val="5"/>
        <w:tblW w:w="13700" w:type="dxa"/>
        <w:tblInd w:w="93" w:type="dxa"/>
        <w:tblLayout w:type="fixed"/>
        <w:tblCellMar>
          <w:top w:w="0" w:type="dxa"/>
          <w:left w:w="108" w:type="dxa"/>
          <w:bottom w:w="0" w:type="dxa"/>
          <w:right w:w="108" w:type="dxa"/>
        </w:tblCellMar>
      </w:tblPr>
      <w:tblGrid>
        <w:gridCol w:w="960"/>
        <w:gridCol w:w="3900"/>
        <w:gridCol w:w="1780"/>
        <w:gridCol w:w="960"/>
        <w:gridCol w:w="1580"/>
        <w:gridCol w:w="920"/>
        <w:gridCol w:w="560"/>
        <w:gridCol w:w="560"/>
        <w:gridCol w:w="560"/>
        <w:gridCol w:w="560"/>
        <w:gridCol w:w="560"/>
        <w:gridCol w:w="800"/>
      </w:tblGrid>
      <w:tr>
        <w:tblPrEx>
          <w:tblLayout w:type="fixed"/>
          <w:tblCellMar>
            <w:top w:w="0" w:type="dxa"/>
            <w:left w:w="108" w:type="dxa"/>
            <w:bottom w:w="0" w:type="dxa"/>
            <w:right w:w="108" w:type="dxa"/>
          </w:tblCellMar>
        </w:tblPrEx>
        <w:trPr>
          <w:trHeight w:val="1692" w:hRule="atLeast"/>
        </w:trPr>
        <w:tc>
          <w:tcPr>
            <w:tcW w:w="960" w:type="dxa"/>
            <w:tcBorders>
              <w:top w:val="single" w:color="auto" w:sz="4" w:space="0"/>
              <w:left w:val="single" w:color="auto" w:sz="4" w:space="0"/>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390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78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9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上年结转</w:t>
            </w:r>
          </w:p>
        </w:tc>
        <w:tc>
          <w:tcPr>
            <w:tcW w:w="158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一般公共预算拨款收入</w:t>
            </w:r>
          </w:p>
        </w:tc>
        <w:tc>
          <w:tcPr>
            <w:tcW w:w="92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政府性基金预算拨款收入</w:t>
            </w:r>
          </w:p>
        </w:tc>
        <w:tc>
          <w:tcPr>
            <w:tcW w:w="5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上级补助收入</w:t>
            </w:r>
          </w:p>
        </w:tc>
        <w:tc>
          <w:tcPr>
            <w:tcW w:w="5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事业收入</w:t>
            </w:r>
          </w:p>
        </w:tc>
        <w:tc>
          <w:tcPr>
            <w:tcW w:w="5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经营收入</w:t>
            </w:r>
          </w:p>
        </w:tc>
        <w:tc>
          <w:tcPr>
            <w:tcW w:w="5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附属单位上缴收入</w:t>
            </w:r>
          </w:p>
        </w:tc>
        <w:tc>
          <w:tcPr>
            <w:tcW w:w="5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其他收入</w:t>
            </w:r>
          </w:p>
        </w:tc>
        <w:tc>
          <w:tcPr>
            <w:tcW w:w="80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用事业基金弥补收支差额</w:t>
            </w:r>
          </w:p>
        </w:tc>
      </w:tr>
      <w:tr>
        <w:tblPrEx>
          <w:tblLayout w:type="fixed"/>
          <w:tblCellMar>
            <w:top w:w="0" w:type="dxa"/>
            <w:left w:w="108" w:type="dxa"/>
            <w:bottom w:w="0" w:type="dxa"/>
            <w:right w:w="108" w:type="dxa"/>
          </w:tblCellMar>
        </w:tblPrEx>
        <w:trPr>
          <w:trHeight w:val="456"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总计</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652,197,731.58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652,197,731.58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一般公共服务支出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人力资源事务</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2011006</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军队转业干部安置</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3,275,000.00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3,275,000.00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2011010</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公务员履职能力提升</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3,500,000.00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3,500,000.00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2011012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公务员综合管理</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805,000.00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805,000.00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2011099</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其他人力资源事务支出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1,361,800.00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1,361,800.00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208</w:t>
            </w:r>
          </w:p>
        </w:tc>
        <w:tc>
          <w:tcPr>
            <w:tcW w:w="3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社会保障和就业支出</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329,374,999.08</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329,374,999.08</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w:t>
            </w:r>
          </w:p>
        </w:tc>
        <w:tc>
          <w:tcPr>
            <w:tcW w:w="3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人力资源和社会保障管理事务</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189,962,467.71</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189,962,467.71</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行政运行</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127,414,632.11</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127,414,632.11</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一般行政管理事务</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7,513,800.00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7,513,800.00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2080103</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机关服务</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4,631,836.80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4,631,836.80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2080104</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综合业务管理</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490,000.00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2080105</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劳动保障监察</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347,000.00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347,000.00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2080108</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信息化建设</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1,852,104.00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1,852,104.00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2080109</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社会保险经办机构</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1,270,100.00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1,270,100.00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2080110</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劳动关系和维权</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495,000.00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495,000.00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公共就业服务和职业技能鉴定机构</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1,710,073.04</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1,710,073.04</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劳动人事争议调解仲裁</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499,000.00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499,000.00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108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2080199</w:t>
            </w:r>
          </w:p>
        </w:tc>
        <w:tc>
          <w:tcPr>
            <w:tcW w:w="3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其他人力资源和社会保障管理事务支出</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43,738,921.76</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43,738,921.76</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行政事业单位离退休</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41,367,378.53</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41,367,378.53</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归口管理的行政单位离退休</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3,064,977.25</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3,064,977.25</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事业单位离退休</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144,154.00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144,154.00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2080505</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机关事业单位基本养老保险缴费支出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15,979,105.20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15,979,105.20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2080506</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机关事业单位职业年金缴费支出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6,391,642.08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6,391,642.08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2080599</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其他行政事业单位离退休支出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就业补助</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7,652,848.88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7,652,848.88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职业培训补贴</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2,284,792.00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2,284,792.00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2080799</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其他就业补助支出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5,368,056.88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5,368,056.88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20810</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社会福利</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2081002</w:t>
            </w:r>
          </w:p>
        </w:tc>
        <w:tc>
          <w:tcPr>
            <w:tcW w:w="3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老年福利</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20826</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财政对基本养老保险基金的补助</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108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2082602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财政对城乡居民基本养老保险基金的补助</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20899</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其他社会保障和就业支出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2089901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其他社会保障和就业支出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210</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医疗卫生与计划生育支出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253,852,778.38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253,852,778.38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4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行政事业单位医疗</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32,686,418.38</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32,686,418.38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2101101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行政单位医疗</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31,157,669.21</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31,157,669.21</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事业单位医疗</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358,749.17</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358,749.17</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2101199</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其他行政事业单位医疗支出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1,170,000.00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1,170,000.00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864"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财政对基本医疗保险基金的补助</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108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2101204</w:t>
            </w:r>
          </w:p>
        </w:tc>
        <w:tc>
          <w:tcPr>
            <w:tcW w:w="3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财政对城镇居民基本医疗保险基金的补助</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221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住房保障支出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住房改革支出</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2210201</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住房公积金</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12,702,663.12</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12,702,663.12</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2210202</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提租补贴</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31,560.00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31,560.00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432"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2210203</w:t>
            </w:r>
          </w:p>
        </w:tc>
        <w:tc>
          <w:tcPr>
            <w:tcW w:w="3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购房补贴</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47,293,931.00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47,293,931.00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hAnsi="宋体"/>
          <w:b/>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hAnsi="宋体"/>
          <w:b/>
          <w:sz w:val="36"/>
          <w:szCs w:val="36"/>
        </w:rPr>
      </w:pPr>
      <w:r>
        <w:rPr>
          <w:rFonts w:hint="eastAsia"/>
          <w:sz w:val="28"/>
          <w:szCs w:val="28"/>
        </w:rPr>
        <w:t>表三</w:t>
      </w:r>
      <w:r>
        <w:rPr>
          <w:rFonts w:hint="eastAsia" w:ascii="宋体" w:hAnsi="宋体"/>
          <w:b/>
          <w:sz w:val="36"/>
          <w:szCs w:val="36"/>
        </w:rPr>
        <w:t>：</w:t>
      </w:r>
    </w:p>
    <w:p>
      <w:pPr>
        <w:jc w:val="center"/>
        <w:rPr>
          <w:rFonts w:ascii="宋体" w:hAnsi="宋体"/>
          <w:b/>
          <w:sz w:val="36"/>
          <w:szCs w:val="36"/>
        </w:rPr>
      </w:pPr>
      <w:r>
        <w:rPr>
          <w:rFonts w:hint="eastAsia" w:ascii="宋体" w:hAnsi="宋体"/>
          <w:b/>
          <w:sz w:val="36"/>
          <w:szCs w:val="36"/>
        </w:rPr>
        <w:t>2018年部门支出总体情况表</w:t>
      </w:r>
    </w:p>
    <w:p>
      <w:pPr>
        <w:widowControl/>
        <w:jc w:val="center"/>
        <w:rPr>
          <w:rFonts w:ascii="宋体" w:hAnsi="宋体"/>
          <w:b/>
          <w:sz w:val="36"/>
          <w:szCs w:val="36"/>
        </w:rPr>
      </w:pPr>
      <w:r>
        <w:rPr>
          <w:rFonts w:hint="eastAsia" w:ascii="宋体" w:hAnsi="宋体"/>
          <w:b/>
          <w:sz w:val="36"/>
          <w:szCs w:val="36"/>
        </w:rPr>
        <w:t xml:space="preserve">                                                                     </w:t>
      </w:r>
      <w:r>
        <w:rPr>
          <w:rFonts w:hint="eastAsia" w:ascii="宋体" w:hAnsi="宋体" w:cs="Arial"/>
          <w:kern w:val="0"/>
          <w:sz w:val="18"/>
          <w:szCs w:val="18"/>
        </w:rPr>
        <w:t>单位:元</w:t>
      </w:r>
    </w:p>
    <w:tbl>
      <w:tblPr>
        <w:tblStyle w:val="5"/>
        <w:tblW w:w="15120" w:type="dxa"/>
        <w:tblInd w:w="93" w:type="dxa"/>
        <w:tblLayout w:type="fixed"/>
        <w:tblCellMar>
          <w:top w:w="0" w:type="dxa"/>
          <w:left w:w="108" w:type="dxa"/>
          <w:bottom w:w="0" w:type="dxa"/>
          <w:right w:w="108" w:type="dxa"/>
        </w:tblCellMar>
      </w:tblPr>
      <w:tblGrid>
        <w:gridCol w:w="1760"/>
        <w:gridCol w:w="3200"/>
        <w:gridCol w:w="1760"/>
        <w:gridCol w:w="1760"/>
        <w:gridCol w:w="1760"/>
        <w:gridCol w:w="1760"/>
        <w:gridCol w:w="920"/>
        <w:gridCol w:w="960"/>
        <w:gridCol w:w="1240"/>
      </w:tblGrid>
      <w:tr>
        <w:tblPrEx>
          <w:tblLayout w:type="fixed"/>
          <w:tblCellMar>
            <w:top w:w="0" w:type="dxa"/>
            <w:left w:w="108" w:type="dxa"/>
            <w:bottom w:w="0" w:type="dxa"/>
            <w:right w:w="108" w:type="dxa"/>
          </w:tblCellMar>
        </w:tblPrEx>
        <w:trPr>
          <w:trHeight w:val="609" w:hRule="atLeast"/>
        </w:trPr>
        <w:tc>
          <w:tcPr>
            <w:tcW w:w="1760" w:type="dxa"/>
            <w:tcBorders>
              <w:top w:val="single" w:color="auto" w:sz="4" w:space="0"/>
              <w:left w:val="single" w:color="auto" w:sz="4" w:space="0"/>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320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上年结转</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基本支出</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项目支出</w:t>
            </w:r>
          </w:p>
        </w:tc>
        <w:tc>
          <w:tcPr>
            <w:tcW w:w="92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上缴上级支出</w:t>
            </w:r>
          </w:p>
        </w:tc>
        <w:tc>
          <w:tcPr>
            <w:tcW w:w="9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事业单位经营支出</w:t>
            </w:r>
          </w:p>
        </w:tc>
        <w:tc>
          <w:tcPr>
            <w:tcW w:w="124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对下级单位补助支出</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总计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652,197,731.58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191,782,417.57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460,415,314.01</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一般公共服务支出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人力资源事务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2011006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军队转业干部安置</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3,275,000.00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3,275,000.00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公务员履职能力提升</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3,500,000.00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3,500,000.00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2011012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公务员综合管理</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805,000.00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805,000.00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其他人力资源事务支出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1,361,800.00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1,361,800.00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社会保障和就业支出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329,374,999.08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156,148,164.07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173,226,835.01</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人力资源和社会保障管理事务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189,962,467.71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127,751,459.45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62,211,008.26</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行政运行</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127,414,632.11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124,998,161.61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2,416,470.50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一般行政管理事务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7,513,800.00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7,513,800.00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机关服务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4,631,836.80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4,631,836.80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2080104</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综合业务管理</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2080105</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劳动保障监察</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347,000.00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347,000.00</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2080108</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信息化建设</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1,852,104.00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1,852,104.00</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社会保险经办机构</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1,270,100.00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1,270,100.00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劳动关系和维权</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495,000.00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公共就业服务和职业技能鉴定机构</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1,710,073.04</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1,496,016.08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214,056.96</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劳动人事争议调解仲裁</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499,000.00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499,000.00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其他人力资源和社会保障管理事务支出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43,738,921.76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1,257,281.76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42,481,640.00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行政事业单位离退休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41,367,378.53</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25,579,878.53</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归口管理的行政单位离退休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3,064,977.25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3,064,977.25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事业单位离退休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144,154.00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144,154.00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机关事业单位基本养老保险缴费支出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15,979,105.20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15,979,105.20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机关事业单位职业年金缴费支出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6,391,642.08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6,391,642.08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其他行政事业单位离退休支出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就业补助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7,652,848.88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7,652,848.88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职业培训补贴</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2,284,792.00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2,284,792.00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其他就业补助支出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5,368,056.88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5,368,056.88</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社会福利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2081002</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老年福利</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20826</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财政对基本养老保险基金的补助</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2082602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财政对城乡居民基本养老保险基金的补助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其他社会保障和就业支出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2,816,826.09</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309,897.87</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2089901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其他社会保障和就业支出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2,816,826.09</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309,897.87</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医疗卫生与计划生育支出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253,852,778.38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11,556,418.38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242,296,360.00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行政事业单位医疗</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32,686,418.38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11,556,418.38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21,130,000.00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行政单位医疗</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31,157,669.21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10,027,669.21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21,130,000.00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事业单位医疗</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358,749.17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358,749.17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其他行政事业单位医疗支出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1,170,000.00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1,170,000.00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财政对基本医疗保险基金的补助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2101204</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财政对城镇居民基本医疗保险基金的补助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221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住房保障支出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24,077,835.12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35,950,319.00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住房改革支出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24,077,835.12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35,950,319.00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住房公积金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12,702,663.12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12,702,663.12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提租补贴</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31,560.00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31,560.00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购房补贴</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47,293,931.00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11,343,612.00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35,950,319.00</w:t>
            </w:r>
          </w:p>
        </w:tc>
        <w:tc>
          <w:tcPr>
            <w:tcW w:w="9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hAnsi="宋体"/>
          <w:b/>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hAnsi="宋体"/>
          <w:b/>
          <w:sz w:val="36"/>
          <w:szCs w:val="36"/>
        </w:rPr>
      </w:pPr>
      <w:r>
        <w:rPr>
          <w:rFonts w:hint="eastAsia"/>
          <w:sz w:val="28"/>
          <w:szCs w:val="28"/>
        </w:rPr>
        <w:t>表四</w:t>
      </w:r>
      <w:r>
        <w:rPr>
          <w:rFonts w:hint="eastAsia" w:ascii="宋体" w:hAnsi="宋体"/>
          <w:b/>
          <w:sz w:val="36"/>
          <w:szCs w:val="36"/>
        </w:rPr>
        <w:t>：</w:t>
      </w:r>
    </w:p>
    <w:p>
      <w:pPr>
        <w:jc w:val="center"/>
        <w:rPr>
          <w:rFonts w:ascii="宋体" w:hAnsi="宋体"/>
          <w:b/>
          <w:sz w:val="36"/>
          <w:szCs w:val="36"/>
        </w:rPr>
      </w:pPr>
      <w:r>
        <w:rPr>
          <w:rFonts w:hint="eastAsia" w:ascii="宋体" w:hAnsi="宋体"/>
          <w:b/>
          <w:sz w:val="36"/>
          <w:szCs w:val="36"/>
        </w:rPr>
        <w:t>2018年财政拨款收支总体情况表</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 xml:space="preserve">                              </w:t>
      </w:r>
      <w:r>
        <w:rPr>
          <w:rFonts w:hint="eastAsia" w:ascii="宋体" w:hAnsi="宋体" w:cs="Arial"/>
          <w:kern w:val="0"/>
          <w:sz w:val="18"/>
          <w:szCs w:val="18"/>
        </w:rPr>
        <w:t>单位：元</w:t>
      </w:r>
    </w:p>
    <w:tbl>
      <w:tblPr>
        <w:tblStyle w:val="5"/>
        <w:tblW w:w="8095" w:type="dxa"/>
        <w:tblInd w:w="93" w:type="dxa"/>
        <w:tblLayout w:type="fixed"/>
        <w:tblCellMar>
          <w:top w:w="0" w:type="dxa"/>
          <w:left w:w="108" w:type="dxa"/>
          <w:bottom w:w="0" w:type="dxa"/>
          <w:right w:w="108" w:type="dxa"/>
        </w:tblCellMar>
      </w:tblPr>
      <w:tblGrid>
        <w:gridCol w:w="1858"/>
        <w:gridCol w:w="1701"/>
        <w:gridCol w:w="2552"/>
        <w:gridCol w:w="1984"/>
      </w:tblGrid>
      <w:tr>
        <w:tblPrEx>
          <w:tblLayout w:type="fixed"/>
          <w:tblCellMar>
            <w:top w:w="0" w:type="dxa"/>
            <w:left w:w="108" w:type="dxa"/>
            <w:bottom w:w="0" w:type="dxa"/>
            <w:right w:w="108" w:type="dxa"/>
          </w:tblCellMar>
        </w:tblPrEx>
        <w:trPr>
          <w:trHeight w:val="703" w:hRule="atLeast"/>
        </w:trPr>
        <w:tc>
          <w:tcPr>
            <w:tcW w:w="1858" w:type="dxa"/>
            <w:tcBorders>
              <w:top w:val="single" w:color="000000" w:sz="4" w:space="0"/>
              <w:left w:val="single" w:color="000000" w:sz="4" w:space="0"/>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收入项目类别</w:t>
            </w:r>
          </w:p>
        </w:tc>
        <w:tc>
          <w:tcPr>
            <w:tcW w:w="1701"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收入预算金额</w:t>
            </w:r>
          </w:p>
        </w:tc>
        <w:tc>
          <w:tcPr>
            <w:tcW w:w="2552"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支出项目类别</w:t>
            </w:r>
          </w:p>
        </w:tc>
        <w:tc>
          <w:tcPr>
            <w:tcW w:w="1984"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支出预算金额</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预算内资金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一般公共预算支出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财政专户管理</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人力资源事务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8,941,800.00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财政专户资金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人力资源和社会保障管理事务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189,962,467.71</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教育收费收入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行政事业单位离退休</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41,367,378.53</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其他财政专户收入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就业补助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7,652,848.88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批准留用</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社会福利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67,413,000.00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上级补助收入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财政对基本养老保险基金的补助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19,852,580.00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事业收入（不含事业单位预算外资金）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其他社会保障和就业支出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3,126,723.96</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经营收入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行政事业单位医疗</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32,686,418.38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附属单位上缴收入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财政对基本医疗保险基金的补助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221,166,360.00</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其他收入</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住房改革支出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60,028,154.12</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本年收入合计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本年支出合计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用事业基金弥补收支差额</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上年结转</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p>
        </w:tc>
      </w:tr>
      <w:tr>
        <w:tblPrEx>
          <w:tblLayout w:type="fixed"/>
          <w:tblCellMar>
            <w:top w:w="0" w:type="dxa"/>
            <w:left w:w="108" w:type="dxa"/>
            <w:bottom w:w="0" w:type="dxa"/>
            <w:right w:w="108" w:type="dxa"/>
          </w:tblCellMar>
        </w:tblPrEx>
        <w:trPr>
          <w:trHeight w:val="703"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收入总计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652,197,731.58</w:t>
            </w:r>
          </w:p>
        </w:tc>
        <w:tc>
          <w:tcPr>
            <w:tcW w:w="255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kern w:val="0"/>
                <w:sz w:val="20"/>
                <w:szCs w:val="20"/>
              </w:rPr>
            </w:pPr>
            <w:r>
              <w:rPr>
                <w:rFonts w:hint="eastAsia" w:ascii="宋体" w:hAnsi="宋体" w:cs="Arial"/>
                <w:kern w:val="0"/>
                <w:sz w:val="20"/>
                <w:szCs w:val="20"/>
              </w:rPr>
              <w:t>　结转下年</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0"/>
                <w:szCs w:val="20"/>
              </w:rPr>
            </w:pPr>
            <w:r>
              <w:rPr>
                <w:rFonts w:hint="eastAsia" w:ascii="宋体" w:hAnsi="宋体" w:cs="Arial"/>
                <w:kern w:val="0"/>
                <w:sz w:val="20"/>
                <w:szCs w:val="20"/>
              </w:rPr>
              <w:t>0.00　</w:t>
            </w:r>
          </w:p>
        </w:tc>
      </w:tr>
    </w:tbl>
    <w:p>
      <w:pPr>
        <w:widowControl/>
        <w:jc w:val="left"/>
        <w:rPr>
          <w:rFonts w:ascii="宋体" w:hAnsi="宋体" w:cs="Arial"/>
          <w:bCs/>
          <w:kern w:val="0"/>
          <w:sz w:val="24"/>
          <w:szCs w:val="24"/>
        </w:rPr>
      </w:pPr>
      <w:r>
        <w:rPr>
          <w:rFonts w:hint="eastAsia" w:ascii="宋体" w:hAnsi="宋体" w:cs="Arial"/>
          <w:bCs/>
          <w:kern w:val="0"/>
          <w:sz w:val="24"/>
          <w:szCs w:val="24"/>
        </w:rPr>
        <w:t>表五：</w:t>
      </w:r>
    </w:p>
    <w:p>
      <w:pPr>
        <w:jc w:val="center"/>
        <w:rPr>
          <w:rFonts w:ascii="宋体" w:hAnsi="宋体"/>
          <w:b/>
          <w:sz w:val="36"/>
          <w:szCs w:val="36"/>
        </w:rPr>
      </w:pPr>
      <w:r>
        <w:rPr>
          <w:rFonts w:hint="eastAsia" w:ascii="宋体" w:hAnsi="宋体"/>
          <w:b/>
          <w:sz w:val="36"/>
          <w:szCs w:val="36"/>
        </w:rPr>
        <w:t>2018年一般公共预算支出情况表</w:t>
      </w:r>
    </w:p>
    <w:p>
      <w:pPr>
        <w:jc w:val="center"/>
        <w:rPr>
          <w:rFonts w:ascii="宋体" w:hAnsi="宋体"/>
          <w:b/>
          <w:sz w:val="36"/>
          <w:szCs w:val="36"/>
        </w:rPr>
      </w:pPr>
      <w:r>
        <w:rPr>
          <w:rFonts w:hint="eastAsia"/>
        </w:rPr>
        <w:t xml:space="preserve">                                                                         </w:t>
      </w:r>
      <w:r>
        <w:rPr>
          <w:rFonts w:hint="eastAsia" w:ascii="宋体" w:hAnsi="宋体" w:cs="Arial"/>
          <w:kern w:val="0"/>
          <w:sz w:val="18"/>
          <w:szCs w:val="18"/>
        </w:rPr>
        <w:t>单位：元</w:t>
      </w:r>
    </w:p>
    <w:tbl>
      <w:tblPr>
        <w:tblStyle w:val="5"/>
        <w:tblW w:w="9660" w:type="dxa"/>
        <w:tblInd w:w="93" w:type="dxa"/>
        <w:tblLayout w:type="fixed"/>
        <w:tblCellMar>
          <w:top w:w="0" w:type="dxa"/>
          <w:left w:w="108" w:type="dxa"/>
          <w:bottom w:w="0" w:type="dxa"/>
          <w:right w:w="108" w:type="dxa"/>
        </w:tblCellMar>
      </w:tblPr>
      <w:tblGrid>
        <w:gridCol w:w="1760"/>
        <w:gridCol w:w="2620"/>
        <w:gridCol w:w="1760"/>
        <w:gridCol w:w="1760"/>
        <w:gridCol w:w="1760"/>
      </w:tblGrid>
      <w:tr>
        <w:tblPrEx>
          <w:tblLayout w:type="fixed"/>
          <w:tblCellMar>
            <w:top w:w="0" w:type="dxa"/>
            <w:left w:w="108" w:type="dxa"/>
            <w:bottom w:w="0" w:type="dxa"/>
            <w:right w:w="108" w:type="dxa"/>
          </w:tblCellMar>
        </w:tblPrEx>
        <w:trPr>
          <w:trHeight w:val="609" w:hRule="atLeast"/>
        </w:trPr>
        <w:tc>
          <w:tcPr>
            <w:tcW w:w="1760" w:type="dxa"/>
            <w:tcBorders>
              <w:top w:val="single" w:color="auto" w:sz="4" w:space="0"/>
              <w:left w:val="single" w:color="auto" w:sz="4" w:space="0"/>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262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基本支出</w:t>
            </w:r>
          </w:p>
        </w:tc>
        <w:tc>
          <w:tcPr>
            <w:tcW w:w="1760" w:type="dxa"/>
            <w:tcBorders>
              <w:top w:val="single" w:color="auto" w:sz="4" w:space="0"/>
              <w:left w:val="nil"/>
              <w:bottom w:val="single" w:color="auto" w:sz="4" w:space="0"/>
              <w:right w:val="single" w:color="auto" w:sz="4" w:space="0"/>
            </w:tcBorders>
            <w:shd w:val="clear" w:color="99CCFF" w:fill="FFFFFF" w:themeFill="background1"/>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项目支出</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总计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652,197,731.58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191,782,417.57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460,415,314.01</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一般公共服务支出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人力资源事务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8,941,800.00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2011006</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军队转业干部安置</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3,275,000.00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3,275,000.00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2011010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公务员履职能力提升</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3,500,000.00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3,500,000.00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2011012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公务员综合管理</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805,000.00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805,000.00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2011099</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其他人力资源事务支出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1,361,800.00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1,361,800.00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208</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社会保障和就业支出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329,374,999.08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156,148,164.07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173,226,835.01</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人力资源和社会保障管理事务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189,962,467.71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127,751,459.45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62,211,008.26</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行政运行</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127,414,632.11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124,998,161.61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2,416,470.50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一般行政管理事务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7,513,800.00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7,513,800.00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2080103</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机关服务</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4,631,836.80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4,631,836.80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2080104</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综合业务管理</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490,000.00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2080105</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劳动保障监察</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347,000.00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347,000.00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2080108</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信息化建设</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1,852,104.00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1,852,104.00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2080109</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社会保险经办机构</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1,270,100.00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1,270,100.00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劳动关系和维权</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495,000.00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公共就业服务和职业技能鉴定机构</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1,710,073.04</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1,496,016.08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214,056.96</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2080112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劳动人事争议调解仲裁</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499,000.00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499,000.00</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2080199</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其他人力资源和社会保障管理事务支出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43,738,921.76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1,257,281.76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42,481,640.00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行政事业单位离退休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41,367,378.53</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25,579,878.53</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归口管理的行政单位离退休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3,064,977.25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3,064,977.25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事业单位离退休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144,154.00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144,154.00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2080505</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机关事业单位基本养老保险缴费支出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15,979,105.20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15,979,105.20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2080506</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机关事业单位职业年金缴费支出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6,391,642.08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6,391,642.08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2080599</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其他行政事业单位离退休支出</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15,787,500.00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就业补助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7,652,848.88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7,652,848.88</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职业培训补贴</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2,284,792.00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2,284,792.00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2080799</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其他就业补助支出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5,368,056.88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5,368,056.88</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20810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社会福利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2081002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老年福利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67,413,000.00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20826</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财政对基本养老保险基金的补助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2082602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财政对城乡居民基本养老保险基金的补助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19,852,580.00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20899</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其他社会保障和就业支出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2,816,826.09</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309,897.87</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2089901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其他社会保障和就业支出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3,126,723.96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2,816,826.09</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309,897.87</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210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医疗卫生与计划生育支出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253,852,778.38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11,556,418.38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242,296,360.00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行政事业单位医疗</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32,686,418.38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11,556,418.38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21,130,000.00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行政单位医疗</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31,157,669.21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10,027,669.21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21,130,000.00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事业单位医疗</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358,749.17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358,749.17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2101199</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其他行政事业单位医疗支出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1,170,000.00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1,170,000.00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财政对基本医疗保险基金的补助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r>
      <w:tr>
        <w:tblPrEx>
          <w:tblLayout w:type="fixed"/>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2101204</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财政对城镇居民基本医疗保险基金的补助</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221,166,360.00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221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住房保障支出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24,077,835.12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35,950,319.00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住房改革支出</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60,028,154.12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24,077,835.12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35,950,319.00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住房公积金</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12,702,663.12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12,702,663.12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提租补贴</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31,560.00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31,560.00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0.00</w:t>
            </w:r>
          </w:p>
        </w:tc>
      </w:tr>
      <w:tr>
        <w:tblPrEx>
          <w:tblLayout w:type="fixed"/>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2210203</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购房补贴</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47,293,931.00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11,343,612.00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35,950,319.00</w:t>
            </w:r>
          </w:p>
        </w:tc>
      </w:tr>
    </w:tbl>
    <w:p/>
    <w:p/>
    <w:p/>
    <w:p/>
    <w:p/>
    <w:p/>
    <w:p/>
    <w:p/>
    <w:p/>
    <w:p/>
    <w:p>
      <w:pPr>
        <w:rPr>
          <w:rFonts w:ascii="宋体" w:hAnsi="宋体" w:cs="Arial"/>
          <w:bCs/>
          <w:kern w:val="0"/>
          <w:sz w:val="24"/>
          <w:szCs w:val="24"/>
        </w:rPr>
        <w:sectPr>
          <w:pgSz w:w="11906" w:h="16838"/>
          <w:pgMar w:top="1440" w:right="1800" w:bottom="1440" w:left="1800" w:header="851" w:footer="992" w:gutter="0"/>
          <w:cols w:space="425" w:num="1"/>
          <w:docGrid w:type="lines" w:linePitch="312" w:charSpace="0"/>
        </w:sectPr>
      </w:pPr>
    </w:p>
    <w:p>
      <w:r>
        <w:rPr>
          <w:rFonts w:hint="eastAsia" w:ascii="宋体" w:hAnsi="宋体" w:cs="Arial"/>
          <w:bCs/>
          <w:kern w:val="0"/>
          <w:sz w:val="24"/>
          <w:szCs w:val="24"/>
        </w:rPr>
        <w:t>表六</w:t>
      </w:r>
      <w:r>
        <w:rPr>
          <w:rFonts w:hint="eastAsia"/>
        </w:rPr>
        <w:t>：</w:t>
      </w:r>
    </w:p>
    <w:p>
      <w:pPr>
        <w:jc w:val="center"/>
        <w:rPr>
          <w:rFonts w:ascii="宋体" w:hAnsi="宋体"/>
          <w:b/>
          <w:sz w:val="36"/>
          <w:szCs w:val="36"/>
        </w:rPr>
      </w:pPr>
      <w:r>
        <w:rPr>
          <w:rFonts w:hint="eastAsia" w:ascii="宋体" w:hAnsi="宋体"/>
          <w:b/>
          <w:sz w:val="36"/>
          <w:szCs w:val="36"/>
        </w:rPr>
        <w:t>2018年一般公共预算基本支出情况表</w:t>
      </w:r>
    </w:p>
    <w:p>
      <w:pPr>
        <w:jc w:val="center"/>
        <w:rPr>
          <w:rFonts w:ascii="宋体" w:hAnsi="宋体"/>
          <w:b/>
          <w:sz w:val="36"/>
          <w:szCs w:val="36"/>
        </w:rPr>
      </w:pPr>
      <w:r>
        <w:rPr>
          <w:rFonts w:hint="eastAsia" w:ascii="宋体" w:hAnsi="宋体"/>
          <w:b/>
          <w:sz w:val="36"/>
          <w:szCs w:val="36"/>
        </w:rPr>
        <w:t xml:space="preserve">                                         </w:t>
      </w:r>
      <w:r>
        <w:rPr>
          <w:rFonts w:hint="eastAsia" w:ascii="宋体" w:hAnsi="宋体" w:cs="Arial"/>
          <w:kern w:val="0"/>
          <w:sz w:val="18"/>
          <w:szCs w:val="18"/>
        </w:rPr>
        <w:t>单位：元</w:t>
      </w:r>
      <w:r>
        <w:rPr>
          <w:rFonts w:hint="eastAsia" w:ascii="宋体" w:hAnsi="宋体"/>
          <w:b/>
          <w:sz w:val="36"/>
          <w:szCs w:val="36"/>
        </w:rPr>
        <w:t xml:space="preserve">   </w:t>
      </w:r>
    </w:p>
    <w:p>
      <w:pPr>
        <w:rPr>
          <w:rFonts w:ascii="宋体" w:hAnsi="宋体"/>
          <w:b/>
          <w:sz w:val="36"/>
          <w:szCs w:val="36"/>
        </w:rPr>
      </w:pPr>
      <w:r>
        <w:rPr>
          <w:rFonts w:hint="eastAsia" w:ascii="宋体" w:hAnsi="宋体"/>
          <w:b/>
          <w:sz w:val="36"/>
          <w:szCs w:val="36"/>
        </w:rPr>
        <w:t xml:space="preserve">    </w:t>
      </w:r>
    </w:p>
    <w:tbl>
      <w:tblPr>
        <w:tblStyle w:val="5"/>
        <w:tblW w:w="12720" w:type="dxa"/>
        <w:tblInd w:w="97" w:type="dxa"/>
        <w:tblLayout w:type="fixed"/>
        <w:tblCellMar>
          <w:top w:w="0" w:type="dxa"/>
          <w:left w:w="108" w:type="dxa"/>
          <w:bottom w:w="0" w:type="dxa"/>
          <w:right w:w="108" w:type="dxa"/>
        </w:tblCellMar>
      </w:tblPr>
      <w:tblGrid>
        <w:gridCol w:w="1200"/>
        <w:gridCol w:w="2300"/>
        <w:gridCol w:w="1020"/>
        <w:gridCol w:w="2280"/>
        <w:gridCol w:w="2280"/>
        <w:gridCol w:w="1780"/>
        <w:gridCol w:w="1860"/>
      </w:tblGrid>
      <w:tr>
        <w:tblPrEx>
          <w:tblLayout w:type="fixed"/>
          <w:tblCellMar>
            <w:top w:w="0" w:type="dxa"/>
            <w:left w:w="108" w:type="dxa"/>
            <w:bottom w:w="0" w:type="dxa"/>
            <w:right w:w="108" w:type="dxa"/>
          </w:tblCellMar>
        </w:tblPrEx>
        <w:trPr>
          <w:trHeight w:val="570" w:hRule="atLeast"/>
        </w:trPr>
        <w:tc>
          <w:tcPr>
            <w:tcW w:w="1200" w:type="dxa"/>
            <w:tcBorders>
              <w:top w:val="single" w:color="auto" w:sz="4" w:space="0"/>
              <w:left w:val="single" w:color="auto" w:sz="4" w:space="0"/>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部门经济分类代码</w:t>
            </w:r>
          </w:p>
        </w:tc>
        <w:tc>
          <w:tcPr>
            <w:tcW w:w="2300" w:type="dxa"/>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部门经济分类名称</w:t>
            </w:r>
          </w:p>
        </w:tc>
        <w:tc>
          <w:tcPr>
            <w:tcW w:w="1020" w:type="dxa"/>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政府经济分类代码</w:t>
            </w:r>
          </w:p>
        </w:tc>
        <w:tc>
          <w:tcPr>
            <w:tcW w:w="2280" w:type="dxa"/>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政府经济分类名称</w:t>
            </w:r>
          </w:p>
        </w:tc>
        <w:tc>
          <w:tcPr>
            <w:tcW w:w="2280" w:type="dxa"/>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合计</w:t>
            </w:r>
          </w:p>
        </w:tc>
        <w:tc>
          <w:tcPr>
            <w:tcW w:w="1780" w:type="dxa"/>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人员经费</w:t>
            </w:r>
          </w:p>
        </w:tc>
        <w:tc>
          <w:tcPr>
            <w:tcW w:w="1860" w:type="dxa"/>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公用经费</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501/505</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165,792,228.13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165,792,228.13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6,885,924.00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6,885,924.00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13,894,836.00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13,894,836.00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20,100,226.00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20,100,226.00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44,277,510.00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44,277,510.00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奖金</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7,765,600.00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7,765,600.00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奖金</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17,482,400.00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17,482,400.00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绩效工资</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749,057.00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749,057.00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绩效工资</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1,672,350.00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1,672,350.00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9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5,086,251.40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5,086,251.40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55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10,892,853.80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10,892,853.80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职业年金缴费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2,034,500.56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2,034,500.56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职业年金缴费</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4,357,141.52 </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4,357,141.52 </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4,738,765.23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4,738,765.23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7,824,204.50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7,824,204.50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8,686,112.28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8,686,112.28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50103</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4,016,550.84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4,016,550.84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4,050,542.00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4,050,542.00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1,277,403.00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1,277,403.00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502\505</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20,117,298.19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20,117,298.19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499,200.00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499,200.00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896,000.00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896,000.00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45,760.00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45,760.00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98,560.00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98,560.00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457,600.00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457,600.00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985,600.00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985,600.00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210,000.00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210,000.00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455,000.00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455,000.00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取暖费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413,977.76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413,977.76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取暖费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821,931.63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821,931.63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158,080.00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158,080.00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340,480.00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340,480.00 </w:t>
            </w:r>
          </w:p>
        </w:tc>
      </w:tr>
      <w:tr>
        <w:tblPrEx>
          <w:tblLayout w:type="fixed"/>
          <w:tblCellMar>
            <w:top w:w="0" w:type="dxa"/>
            <w:left w:w="108" w:type="dxa"/>
            <w:bottom w:w="0" w:type="dxa"/>
            <w:right w:w="108" w:type="dxa"/>
          </w:tblCellMar>
        </w:tblPrEx>
        <w:trPr>
          <w:trHeight w:val="40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521,600.00 </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521,600.00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300,420.00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300,420.00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62,400.00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62,400.00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134,400.00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134,400.00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212,160.00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212,160.00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456,960.00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456,960.00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50206</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1,249.56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1,249.56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47,202.27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47,202.27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453,133.54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453,133.54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993,094.44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993,094.44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559,104.00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559,104.00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1,204,224.00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1,204,224.00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50208</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165,500.00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165,500.00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49,000.00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49,000.00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其他交通费用</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1,470,240.00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1,470,240.00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其他交通费用</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3,153,600.00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3,153,600.00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1,657,760.16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1,657,760.16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3,293,060.83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3,293,060.83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5,872,891.25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5,872,891.25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30301</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离休费</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1,691,517.25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1,691,517.25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30305</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生活补助</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50901</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社会福利和救助</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20,160.00 </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20,160.00 </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奖励金</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50901</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社会福利和救助</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10,000.00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10,000.00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4,151,214.00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4,151,214.00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80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总计</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191,782,417.57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171,665,119.38 </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20,117,298.19 </w:t>
            </w:r>
          </w:p>
        </w:tc>
      </w:tr>
    </w:tbl>
    <w:p>
      <w:pPr>
        <w:rPr>
          <w:rFonts w:ascii="宋体" w:hAnsi="宋体"/>
          <w:b/>
          <w:sz w:val="36"/>
          <w:szCs w:val="36"/>
        </w:rPr>
      </w:pPr>
      <w:r>
        <w:rPr>
          <w:rFonts w:hint="eastAsia" w:ascii="宋体" w:hAnsi="宋体"/>
          <w:b/>
          <w:sz w:val="36"/>
          <w:szCs w:val="36"/>
        </w:rPr>
        <w:t xml:space="preserve">                              </w:t>
      </w:r>
    </w:p>
    <w:p>
      <w:pPr>
        <w:rPr>
          <w:rFonts w:ascii="宋体" w:hAnsi="宋体"/>
          <w:b/>
          <w:sz w:val="36"/>
          <w:szCs w:val="36"/>
        </w:rPr>
      </w:pPr>
    </w:p>
    <w:p>
      <w:pPr>
        <w:rPr>
          <w:rFonts w:ascii="宋体" w:hAnsi="宋体"/>
          <w:b/>
          <w:sz w:val="36"/>
          <w:szCs w:val="36"/>
        </w:rPr>
      </w:pPr>
    </w:p>
    <w:p>
      <w:pPr>
        <w:rPr>
          <w:rFonts w:ascii="宋体" w:hAnsi="宋体"/>
          <w:b/>
          <w:sz w:val="36"/>
          <w:szCs w:val="36"/>
        </w:rPr>
      </w:pPr>
    </w:p>
    <w:p>
      <w:pPr>
        <w:widowControl/>
        <w:jc w:val="left"/>
        <w:rPr>
          <w:rFonts w:ascii="宋体" w:hAnsi="宋体"/>
          <w:b/>
          <w:sz w:val="36"/>
          <w:szCs w:val="36"/>
        </w:rPr>
        <w:sectPr>
          <w:pgSz w:w="16838" w:h="11906" w:orient="landscape"/>
          <w:pgMar w:top="1797" w:right="1440" w:bottom="1797" w:left="1440" w:header="851" w:footer="992" w:gutter="0"/>
          <w:cols w:space="425" w:num="1"/>
          <w:docGrid w:type="linesAndChars" w:linePitch="312" w:charSpace="0"/>
        </w:sectPr>
      </w:pPr>
      <w:r>
        <w:rPr>
          <w:rFonts w:hint="eastAsia" w:ascii="宋体" w:hAnsi="宋体"/>
          <w:b/>
          <w:sz w:val="36"/>
          <w:szCs w:val="36"/>
        </w:rPr>
        <w:t xml:space="preserve">      </w:t>
      </w:r>
    </w:p>
    <w:p>
      <w:pPr>
        <w:widowControl/>
        <w:jc w:val="left"/>
        <w:rPr>
          <w:rFonts w:ascii="宋体" w:hAnsi="宋体" w:cs="Arial"/>
          <w:bCs/>
          <w:kern w:val="0"/>
          <w:sz w:val="24"/>
          <w:szCs w:val="24"/>
        </w:rPr>
      </w:pPr>
      <w:r>
        <w:rPr>
          <w:rFonts w:hint="eastAsia" w:ascii="宋体" w:hAnsi="宋体" w:cs="Arial"/>
          <w:bCs/>
          <w:kern w:val="0"/>
          <w:sz w:val="24"/>
          <w:szCs w:val="24"/>
        </w:rPr>
        <w:t>表七：</w:t>
      </w:r>
    </w:p>
    <w:p>
      <w:pPr>
        <w:jc w:val="center"/>
        <w:rPr>
          <w:rFonts w:ascii="楷体_GB2312" w:hAnsi="宋体" w:eastAsia="楷体_GB2312"/>
          <w:b/>
          <w:sz w:val="36"/>
          <w:szCs w:val="36"/>
        </w:rPr>
      </w:pPr>
    </w:p>
    <w:p>
      <w:pPr>
        <w:jc w:val="center"/>
        <w:rPr>
          <w:rFonts w:ascii="宋体" w:hAnsi="宋体"/>
          <w:b/>
          <w:sz w:val="36"/>
          <w:szCs w:val="36"/>
        </w:rPr>
      </w:pPr>
      <w:r>
        <w:rPr>
          <w:rFonts w:hint="eastAsia" w:ascii="宋体" w:hAnsi="宋体"/>
          <w:b/>
          <w:sz w:val="36"/>
          <w:szCs w:val="36"/>
        </w:rPr>
        <w:t>2018年一般公共预算 “三公”经费预算支出情况表</w:t>
      </w:r>
    </w:p>
    <w:tbl>
      <w:tblPr>
        <w:tblStyle w:val="5"/>
        <w:tblW w:w="8340" w:type="dxa"/>
        <w:tblInd w:w="94" w:type="dxa"/>
        <w:tblLayout w:type="fixed"/>
        <w:tblCellMar>
          <w:top w:w="0" w:type="dxa"/>
          <w:left w:w="108" w:type="dxa"/>
          <w:bottom w:w="0" w:type="dxa"/>
          <w:right w:w="108" w:type="dxa"/>
        </w:tblCellMar>
      </w:tblPr>
      <w:tblGrid>
        <w:gridCol w:w="5500"/>
        <w:gridCol w:w="2840"/>
      </w:tblGrid>
      <w:tr>
        <w:tblPrEx>
          <w:tblLayout w:type="fixed"/>
          <w:tblCellMar>
            <w:top w:w="0" w:type="dxa"/>
            <w:left w:w="108" w:type="dxa"/>
            <w:bottom w:w="0" w:type="dxa"/>
            <w:right w:w="108" w:type="dxa"/>
          </w:tblCellMar>
        </w:tblPrEx>
        <w:trPr>
          <w:trHeight w:val="702" w:hRule="atLeast"/>
        </w:trPr>
        <w:tc>
          <w:tcPr>
            <w:tcW w:w="5500" w:type="dxa"/>
            <w:tcBorders>
              <w:top w:val="nil"/>
              <w:left w:val="nil"/>
              <w:bottom w:val="single" w:color="000000" w:sz="4" w:space="0"/>
              <w:right w:val="nil"/>
            </w:tcBorders>
            <w:shd w:val="clear" w:color="auto" w:fill="auto"/>
            <w:vAlign w:val="center"/>
          </w:tcPr>
          <w:p>
            <w:pPr>
              <w:widowControl/>
              <w:jc w:val="left"/>
              <w:rPr>
                <w:rFonts w:ascii="宋体" w:hAnsi="宋体" w:cs="Arial"/>
                <w:kern w:val="0"/>
                <w:sz w:val="18"/>
                <w:szCs w:val="18"/>
              </w:rPr>
            </w:pPr>
          </w:p>
        </w:tc>
        <w:tc>
          <w:tcPr>
            <w:tcW w:w="2840" w:type="dxa"/>
            <w:tcBorders>
              <w:top w:val="nil"/>
              <w:left w:val="nil"/>
              <w:bottom w:val="single" w:color="000000" w:sz="4" w:space="0"/>
              <w:right w:val="nil"/>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单位:元</w:t>
            </w:r>
          </w:p>
        </w:tc>
      </w:tr>
      <w:tr>
        <w:tblPrEx>
          <w:tblLayout w:type="fixed"/>
          <w:tblCellMar>
            <w:top w:w="0" w:type="dxa"/>
            <w:left w:w="108" w:type="dxa"/>
            <w:bottom w:w="0" w:type="dxa"/>
            <w:right w:w="108" w:type="dxa"/>
          </w:tblCellMar>
        </w:tblPrEx>
        <w:trPr>
          <w:trHeight w:val="702" w:hRule="atLeast"/>
        </w:trPr>
        <w:tc>
          <w:tcPr>
            <w:tcW w:w="5500" w:type="dxa"/>
            <w:tcBorders>
              <w:top w:val="single" w:color="000000" w:sz="4" w:space="0"/>
              <w:left w:val="single" w:color="000000" w:sz="4" w:space="0"/>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项目</w:t>
            </w:r>
          </w:p>
        </w:tc>
        <w:tc>
          <w:tcPr>
            <w:tcW w:w="2840" w:type="dxa"/>
            <w:tcBorders>
              <w:top w:val="single" w:color="000000" w:sz="4" w:space="0"/>
              <w:left w:val="nil"/>
              <w:bottom w:val="single" w:color="000000" w:sz="4" w:space="0"/>
              <w:right w:val="single" w:color="000000" w:sz="4" w:space="0"/>
            </w:tcBorders>
            <w:shd w:val="clear" w:color="99CCFF" w:fill="FFFFFF" w:themeFill="background1"/>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本年度预算</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1、因公出国（境）费</w:t>
            </w:r>
          </w:p>
        </w:tc>
        <w:tc>
          <w:tcPr>
            <w:tcW w:w="2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4"/>
                <w:szCs w:val="24"/>
              </w:rPr>
            </w:pPr>
            <w:r>
              <w:rPr>
                <w:rFonts w:hint="eastAsia" w:ascii="宋体" w:hAnsi="宋体" w:cs="Arial"/>
                <w:kern w:val="0"/>
                <w:sz w:val="24"/>
                <w:szCs w:val="24"/>
              </w:rPr>
              <w:t>０　</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2、公务接待费</w:t>
            </w:r>
          </w:p>
        </w:tc>
        <w:tc>
          <w:tcPr>
            <w:tcW w:w="2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4"/>
                <w:szCs w:val="24"/>
              </w:rPr>
            </w:pPr>
            <w:r>
              <w:rPr>
                <w:rFonts w:hint="eastAsia" w:ascii="宋体" w:hAnsi="宋体" w:cs="Arial"/>
                <w:kern w:val="0"/>
                <w:sz w:val="24"/>
                <w:szCs w:val="24"/>
              </w:rPr>
              <w:t>48,451.83</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3、公务用车购置及运行维护费</w:t>
            </w:r>
          </w:p>
        </w:tc>
        <w:tc>
          <w:tcPr>
            <w:tcW w:w="2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4"/>
                <w:szCs w:val="24"/>
              </w:rPr>
            </w:pPr>
            <w:r>
              <w:rPr>
                <w:rFonts w:hint="eastAsia" w:ascii="宋体" w:hAnsi="宋体" w:cs="Arial"/>
                <w:kern w:val="0"/>
                <w:sz w:val="24"/>
                <w:szCs w:val="24"/>
              </w:rPr>
              <w:t>214,500.00</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 xml:space="preserve">   其中：公务用车购置费</w:t>
            </w:r>
          </w:p>
        </w:tc>
        <w:tc>
          <w:tcPr>
            <w:tcW w:w="2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4"/>
                <w:szCs w:val="24"/>
              </w:rPr>
            </w:pPr>
            <w:r>
              <w:rPr>
                <w:rFonts w:hint="eastAsia" w:ascii="宋体" w:hAnsi="宋体" w:cs="Arial"/>
                <w:kern w:val="0"/>
                <w:sz w:val="24"/>
                <w:szCs w:val="24"/>
              </w:rPr>
              <w:t>０　</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 xml:space="preserve">         公务用车运行维护费</w:t>
            </w:r>
          </w:p>
        </w:tc>
        <w:tc>
          <w:tcPr>
            <w:tcW w:w="2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4"/>
                <w:szCs w:val="24"/>
              </w:rPr>
            </w:pPr>
            <w:r>
              <w:rPr>
                <w:rFonts w:hint="eastAsia" w:ascii="宋体" w:hAnsi="宋体" w:cs="Arial"/>
                <w:kern w:val="0"/>
                <w:sz w:val="24"/>
                <w:szCs w:val="24"/>
              </w:rPr>
              <w:t>214,500.00</w:t>
            </w:r>
          </w:p>
        </w:tc>
      </w:tr>
      <w:tr>
        <w:tblPrEx>
          <w:tblLayout w:type="fixed"/>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4"/>
                <w:szCs w:val="24"/>
              </w:rPr>
            </w:pPr>
            <w:r>
              <w:rPr>
                <w:rFonts w:hint="eastAsia" w:ascii="宋体" w:hAnsi="宋体" w:cs="Arial"/>
                <w:kern w:val="0"/>
                <w:sz w:val="24"/>
                <w:szCs w:val="24"/>
              </w:rPr>
              <w:t>总计</w:t>
            </w:r>
          </w:p>
        </w:tc>
        <w:tc>
          <w:tcPr>
            <w:tcW w:w="2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kern w:val="0"/>
                <w:sz w:val="24"/>
                <w:szCs w:val="24"/>
              </w:rPr>
            </w:pPr>
            <w:r>
              <w:rPr>
                <w:rFonts w:hint="eastAsia" w:ascii="宋体" w:hAnsi="宋体" w:cs="Arial"/>
                <w:kern w:val="0"/>
                <w:sz w:val="24"/>
                <w:szCs w:val="24"/>
              </w:rPr>
              <w:t>262,951.83</w:t>
            </w:r>
          </w:p>
        </w:tc>
      </w:tr>
    </w:tbl>
    <w:p>
      <w:pPr>
        <w:rPr>
          <w:rFonts w:ascii="宋体" w:hAnsi="宋体"/>
          <w:b/>
          <w:sz w:val="36"/>
          <w:szCs w:val="36"/>
        </w:rPr>
        <w:sectPr>
          <w:pgSz w:w="11906" w:h="16838"/>
          <w:pgMar w:top="1440" w:right="1797" w:bottom="1440" w:left="1797" w:header="851" w:footer="992" w:gutter="0"/>
          <w:cols w:space="425" w:num="1"/>
          <w:docGrid w:type="lines" w:linePitch="312" w:charSpace="0"/>
        </w:sectPr>
      </w:pPr>
    </w:p>
    <w:p>
      <w:pPr>
        <w:rPr>
          <w:sz w:val="28"/>
          <w:szCs w:val="28"/>
        </w:rPr>
      </w:pPr>
      <w:r>
        <w:rPr>
          <w:rFonts w:hint="eastAsia"/>
          <w:sz w:val="28"/>
          <w:szCs w:val="28"/>
        </w:rPr>
        <w:t>表八：</w:t>
      </w:r>
    </w:p>
    <w:p>
      <w:pPr>
        <w:jc w:val="center"/>
        <w:rPr>
          <w:rFonts w:ascii="宋体" w:hAnsi="宋体"/>
          <w:b/>
          <w:sz w:val="36"/>
          <w:szCs w:val="36"/>
        </w:rPr>
      </w:pPr>
      <w:r>
        <w:rPr>
          <w:rFonts w:hint="eastAsia" w:ascii="宋体" w:hAnsi="宋体"/>
          <w:b/>
          <w:sz w:val="36"/>
          <w:szCs w:val="36"/>
        </w:rPr>
        <w:t>2018年政府性基金预算支出情况表</w:t>
      </w:r>
    </w:p>
    <w:p>
      <w:pPr>
        <w:jc w:val="center"/>
        <w:rPr>
          <w:rFonts w:ascii="楷体_GB2312" w:hAnsi="宋体" w:eastAsia="楷体_GB2312"/>
          <w:b/>
          <w:sz w:val="36"/>
          <w:szCs w:val="36"/>
        </w:rPr>
      </w:pPr>
    </w:p>
    <w:p>
      <w:pPr>
        <w:wordWrap w:val="0"/>
        <w:ind w:firstLine="560" w:firstLineChars="200"/>
        <w:jc w:val="right"/>
        <w:rPr>
          <w:rFonts w:ascii="楷体_GB2312" w:hAnsi="宋体" w:eastAsia="楷体_GB2312"/>
          <w:sz w:val="28"/>
          <w:szCs w:val="28"/>
        </w:rPr>
      </w:pPr>
      <w:r>
        <w:rPr>
          <w:rFonts w:hint="eastAsia" w:ascii="楷体_GB2312" w:hAnsi="宋体" w:eastAsia="楷体_GB2312"/>
          <w:sz w:val="28"/>
          <w:szCs w:val="28"/>
        </w:rPr>
        <w:t>单位：元</w:t>
      </w:r>
    </w:p>
    <w:tbl>
      <w:tblPr>
        <w:tblStyle w:val="5"/>
        <w:tblW w:w="9588" w:type="dxa"/>
        <w:tblInd w:w="-550" w:type="dxa"/>
        <w:tblLayout w:type="fixed"/>
        <w:tblCellMar>
          <w:top w:w="0" w:type="dxa"/>
          <w:left w:w="108" w:type="dxa"/>
          <w:bottom w:w="0" w:type="dxa"/>
          <w:right w:w="108" w:type="dxa"/>
        </w:tblCellMar>
      </w:tblPr>
      <w:tblGrid>
        <w:gridCol w:w="1548"/>
        <w:gridCol w:w="3525"/>
        <w:gridCol w:w="1365"/>
        <w:gridCol w:w="1462"/>
        <w:gridCol w:w="1688"/>
      </w:tblGrid>
      <w:tr>
        <w:tblPrEx>
          <w:tblLayout w:type="fixed"/>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szCs w:val="24"/>
              </w:rPr>
              <w:t>科目编码</w:t>
            </w:r>
          </w:p>
        </w:tc>
        <w:tc>
          <w:tcPr>
            <w:tcW w:w="35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szCs w:val="24"/>
              </w:rPr>
              <w:t>科目名称（项级）</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szCs w:val="24"/>
              </w:rPr>
              <w:t>总计</w:t>
            </w:r>
          </w:p>
        </w:tc>
        <w:tc>
          <w:tcPr>
            <w:tcW w:w="14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szCs w:val="24"/>
              </w:rPr>
              <w:t>基本支出</w:t>
            </w:r>
          </w:p>
        </w:tc>
        <w:tc>
          <w:tcPr>
            <w:tcW w:w="16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4"/>
                <w:szCs w:val="24"/>
              </w:rPr>
              <w:t>项目支出</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4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68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０</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hAnsi="宋体" w:cs="宋体"/>
                <w:kern w:val="0"/>
                <w:sz w:val="24"/>
                <w:szCs w:val="24"/>
              </w:rPr>
            </w:pPr>
          </w:p>
        </w:tc>
        <w:tc>
          <w:tcPr>
            <w:tcW w:w="136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8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52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hAnsi="宋体" w:cs="宋体"/>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bl>
    <w:p>
      <w:pPr>
        <w:sectPr>
          <w:pgSz w:w="11906" w:h="16838"/>
          <w:pgMar w:top="1440" w:right="1797" w:bottom="1440" w:left="1797" w:header="851" w:footer="992" w:gutter="0"/>
          <w:cols w:space="425" w:num="1"/>
          <w:docGrid w:type="linesAndChars" w:linePitch="312" w:charSpace="0"/>
        </w:sectPr>
      </w:pPr>
    </w:p>
    <w:p>
      <w:pPr>
        <w:rPr>
          <w:sz w:val="28"/>
          <w:szCs w:val="28"/>
        </w:rPr>
      </w:pPr>
      <w:r>
        <w:rPr>
          <w:rFonts w:hint="eastAsia"/>
          <w:sz w:val="28"/>
          <w:szCs w:val="28"/>
        </w:rPr>
        <w:t>表九：</w:t>
      </w:r>
    </w:p>
    <w:p>
      <w:pPr>
        <w:jc w:val="center"/>
        <w:rPr>
          <w:rFonts w:ascii="宋体" w:hAnsi="宋体"/>
          <w:b/>
          <w:sz w:val="36"/>
          <w:szCs w:val="36"/>
        </w:rPr>
      </w:pPr>
      <w:r>
        <w:rPr>
          <w:rFonts w:hint="eastAsia" w:ascii="宋体" w:hAnsi="宋体"/>
          <w:b/>
          <w:sz w:val="36"/>
          <w:szCs w:val="36"/>
        </w:rPr>
        <w:t>2018年部门预算明细表</w:t>
      </w:r>
    </w:p>
    <w:p>
      <w:pPr>
        <w:wordWrap w:val="0"/>
        <w:ind w:firstLine="723" w:firstLineChars="200"/>
        <w:jc w:val="right"/>
        <w:rPr>
          <w:rFonts w:ascii="楷体_GB2312" w:hAnsi="宋体" w:eastAsia="楷体_GB2312"/>
          <w:sz w:val="28"/>
          <w:szCs w:val="28"/>
        </w:rPr>
      </w:pPr>
      <w:r>
        <w:rPr>
          <w:rFonts w:hint="eastAsia" w:ascii="宋体" w:hAnsi="宋体"/>
          <w:b/>
          <w:sz w:val="36"/>
          <w:szCs w:val="36"/>
        </w:rPr>
        <w:t xml:space="preserve">                                                                 </w:t>
      </w:r>
      <w:r>
        <w:rPr>
          <w:rFonts w:hint="eastAsia" w:ascii="楷体_GB2312" w:hAnsi="宋体" w:eastAsia="楷体_GB2312"/>
          <w:sz w:val="28"/>
          <w:szCs w:val="28"/>
        </w:rPr>
        <w:t xml:space="preserve"> 单位：元</w:t>
      </w:r>
    </w:p>
    <w:tbl>
      <w:tblPr>
        <w:tblStyle w:val="5"/>
        <w:tblW w:w="14720" w:type="dxa"/>
        <w:tblInd w:w="93" w:type="dxa"/>
        <w:tblLayout w:type="fixed"/>
        <w:tblCellMar>
          <w:top w:w="0" w:type="dxa"/>
          <w:left w:w="108" w:type="dxa"/>
          <w:bottom w:w="0" w:type="dxa"/>
          <w:right w:w="108" w:type="dxa"/>
        </w:tblCellMar>
      </w:tblPr>
      <w:tblGrid>
        <w:gridCol w:w="960"/>
        <w:gridCol w:w="2980"/>
        <w:gridCol w:w="880"/>
        <w:gridCol w:w="1400"/>
        <w:gridCol w:w="1200"/>
        <w:gridCol w:w="1660"/>
        <w:gridCol w:w="3980"/>
        <w:gridCol w:w="1660"/>
      </w:tblGrid>
      <w:tr>
        <w:tblPrEx>
          <w:tblLayout w:type="fixed"/>
          <w:tblCellMar>
            <w:top w:w="0" w:type="dxa"/>
            <w:left w:w="108" w:type="dxa"/>
            <w:bottom w:w="0" w:type="dxa"/>
            <w:right w:w="108" w:type="dxa"/>
          </w:tblCellMar>
        </w:tblPrEx>
        <w:trPr>
          <w:trHeight w:val="699" w:hRule="atLeast"/>
        </w:trPr>
        <w:tc>
          <w:tcPr>
            <w:tcW w:w="96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功能分类代码</w:t>
            </w:r>
          </w:p>
        </w:tc>
        <w:tc>
          <w:tcPr>
            <w:tcW w:w="298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功能分类名称</w:t>
            </w:r>
          </w:p>
        </w:tc>
        <w:tc>
          <w:tcPr>
            <w:tcW w:w="88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部门经济分类名称</w:t>
            </w:r>
          </w:p>
        </w:tc>
        <w:tc>
          <w:tcPr>
            <w:tcW w:w="1200" w:type="dxa"/>
            <w:tcBorders>
              <w:top w:val="single" w:color="000000" w:sz="4" w:space="0"/>
              <w:left w:val="nil"/>
              <w:bottom w:val="single" w:color="000000" w:sz="4" w:space="0"/>
              <w:right w:val="single" w:color="000000" w:sz="4" w:space="0"/>
            </w:tcBorders>
            <w:shd w:val="clear" w:color="99CCFF" w:fill="FFFFFF"/>
            <w:vAlign w:val="center"/>
          </w:tcPr>
          <w:p>
            <w:pPr>
              <w:widowControl/>
              <w:jc w:val="left"/>
              <w:rPr>
                <w:rFonts w:ascii="宋体" w:hAnsi="宋体" w:cs="Arial"/>
                <w:b/>
                <w:bCs/>
                <w:kern w:val="0"/>
                <w:sz w:val="18"/>
                <w:szCs w:val="18"/>
              </w:rPr>
            </w:pPr>
            <w:r>
              <w:rPr>
                <w:rFonts w:hint="eastAsia" w:ascii="宋体" w:hAnsi="宋体" w:cs="Arial"/>
                <w:b/>
                <w:bCs/>
                <w:kern w:val="0"/>
                <w:sz w:val="18"/>
                <w:szCs w:val="18"/>
              </w:rPr>
              <w:t>政府经济分类代码</w:t>
            </w:r>
          </w:p>
        </w:tc>
        <w:tc>
          <w:tcPr>
            <w:tcW w:w="1660" w:type="dxa"/>
            <w:tcBorders>
              <w:top w:val="single" w:color="000000" w:sz="4" w:space="0"/>
              <w:left w:val="nil"/>
              <w:bottom w:val="single" w:color="000000" w:sz="4" w:space="0"/>
              <w:right w:val="single" w:color="000000" w:sz="4" w:space="0"/>
            </w:tcBorders>
            <w:shd w:val="clear" w:color="99CCFF" w:fill="FFFFFF"/>
            <w:vAlign w:val="center"/>
          </w:tcPr>
          <w:p>
            <w:pPr>
              <w:widowControl/>
              <w:jc w:val="left"/>
              <w:rPr>
                <w:rFonts w:ascii="宋体" w:hAnsi="宋体" w:cs="Arial"/>
                <w:b/>
                <w:bCs/>
                <w:kern w:val="0"/>
                <w:sz w:val="18"/>
                <w:szCs w:val="18"/>
              </w:rPr>
            </w:pPr>
            <w:r>
              <w:rPr>
                <w:rFonts w:hint="eastAsia" w:ascii="宋体" w:hAnsi="宋体" w:cs="Arial"/>
                <w:b/>
                <w:bCs/>
                <w:kern w:val="0"/>
                <w:sz w:val="18"/>
                <w:szCs w:val="18"/>
              </w:rPr>
              <w:t>政府经济分类名称</w:t>
            </w:r>
          </w:p>
        </w:tc>
        <w:tc>
          <w:tcPr>
            <w:tcW w:w="398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项目名称</w:t>
            </w:r>
          </w:p>
        </w:tc>
        <w:tc>
          <w:tcPr>
            <w:tcW w:w="166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预算金额</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2011006</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军队转业干部安置</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随军家属安置经费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3,275,000.00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2011010</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公务员履职能力提升</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50203</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公务员及专业技术人员教育经费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3,500,000.00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2011012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公务员综合管理</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公务员管理经费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805,000.00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2011099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全区人力资源管理工作经费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326,700.00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2011099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事业单位公招工作经费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780,000.00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2011099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全区机构编制工作经费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255,100.00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13,206,516.00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6,673,704.00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33,522,120.00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1,735,050.00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820,690.00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15,021,696.00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奖金</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人员支出（在职统发）_奖金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7,765,600.00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奖金</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人员支出（在职统发）_奖金</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17,160,800.00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245,923.32</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696,156.09</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556,142.00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人员支出（在职非统发）_其他工资福利支出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3,398,400.00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1,100,543.00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854,000.00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93,940.00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939,400.00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432,000.00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201,000.00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取暖费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日常公用支出（在职人员）_取暖费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413,977.76</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取暖费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日常公用支出（在职人员）_取暖费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821,931.63</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324,520.00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152,000.00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296,220.00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521,600.00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128,100.00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50203</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204,000.00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435,540.00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43,994.55</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934,572.72</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433,908.00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1,147,776.00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537,600.00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50208</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日常公用支出（在职人员）_公务用车运行维护费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165,500.00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其他交通费用</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对个人和家庭补助支出（在职统发）_其他交通费用</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3,096,000.00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其他交通费用</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对个人和家庭补助支出（在职统发）_其他交通费用</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1,470,240.00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1,532,551.00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3,046,209.54</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3,789,240.00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对个人和家庭补助支出（在职非统发）_其他对个人和家庭的补助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250,320.00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565,416.00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32,120.00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奖金</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人员支出（在职统发）_奖金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321,600.00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9,279.76</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20,860.00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6,080.00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8,160.00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1,225.56</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16,314.72</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21,504.00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其他交通费用</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对个人和家庭补助支出（在职统发）_其他交通费用</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57,600.00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73,756.04</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63,420.00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212,220.00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31,488.00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31,140.00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人员支出（在职统发）_绩效工资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749,057.00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16,778.50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50199</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96,000.00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6,080.00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50203</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8,160.00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50206</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1,249.56</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19,225.54</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21,504.00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14,419.16</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1,632,374.87</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784,095.63</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仲裁院食堂运行经费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办公大厦运行维护费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3,927,000.00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社保大厦食堂运行经费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1,080,000.00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保安服务经费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2,236,800.00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2080103</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机关服务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物业管理费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办公大厦物业管理费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4,631,836.80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2080104</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综合业务管理</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人力社保工作经费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2080105</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劳动保障监察</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劳动监察工作经费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347,000.00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2080108</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信息化建设</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30907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信息网络及软件购置更新</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50404</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设备购置</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西城区机关工资审核管理系统</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241,000.00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2080108</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信息化建设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31007</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信息网络及软件购置更新</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50306</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设备购置</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对外服务平台二期项目系统</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638,400.00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2080108</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信息化建设</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31007</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信息网络及软件购置更新</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50306</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设备购置</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综合办公平台二期项目</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175,200.00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2080108</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信息化建设</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信息网络及软件购置更新</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50306</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设备购置</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办事大厅智能咨询项目</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797,504.00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业务档案外包加工费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778,200.00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公告专审费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141,900.00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2080110</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劳动关系和维权</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"和谐劳动关系单位"创建及劳动关系工作经费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495,000.00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劳务费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鉴定及督考工作经费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29,056.96</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就业促进与职业能力建设工作经费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135,000.00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劳动人事争议调解仲裁</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仲裁工作经费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499,000.00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代管退休人员工资补差</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85,000.00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就业大厦食堂运行经费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432,000.00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设备维修耗材及印刷</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党建工作经费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1,188,000.00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人力资源市场工作经费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印刷费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设备维修耗材及印刷</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取暖费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自主择业军转干部档案管理与服务</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4,700,000.00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运营费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西城人力社保大厦更换生活水箱工程</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125,000.00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地下租赁仓库装修改造工程</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设备维修耗材及印刷</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租赁费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50201</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办公经费</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档案库租赁费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855,370.00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租赁费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广华轩房屋租金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1,680,000.00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租赁费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德外库房租金</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业务费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218,000.00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人力资源市场工作经费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档案数字化加工服务</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1,322,600.00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自主择业军转干部档案管理与服务</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信息化设备运维外包服务费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西城区人事档案数字化建设项目</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217,500.00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人力资源和社会保障宣传和信息经费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1,955,600.00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西城区人力社保障标准体系运行工作经费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考试事务工作经费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流动人才党员活动站</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293,600.00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企业退休人员服务经费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1,059,970.00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自主择业军转干部档案管理与服务</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劳动能力鉴定工作经费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455,700.00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内控机制建设工作经费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综合绩效管理工作经费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339,200.00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对外服务大厅功能调整经费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317,000.00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30905</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基础设施建设</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50402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基础设施建设</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社保大厦配电增容改造工程</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3,738,800.00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30906</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大型修缮</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50405</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社保大厦装修改造工程</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17,019,400.00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30999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其他基本建设支出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50499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就业大厦装修二期</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电子设备</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50306</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设备购置</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电子办公设备采购</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316,400.00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50306</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设备购置</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计算机采购</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444,500.00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购置办公家具</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187,000.00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购置电子设备</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432,000.00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专用设备购置</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购置视频会议系统</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专用设备购置</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购置试卷手持清点终端</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31006</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大型修缮</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流动人才党员活动站</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1,810,000.00</w:t>
            </w:r>
          </w:p>
        </w:tc>
      </w:tr>
      <w:tr>
        <w:tblPrEx>
          <w:tblLayout w:type="fixed"/>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31099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其他资本性支出</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50399</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办公家具购置</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391,090.00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对个人和家庭补助支出（离休统发）_津贴补贴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66,310.00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618,600.00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109,670.00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47,110.00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离休费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50905</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离退休费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对个人和家庭补助支出（离休统发）_离休费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1,691,517.25</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生活补助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社会福利和救助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对个人和家庭补助支出（离退休非统发）_生活补助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20,160.00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奖励金</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社会福利和救助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对个人和家庭补助支出（离退休非统发）_奖励金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对个人和家庭补助支出（离退休非统发）_其他对个人和家庭的补助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44,640.00</w:t>
            </w:r>
          </w:p>
        </w:tc>
      </w:tr>
      <w:tr>
        <w:tblPrEx>
          <w:tblLayout w:type="fixed"/>
          <w:tblCellMar>
            <w:top w:w="0" w:type="dxa"/>
            <w:left w:w="108" w:type="dxa"/>
            <w:bottom w:w="0" w:type="dxa"/>
            <w:right w:w="108" w:type="dxa"/>
          </w:tblCellMar>
        </w:tblPrEx>
        <w:trPr>
          <w:trHeight w:val="7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归口管理的行政单位离退休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对个人和家庭补助支出（离休统发）_其他对个人和家庭的补助</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65,880.00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9,770.00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46,860.00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5,610.00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对个人和家庭补助支出（离退休非统发）_其他对个人和家庭的补助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80,794.00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2080505</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人员支出（在职非统发）_机关事业单位基本养老保险缴费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5,086,251.40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2080505</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机关事业单位基本养老保险缴费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人员支出（在职非统发）_机关事业单位基本养老保险缴费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10,892,853.80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2080506</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机关事业单位职业年金缴费支出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职业年金缴费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人员支出（在职非统发）_职业年金缴费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2,034,500.56</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2080506</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机关事业单位职业年金缴费支出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职业年金缴费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人员支出（在职非统发）_职业年金缴费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4,357,141.52</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其他行政事业单位离退休支出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机关、事业单位退休人员活动经费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1,850,000.00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2080599</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其他行政事业单位离退休支出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区县离休干部生活补贴支出</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13,937,500.00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职业培训补贴</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50203</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失业人员培训补贴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2,284,792.00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2080799</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其他就业补助支出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31299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其他对企业补助</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50799</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其他对企业补助</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就业专项补贴资金</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4,710,000.00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其他就业补助支出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其他对企业补助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50799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其他对企业补助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区自谋职业（自主创业）社会保险补贴及创业奖励</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658,056.88</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2081002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老年福利</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城乡无社会保障老年居民养老保障支出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67,413,000.00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2082602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财政对城乡居民基本养老保险基金的补助</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城乡居民养老保险支出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19,852,580.00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基本工资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438,000.00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56,304.00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53,910.00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绩效工资</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人员支出（在职统发）_绩效工资</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1,672,350.00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38,413.68</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156,000.00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2,860.00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电费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28,600.00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邮电费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差旅费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9,880.00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2,600.00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13,260.00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1,982.16</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工会经费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42,207.00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福利费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34,944.00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日常公用支出（在职人员）_公务用车运行维护费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120,375.25</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52,240.00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运行维护费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业务经费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59,897.87</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行政单位医疗</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3,197,003.16</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行政单位医疗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6,830,666.05</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2101102</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事业单位医疗</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109,060.25</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2101102</w:t>
            </w:r>
          </w:p>
        </w:tc>
        <w:tc>
          <w:tcPr>
            <w:tcW w:w="298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事业单位医疗</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6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249,688.92</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2101199</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其他行政事业单位医疗支出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社会保障缴费</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对个人和家庭补助支出（离退休非统发）_其他社会保障缴费</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1,170,000.00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2101101</w:t>
            </w:r>
          </w:p>
        </w:tc>
        <w:tc>
          <w:tcPr>
            <w:tcW w:w="298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行政单位医疗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其他社会保障缴费</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自主择业军转干部医疗保险</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21,130,000.00</w:t>
            </w:r>
          </w:p>
        </w:tc>
      </w:tr>
      <w:tr>
        <w:tblPrEx>
          <w:tblLayout w:type="fixed"/>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2101204</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财政对城镇居民基本医疗保险基金的补助</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城镇居民基本医疗保险财政补助资金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221,166,360.00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对个人和家庭补助支出（在职非统发）_住房公积金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8,686,112.28</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2210201</w:t>
            </w:r>
          </w:p>
        </w:tc>
        <w:tc>
          <w:tcPr>
            <w:tcW w:w="298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50103</w:t>
            </w:r>
          </w:p>
        </w:tc>
        <w:tc>
          <w:tcPr>
            <w:tcW w:w="1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39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对个人和家庭补助支出（在职非统发）_住房公积金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4,016,550.84</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000000" w:sz="4" w:space="0"/>
              <w:bottom w:val="nil"/>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80" w:type="dxa"/>
            <w:tcBorders>
              <w:top w:val="nil"/>
              <w:left w:val="nil"/>
              <w:bottom w:val="nil"/>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80"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对个人和家庭补助支出（离退休非统发）_津贴补贴</w:t>
            </w:r>
          </w:p>
        </w:tc>
        <w:tc>
          <w:tcPr>
            <w:tcW w:w="166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2,160.00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11,880.00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对个人和家庭补助支出（离退休非统发）_津贴补贴</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10,560.00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6,960.00</w:t>
            </w:r>
          </w:p>
        </w:tc>
      </w:tr>
      <w:tr>
        <w:tblPrEx>
          <w:tblLayout w:type="fixed"/>
          <w:tblCellMar>
            <w:top w:w="0" w:type="dxa"/>
            <w:left w:w="108" w:type="dxa"/>
            <w:bottom w:w="0" w:type="dxa"/>
            <w:right w:w="108" w:type="dxa"/>
          </w:tblCellMar>
        </w:tblPrEx>
        <w:trPr>
          <w:trHeight w:val="396" w:hRule="atLeast"/>
        </w:trPr>
        <w:tc>
          <w:tcPr>
            <w:tcW w:w="960"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98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8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50101</w:t>
            </w:r>
          </w:p>
        </w:tc>
        <w:tc>
          <w:tcPr>
            <w:tcW w:w="166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工资奖金津补贴</w:t>
            </w:r>
          </w:p>
        </w:tc>
        <w:tc>
          <w:tcPr>
            <w:tcW w:w="398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对个人和家庭补助支出（在职非统发）_津贴补贴</w:t>
            </w:r>
          </w:p>
        </w:tc>
        <w:tc>
          <w:tcPr>
            <w:tcW w:w="1660" w:type="dxa"/>
            <w:tcBorders>
              <w:top w:val="single" w:color="000000"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3,491,412.00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对个人和家庭补助支出（在职非统发）_津贴补贴</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7,852,200.00</w:t>
            </w:r>
          </w:p>
        </w:tc>
      </w:tr>
      <w:tr>
        <w:tblPrEx>
          <w:tblLayout w:type="fixed"/>
          <w:tblCellMar>
            <w:top w:w="0" w:type="dxa"/>
            <w:left w:w="108" w:type="dxa"/>
            <w:bottom w:w="0" w:type="dxa"/>
            <w:right w:w="108" w:type="dxa"/>
          </w:tblCellMar>
        </w:tblPrEx>
        <w:trPr>
          <w:trHeight w:val="396"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军转干部住房补贴</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34,447,300.00</w:t>
            </w:r>
          </w:p>
        </w:tc>
      </w:tr>
      <w:tr>
        <w:tblPrEx>
          <w:tblLayout w:type="fixed"/>
          <w:tblCellMar>
            <w:top w:w="0" w:type="dxa"/>
            <w:left w:w="108" w:type="dxa"/>
            <w:bottom w:w="0" w:type="dxa"/>
            <w:right w:w="108" w:type="dxa"/>
          </w:tblCellMar>
        </w:tblPrEx>
        <w:trPr>
          <w:trHeight w:val="396"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津贴补贴</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购房补贴</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1,503,019.00</w:t>
            </w:r>
          </w:p>
        </w:tc>
      </w:tr>
      <w:tr>
        <w:tblPrEx>
          <w:tblLayout w:type="fixed"/>
          <w:tblCellMar>
            <w:top w:w="0" w:type="dxa"/>
            <w:left w:w="108" w:type="dxa"/>
            <w:bottom w:w="0" w:type="dxa"/>
            <w:right w:w="108" w:type="dxa"/>
          </w:tblCellMar>
        </w:tblPrEx>
        <w:trPr>
          <w:trHeight w:val="528" w:hRule="atLeast"/>
        </w:trPr>
        <w:tc>
          <w:tcPr>
            <w:tcW w:w="1306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166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20"/>
                <w:szCs w:val="20"/>
              </w:rPr>
            </w:pPr>
            <w:r>
              <w:rPr>
                <w:rFonts w:ascii="Arial" w:hAnsi="Arial" w:cs="Arial"/>
                <w:kern w:val="0"/>
                <w:sz w:val="20"/>
                <w:szCs w:val="20"/>
              </w:rPr>
              <w:t>652,197,731.58</w:t>
            </w:r>
          </w:p>
        </w:tc>
      </w:tr>
    </w:tbl>
    <w:p/>
    <w:p>
      <w:pPr>
        <w:rPr>
          <w:rFonts w:ascii="宋体" w:hAnsi="宋体" w:cs="Arial"/>
          <w:bCs/>
          <w:kern w:val="0"/>
          <w:sz w:val="24"/>
          <w:szCs w:val="24"/>
        </w:rPr>
        <w:sectPr>
          <w:pgSz w:w="16838" w:h="11906" w:orient="landscape"/>
          <w:pgMar w:top="1797" w:right="1440" w:bottom="1797" w:left="1440" w:header="851" w:footer="992" w:gutter="0"/>
          <w:cols w:space="425" w:num="1"/>
          <w:docGrid w:type="lines" w:linePitch="312" w:charSpace="0"/>
        </w:sectPr>
      </w:pPr>
    </w:p>
    <w:p>
      <w:r>
        <w:rPr>
          <w:rFonts w:hint="eastAsia" w:ascii="宋体" w:hAnsi="宋体" w:cs="Arial"/>
          <w:bCs/>
          <w:kern w:val="0"/>
          <w:sz w:val="24"/>
          <w:szCs w:val="24"/>
        </w:rPr>
        <w:t>表十：</w:t>
      </w:r>
      <w:r>
        <w:t xml:space="preserve"> </w:t>
      </w:r>
    </w:p>
    <w:tbl>
      <w:tblPr>
        <w:tblStyle w:val="5"/>
        <w:tblW w:w="14660" w:type="dxa"/>
        <w:tblInd w:w="93" w:type="dxa"/>
        <w:tblLayout w:type="fixed"/>
        <w:tblCellMar>
          <w:top w:w="0" w:type="dxa"/>
          <w:left w:w="108" w:type="dxa"/>
          <w:bottom w:w="0" w:type="dxa"/>
          <w:right w:w="108" w:type="dxa"/>
        </w:tblCellMar>
      </w:tblPr>
      <w:tblGrid>
        <w:gridCol w:w="5907"/>
        <w:gridCol w:w="2458"/>
        <w:gridCol w:w="3837"/>
        <w:gridCol w:w="2458"/>
      </w:tblGrid>
      <w:tr>
        <w:tblPrEx>
          <w:tblLayout w:type="fixed"/>
          <w:tblCellMar>
            <w:top w:w="0" w:type="dxa"/>
            <w:left w:w="108" w:type="dxa"/>
            <w:bottom w:w="0" w:type="dxa"/>
            <w:right w:w="108" w:type="dxa"/>
          </w:tblCellMar>
        </w:tblPrEx>
        <w:trPr>
          <w:trHeight w:val="615" w:hRule="atLeast"/>
        </w:trPr>
        <w:tc>
          <w:tcPr>
            <w:tcW w:w="14660" w:type="dxa"/>
            <w:gridSpan w:val="4"/>
            <w:tcBorders>
              <w:top w:val="nil"/>
              <w:left w:val="nil"/>
              <w:bottom w:val="nil"/>
              <w:right w:val="nil"/>
            </w:tcBorders>
            <w:shd w:val="clear" w:color="000000" w:fill="FFFFFF"/>
            <w:noWrap/>
            <w:vAlign w:val="center"/>
          </w:tcPr>
          <w:p>
            <w:pPr>
              <w:jc w:val="center"/>
              <w:rPr>
                <w:rFonts w:ascii="宋体" w:hAnsi="宋体" w:cs="宋体"/>
                <w:kern w:val="0"/>
                <w:sz w:val="54"/>
                <w:szCs w:val="54"/>
              </w:rPr>
            </w:pPr>
            <w:r>
              <w:rPr>
                <w:rFonts w:hint="eastAsia" w:ascii="宋体" w:hAnsi="宋体"/>
                <w:b/>
                <w:sz w:val="36"/>
                <w:szCs w:val="36"/>
              </w:rPr>
              <w:t>2018年社会保险基金预算收支总表</w:t>
            </w:r>
          </w:p>
        </w:tc>
      </w:tr>
      <w:tr>
        <w:tblPrEx>
          <w:tblLayout w:type="fixed"/>
          <w:tblCellMar>
            <w:top w:w="0" w:type="dxa"/>
            <w:left w:w="108" w:type="dxa"/>
            <w:bottom w:w="0" w:type="dxa"/>
            <w:right w:w="108" w:type="dxa"/>
          </w:tblCellMar>
        </w:tblPrEx>
        <w:trPr>
          <w:trHeight w:val="300" w:hRule="atLeast"/>
        </w:trPr>
        <w:tc>
          <w:tcPr>
            <w:tcW w:w="5907" w:type="dxa"/>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58" w:type="dxa"/>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58" w:type="dxa"/>
            <w:tcBorders>
              <w:top w:val="nil"/>
              <w:left w:val="nil"/>
              <w:bottom w:val="single" w:color="auto" w:sz="4" w:space="0"/>
              <w:right w:val="nil"/>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单位：元</w:t>
            </w:r>
          </w:p>
        </w:tc>
      </w:tr>
      <w:tr>
        <w:tblPrEx>
          <w:tblLayout w:type="fixed"/>
          <w:tblCellMar>
            <w:top w:w="0" w:type="dxa"/>
            <w:left w:w="108" w:type="dxa"/>
            <w:bottom w:w="0" w:type="dxa"/>
            <w:right w:w="108" w:type="dxa"/>
          </w:tblCellMar>
        </w:tblPrEx>
        <w:trPr>
          <w:trHeight w:val="750" w:hRule="atLeast"/>
        </w:trPr>
        <w:tc>
          <w:tcPr>
            <w:tcW w:w="59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24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2018年预算数</w:t>
            </w:r>
          </w:p>
        </w:tc>
        <w:tc>
          <w:tcPr>
            <w:tcW w:w="38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项        目</w:t>
            </w:r>
          </w:p>
        </w:tc>
        <w:tc>
          <w:tcPr>
            <w:tcW w:w="24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2018年预算数</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auto"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一、个人缴费收入</w:t>
            </w:r>
          </w:p>
        </w:tc>
        <w:tc>
          <w:tcPr>
            <w:tcW w:w="2458"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2,384,600.00 </w:t>
            </w:r>
          </w:p>
        </w:tc>
        <w:tc>
          <w:tcPr>
            <w:tcW w:w="3837"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一、基础养老金支出</w:t>
            </w:r>
          </w:p>
        </w:tc>
        <w:tc>
          <w:tcPr>
            <w:tcW w:w="2458"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80,332,238.00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auto"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其中：财政对困难人员代缴收入</w:t>
            </w:r>
          </w:p>
        </w:tc>
        <w:tc>
          <w:tcPr>
            <w:tcW w:w="24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781,000.00 </w:t>
            </w:r>
          </w:p>
        </w:tc>
        <w:tc>
          <w:tcPr>
            <w:tcW w:w="3837"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二、个人账户养老金支出</w:t>
            </w:r>
          </w:p>
        </w:tc>
        <w:tc>
          <w:tcPr>
            <w:tcW w:w="24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2,217,707.00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二、集体补助收入</w:t>
            </w:r>
          </w:p>
        </w:tc>
        <w:tc>
          <w:tcPr>
            <w:tcW w:w="24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三、丧葬补助金支出</w:t>
            </w:r>
          </w:p>
        </w:tc>
        <w:tc>
          <w:tcPr>
            <w:tcW w:w="2458"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3,725,000.00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三、利息收入</w:t>
            </w:r>
          </w:p>
        </w:tc>
        <w:tc>
          <w:tcPr>
            <w:tcW w:w="2458"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115,000.00 </w:t>
            </w:r>
          </w:p>
        </w:tc>
        <w:tc>
          <w:tcPr>
            <w:tcW w:w="38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24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四、财政补贴收入</w:t>
            </w:r>
          </w:p>
        </w:tc>
        <w:tc>
          <w:tcPr>
            <w:tcW w:w="2458"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84,295,654.00 </w:t>
            </w:r>
          </w:p>
        </w:tc>
        <w:tc>
          <w:tcPr>
            <w:tcW w:w="38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24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其中：对基础养老金的补贴收入</w:t>
            </w:r>
          </w:p>
        </w:tc>
        <w:tc>
          <w:tcPr>
            <w:tcW w:w="2458"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80,531,780.00 </w:t>
            </w:r>
          </w:p>
        </w:tc>
        <w:tc>
          <w:tcPr>
            <w:tcW w:w="38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24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对个人缴费的补贴收入</w:t>
            </w:r>
          </w:p>
        </w:tc>
        <w:tc>
          <w:tcPr>
            <w:tcW w:w="2458"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38,874.00 </w:t>
            </w:r>
          </w:p>
        </w:tc>
        <w:tc>
          <w:tcPr>
            <w:tcW w:w="38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24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五、委托投资收益</w:t>
            </w:r>
          </w:p>
        </w:tc>
        <w:tc>
          <w:tcPr>
            <w:tcW w:w="2458" w:type="dxa"/>
            <w:tcBorders>
              <w:top w:val="nil"/>
              <w:left w:val="nil"/>
              <w:bottom w:val="single" w:color="000000" w:sz="4" w:space="0"/>
              <w:right w:val="single" w:color="auto"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2458" w:type="dxa"/>
            <w:tcBorders>
              <w:top w:val="nil"/>
              <w:left w:val="nil"/>
              <w:bottom w:val="single" w:color="000000" w:sz="4" w:space="0"/>
              <w:right w:val="single" w:color="auto"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六、其他收入</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四、其他支出</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七、转移收入</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430,000.00 </w:t>
            </w:r>
          </w:p>
        </w:tc>
        <w:tc>
          <w:tcPr>
            <w:tcW w:w="383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五、转移支出</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160,000.00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八、本年收入小计</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87,225,254.00 </w:t>
            </w:r>
          </w:p>
        </w:tc>
        <w:tc>
          <w:tcPr>
            <w:tcW w:w="3837" w:type="dxa"/>
            <w:tcBorders>
              <w:top w:val="nil"/>
              <w:left w:val="nil"/>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六、本年支出小计</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86,434,945.00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九、上级补助收入</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七、补助下级支出</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十、下级上解收入</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八、上解上级支出</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十一、本年收入合计</w:t>
            </w:r>
          </w:p>
        </w:tc>
        <w:tc>
          <w:tcPr>
            <w:tcW w:w="2458" w:type="dxa"/>
            <w:tcBorders>
              <w:top w:val="nil"/>
              <w:left w:val="nil"/>
              <w:bottom w:val="single" w:color="auto"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87,225,254.00 </w:t>
            </w:r>
          </w:p>
        </w:tc>
        <w:tc>
          <w:tcPr>
            <w:tcW w:w="3837" w:type="dxa"/>
            <w:tcBorders>
              <w:top w:val="nil"/>
              <w:left w:val="nil"/>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九、本年支出合计</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86,434,945.00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2458" w:type="dxa"/>
            <w:tcBorders>
              <w:top w:val="nil"/>
              <w:left w:val="nil"/>
              <w:bottom w:val="single" w:color="auto" w:sz="4" w:space="0"/>
              <w:right w:val="single" w:color="000000"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837"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十、本年收支结余</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790,309.00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000000" w:sz="4" w:space="0"/>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十二、上年结余</w:t>
            </w:r>
          </w:p>
        </w:tc>
        <w:tc>
          <w:tcPr>
            <w:tcW w:w="2458" w:type="dxa"/>
            <w:tcBorders>
              <w:top w:val="nil"/>
              <w:left w:val="nil"/>
              <w:bottom w:val="single" w:color="auto"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38,450,562.06 </w:t>
            </w:r>
          </w:p>
        </w:tc>
        <w:tc>
          <w:tcPr>
            <w:tcW w:w="3837" w:type="dxa"/>
            <w:tcBorders>
              <w:top w:val="nil"/>
              <w:left w:val="nil"/>
              <w:bottom w:val="single" w:color="auto" w:sz="4" w:space="0"/>
              <w:right w:val="single" w:color="000000" w:sz="4" w:space="0"/>
            </w:tcBorders>
            <w:shd w:val="clear" w:color="auto" w:fill="FFFFFF" w:themeFill="background1"/>
            <w:noWrap/>
            <w:vAlign w:val="center"/>
          </w:tcPr>
          <w:p>
            <w:pPr>
              <w:widowControl/>
              <w:jc w:val="left"/>
              <w:rPr>
                <w:rFonts w:ascii="宋体" w:hAnsi="宋体" w:cs="宋体"/>
                <w:kern w:val="0"/>
                <w:sz w:val="24"/>
                <w:szCs w:val="24"/>
              </w:rPr>
            </w:pPr>
            <w:r>
              <w:rPr>
                <w:rFonts w:hint="eastAsia" w:ascii="宋体" w:hAnsi="宋体" w:cs="宋体"/>
                <w:kern w:val="0"/>
                <w:sz w:val="24"/>
                <w:szCs w:val="24"/>
              </w:rPr>
              <w:t>十一、年末滚存结余</w:t>
            </w:r>
          </w:p>
        </w:tc>
        <w:tc>
          <w:tcPr>
            <w:tcW w:w="245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39,240,871.06 </w:t>
            </w:r>
          </w:p>
        </w:tc>
      </w:tr>
      <w:tr>
        <w:tblPrEx>
          <w:tblLayout w:type="fixed"/>
          <w:tblCellMar>
            <w:top w:w="0" w:type="dxa"/>
            <w:left w:w="108" w:type="dxa"/>
            <w:bottom w:w="0" w:type="dxa"/>
            <w:right w:w="108" w:type="dxa"/>
          </w:tblCellMar>
        </w:tblPrEx>
        <w:trPr>
          <w:trHeight w:val="300" w:hRule="atLeast"/>
        </w:trPr>
        <w:tc>
          <w:tcPr>
            <w:tcW w:w="590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总        计</w:t>
            </w:r>
          </w:p>
        </w:tc>
        <w:tc>
          <w:tcPr>
            <w:tcW w:w="2458" w:type="dxa"/>
            <w:tcBorders>
              <w:top w:val="nil"/>
              <w:left w:val="nil"/>
              <w:bottom w:val="single" w:color="auto" w:sz="4" w:space="0"/>
              <w:right w:val="single" w:color="auto"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125,675,816.06 </w:t>
            </w:r>
          </w:p>
        </w:tc>
        <w:tc>
          <w:tcPr>
            <w:tcW w:w="3837" w:type="dxa"/>
            <w:tcBorders>
              <w:top w:val="nil"/>
              <w:left w:val="nil"/>
              <w:bottom w:val="single" w:color="auto" w:sz="4" w:space="0"/>
              <w:right w:val="single" w:color="000000" w:sz="4" w:space="0"/>
            </w:tcBorders>
            <w:shd w:val="clear" w:color="auto" w:fill="FFFFFF" w:themeFill="background1"/>
            <w:noWrap/>
            <w:vAlign w:val="center"/>
          </w:tcPr>
          <w:p>
            <w:pPr>
              <w:widowControl/>
              <w:jc w:val="center"/>
              <w:rPr>
                <w:rFonts w:ascii="宋体" w:hAnsi="宋体" w:cs="宋体"/>
                <w:kern w:val="0"/>
                <w:sz w:val="24"/>
                <w:szCs w:val="24"/>
              </w:rPr>
            </w:pPr>
            <w:r>
              <w:rPr>
                <w:rFonts w:hint="eastAsia" w:ascii="宋体" w:hAnsi="宋体" w:cs="宋体"/>
                <w:kern w:val="0"/>
                <w:sz w:val="24"/>
                <w:szCs w:val="24"/>
              </w:rPr>
              <w:t>总        计</w:t>
            </w:r>
          </w:p>
        </w:tc>
        <w:tc>
          <w:tcPr>
            <w:tcW w:w="2458" w:type="dxa"/>
            <w:tcBorders>
              <w:top w:val="nil"/>
              <w:left w:val="nil"/>
              <w:bottom w:val="single" w:color="auto" w:sz="4" w:space="0"/>
              <w:right w:val="single" w:color="000000" w:sz="4" w:space="0"/>
            </w:tcBorders>
            <w:shd w:val="clear" w:color="auto" w:fill="FFFFFF" w:themeFill="background1"/>
            <w:noWrap/>
            <w:vAlign w:val="center"/>
          </w:tcPr>
          <w:p>
            <w:pPr>
              <w:widowControl/>
              <w:jc w:val="right"/>
              <w:rPr>
                <w:rFonts w:ascii="宋体" w:hAnsi="宋体" w:cs="宋体"/>
                <w:kern w:val="0"/>
                <w:sz w:val="24"/>
                <w:szCs w:val="24"/>
              </w:rPr>
            </w:pPr>
            <w:r>
              <w:rPr>
                <w:rFonts w:hint="eastAsia" w:ascii="宋体" w:hAnsi="宋体" w:cs="宋体"/>
                <w:kern w:val="0"/>
                <w:sz w:val="24"/>
                <w:szCs w:val="24"/>
              </w:rPr>
              <w:t xml:space="preserve">125,675,816.06 </w:t>
            </w:r>
          </w:p>
        </w:tc>
      </w:tr>
    </w:tbl>
    <w:p/>
    <w:p/>
    <w:p>
      <w:pPr>
        <w:rPr>
          <w:rFonts w:ascii="宋体" w:hAnsi="宋体" w:cs="Arial"/>
          <w:bCs/>
          <w:kern w:val="0"/>
          <w:sz w:val="24"/>
          <w:szCs w:val="24"/>
        </w:rPr>
        <w:sectPr>
          <w:pgSz w:w="16838" w:h="11906" w:orient="landscape"/>
          <w:pgMar w:top="1797" w:right="1440" w:bottom="1797" w:left="1440" w:header="851" w:footer="992" w:gutter="0"/>
          <w:cols w:space="425" w:num="1"/>
          <w:docGrid w:type="linesAndChars" w:linePitch="312" w:charSpace="0"/>
        </w:sectPr>
      </w:pPr>
    </w:p>
    <w:p>
      <w:pPr>
        <w:rPr>
          <w:rFonts w:ascii="宋体" w:hAnsi="宋体" w:cs="Arial"/>
          <w:bCs/>
          <w:kern w:val="0"/>
          <w:sz w:val="24"/>
          <w:szCs w:val="24"/>
        </w:rPr>
      </w:pPr>
      <w:r>
        <w:rPr>
          <w:rFonts w:hint="eastAsia" w:ascii="宋体" w:hAnsi="宋体" w:cs="Arial"/>
          <w:bCs/>
          <w:kern w:val="0"/>
          <w:sz w:val="24"/>
          <w:szCs w:val="24"/>
        </w:rPr>
        <w:t>表十一：</w:t>
      </w:r>
    </w:p>
    <w:p>
      <w:pPr>
        <w:jc w:val="center"/>
        <w:rPr>
          <w:rFonts w:ascii="宋体" w:hAnsi="宋体"/>
          <w:b/>
          <w:sz w:val="36"/>
          <w:szCs w:val="36"/>
        </w:rPr>
      </w:pPr>
      <w:r>
        <w:rPr>
          <w:rFonts w:hint="eastAsia" w:ascii="宋体" w:hAnsi="宋体"/>
          <w:b/>
          <w:sz w:val="36"/>
          <w:szCs w:val="36"/>
        </w:rPr>
        <w:t>2018年市级提前告知专项转移支付预算表</w:t>
      </w:r>
    </w:p>
    <w:p>
      <w:pPr>
        <w:widowControl/>
        <w:jc w:val="right"/>
        <w:rPr>
          <w:rFonts w:ascii="宋体" w:hAnsi="宋体" w:cs="宋体"/>
          <w:kern w:val="0"/>
          <w:sz w:val="24"/>
          <w:szCs w:val="24"/>
        </w:rPr>
      </w:pPr>
      <w:r>
        <w:rPr>
          <w:rFonts w:hint="eastAsia" w:ascii="宋体" w:hAnsi="宋体"/>
          <w:b/>
          <w:sz w:val="36"/>
          <w:szCs w:val="36"/>
        </w:rPr>
        <w:t xml:space="preserve">                 </w:t>
      </w:r>
      <w:r>
        <w:rPr>
          <w:rFonts w:hint="eastAsia" w:ascii="宋体" w:hAnsi="宋体" w:cs="宋体"/>
          <w:kern w:val="0"/>
          <w:sz w:val="24"/>
          <w:szCs w:val="24"/>
        </w:rPr>
        <w:t>单位：元</w:t>
      </w:r>
    </w:p>
    <w:tbl>
      <w:tblPr>
        <w:tblStyle w:val="5"/>
        <w:tblW w:w="9740" w:type="dxa"/>
        <w:tblInd w:w="93" w:type="dxa"/>
        <w:tblLayout w:type="fixed"/>
        <w:tblCellMar>
          <w:top w:w="0" w:type="dxa"/>
          <w:left w:w="108" w:type="dxa"/>
          <w:bottom w:w="0" w:type="dxa"/>
          <w:right w:w="108" w:type="dxa"/>
        </w:tblCellMar>
      </w:tblPr>
      <w:tblGrid>
        <w:gridCol w:w="946"/>
        <w:gridCol w:w="912"/>
        <w:gridCol w:w="953"/>
        <w:gridCol w:w="936"/>
        <w:gridCol w:w="863"/>
        <w:gridCol w:w="1731"/>
        <w:gridCol w:w="547"/>
        <w:gridCol w:w="1636"/>
        <w:gridCol w:w="1216"/>
      </w:tblGrid>
      <w:tr>
        <w:tblPrEx>
          <w:tblLayout w:type="fixed"/>
          <w:tblCellMar>
            <w:top w:w="0" w:type="dxa"/>
            <w:left w:w="108" w:type="dxa"/>
            <w:bottom w:w="0" w:type="dxa"/>
            <w:right w:w="108" w:type="dxa"/>
          </w:tblCellMar>
        </w:tblPrEx>
        <w:trPr>
          <w:trHeight w:val="876" w:hRule="atLeast"/>
        </w:trPr>
        <w:tc>
          <w:tcPr>
            <w:tcW w:w="94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预算单位代码</w:t>
            </w:r>
          </w:p>
        </w:tc>
        <w:tc>
          <w:tcPr>
            <w:tcW w:w="91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预算单位名称</w:t>
            </w:r>
          </w:p>
        </w:tc>
        <w:tc>
          <w:tcPr>
            <w:tcW w:w="9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功能分类代码</w:t>
            </w:r>
          </w:p>
        </w:tc>
        <w:tc>
          <w:tcPr>
            <w:tcW w:w="93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部门经济分类代码</w:t>
            </w:r>
          </w:p>
        </w:tc>
        <w:tc>
          <w:tcPr>
            <w:tcW w:w="86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政府经济分类代码</w:t>
            </w:r>
          </w:p>
        </w:tc>
        <w:tc>
          <w:tcPr>
            <w:tcW w:w="173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项目名称</w:t>
            </w:r>
          </w:p>
        </w:tc>
        <w:tc>
          <w:tcPr>
            <w:tcW w:w="54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是否采购</w:t>
            </w:r>
          </w:p>
        </w:tc>
        <w:tc>
          <w:tcPr>
            <w:tcW w:w="1636"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指标金额</w:t>
            </w:r>
          </w:p>
        </w:tc>
        <w:tc>
          <w:tcPr>
            <w:tcW w:w="121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市指标文号</w:t>
            </w:r>
          </w:p>
        </w:tc>
      </w:tr>
      <w:tr>
        <w:tblPrEx>
          <w:tblLayout w:type="fixed"/>
          <w:tblCellMar>
            <w:top w:w="0" w:type="dxa"/>
            <w:left w:w="108" w:type="dxa"/>
            <w:bottom w:w="0" w:type="dxa"/>
            <w:right w:w="108" w:type="dxa"/>
          </w:tblCellMar>
        </w:tblPrEx>
        <w:trPr>
          <w:trHeight w:val="145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257001</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西城区人力资源和社会保障局</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2080702</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50299</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关于提前下达各区2018年中央就业补助资金预算的通知</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1,500,000.00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京财社指[2017]1470号</w:t>
            </w:r>
          </w:p>
        </w:tc>
      </w:tr>
      <w:tr>
        <w:tblPrEx>
          <w:tblLayout w:type="fixed"/>
          <w:tblCellMar>
            <w:top w:w="0" w:type="dxa"/>
            <w:left w:w="108" w:type="dxa"/>
            <w:bottom w:w="0" w:type="dxa"/>
            <w:right w:w="108" w:type="dxa"/>
          </w:tblCellMar>
        </w:tblPrEx>
        <w:trPr>
          <w:trHeight w:val="193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257001</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西城区人力资源和社会保障局</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2130321</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50299</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提前下达2018年水利改革发展资金-大中型水库移民农转非移民培训补助</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201,040.00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京财农指[2017]1174号</w:t>
            </w:r>
          </w:p>
        </w:tc>
      </w:tr>
      <w:tr>
        <w:tblPrEx>
          <w:tblLayout w:type="fixed"/>
          <w:tblCellMar>
            <w:top w:w="0" w:type="dxa"/>
            <w:left w:w="108" w:type="dxa"/>
            <w:bottom w:w="0" w:type="dxa"/>
            <w:right w:w="108" w:type="dxa"/>
          </w:tblCellMar>
        </w:tblPrEx>
        <w:trPr>
          <w:trHeight w:val="145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257001</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西城区人力资源和社会保障局</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2080106</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50299</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提前下达2018年社会保障和就业补助资金-就业奖励</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1,150,000.00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京财社指[2017]1192号</w:t>
            </w:r>
          </w:p>
        </w:tc>
      </w:tr>
      <w:tr>
        <w:tblPrEx>
          <w:tblLayout w:type="fixed"/>
          <w:tblCellMar>
            <w:top w:w="0" w:type="dxa"/>
            <w:left w:w="108" w:type="dxa"/>
            <w:bottom w:w="0" w:type="dxa"/>
            <w:right w:w="108" w:type="dxa"/>
          </w:tblCellMar>
        </w:tblPrEx>
        <w:trPr>
          <w:trHeight w:val="193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257001</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西城区人力资源和社会保障局</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2080109</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50299</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提前下达2018年社会保障和就业补助资金-社会保险基金绩效考核奖励</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600,000.00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京财社指[2017]1192号</w:t>
            </w:r>
          </w:p>
        </w:tc>
      </w:tr>
      <w:tr>
        <w:tblPrEx>
          <w:tblLayout w:type="fixed"/>
          <w:tblCellMar>
            <w:top w:w="0" w:type="dxa"/>
            <w:left w:w="108" w:type="dxa"/>
            <w:bottom w:w="0" w:type="dxa"/>
            <w:right w:w="108" w:type="dxa"/>
          </w:tblCellMar>
        </w:tblPrEx>
        <w:trPr>
          <w:trHeight w:val="169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257004</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西城区社会保险管理中心</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2082602</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31302</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51002</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关于提前下达2018年城乡居民养老保险中央补助资金预算的通知</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5,011,900.00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京财社指[2017]1450号</w:t>
            </w:r>
          </w:p>
        </w:tc>
      </w:tr>
      <w:tr>
        <w:tblPrEx>
          <w:tblLayout w:type="fixed"/>
          <w:tblCellMar>
            <w:top w:w="0" w:type="dxa"/>
            <w:left w:w="108" w:type="dxa"/>
            <w:bottom w:w="0" w:type="dxa"/>
            <w:right w:w="108" w:type="dxa"/>
          </w:tblCellMar>
        </w:tblPrEx>
        <w:trPr>
          <w:trHeight w:val="193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257004</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西城区社会保险管理中心</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2080109</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50502</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提前下达2018年社会保障和就业补助资金-社会保险基金绩效考核奖励</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1,170,000.00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京财社指[2017]1192号</w:t>
            </w:r>
          </w:p>
        </w:tc>
      </w:tr>
      <w:tr>
        <w:tblPrEx>
          <w:tblLayout w:type="fixed"/>
          <w:tblCellMar>
            <w:top w:w="0" w:type="dxa"/>
            <w:left w:w="108" w:type="dxa"/>
            <w:bottom w:w="0" w:type="dxa"/>
            <w:right w:w="108" w:type="dxa"/>
          </w:tblCellMar>
        </w:tblPrEx>
        <w:trPr>
          <w:trHeight w:val="1932" w:hRule="atLeast"/>
        </w:trPr>
        <w:tc>
          <w:tcPr>
            <w:tcW w:w="946" w:type="dxa"/>
            <w:tcBorders>
              <w:top w:val="single" w:color="000000" w:sz="4"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257008</w:t>
            </w:r>
          </w:p>
        </w:tc>
        <w:tc>
          <w:tcPr>
            <w:tcW w:w="912" w:type="dxa"/>
            <w:tcBorders>
              <w:top w:val="single" w:color="000000" w:sz="4"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北京市西城区医疗保险事务管理中心</w:t>
            </w:r>
          </w:p>
        </w:tc>
        <w:tc>
          <w:tcPr>
            <w:tcW w:w="953"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2080109</w:t>
            </w:r>
          </w:p>
        </w:tc>
        <w:tc>
          <w:tcPr>
            <w:tcW w:w="936"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50502</w:t>
            </w:r>
          </w:p>
        </w:tc>
        <w:tc>
          <w:tcPr>
            <w:tcW w:w="1731" w:type="dxa"/>
            <w:tcBorders>
              <w:top w:val="single" w:color="000000" w:sz="4"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提前下达2018年社会保障和就业补助资金-社会保险基金绩效考核奖励</w:t>
            </w:r>
          </w:p>
        </w:tc>
        <w:tc>
          <w:tcPr>
            <w:tcW w:w="547" w:type="dxa"/>
            <w:tcBorders>
              <w:top w:val="single" w:color="000000" w:sz="4"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single" w:color="000000" w:sz="4" w:space="0"/>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500,000.00 </w:t>
            </w:r>
          </w:p>
        </w:tc>
        <w:tc>
          <w:tcPr>
            <w:tcW w:w="1216" w:type="dxa"/>
            <w:tcBorders>
              <w:top w:val="single" w:color="000000" w:sz="4" w:space="0"/>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京财社指[2017]1192号</w:t>
            </w:r>
          </w:p>
        </w:tc>
      </w:tr>
      <w:tr>
        <w:tblPrEx>
          <w:tblLayout w:type="fixed"/>
          <w:tblCellMar>
            <w:top w:w="0" w:type="dxa"/>
            <w:left w:w="108" w:type="dxa"/>
            <w:bottom w:w="0" w:type="dxa"/>
            <w:right w:w="108" w:type="dxa"/>
          </w:tblCellMar>
        </w:tblPrEx>
        <w:trPr>
          <w:trHeight w:val="1452" w:hRule="atLeast"/>
        </w:trPr>
        <w:tc>
          <w:tcPr>
            <w:tcW w:w="9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257016</w:t>
            </w:r>
          </w:p>
        </w:tc>
        <w:tc>
          <w:tcPr>
            <w:tcW w:w="91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北京市西城区人才交流服务中心</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2011006</w:t>
            </w:r>
          </w:p>
        </w:tc>
        <w:tc>
          <w:tcPr>
            <w:tcW w:w="9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30299</w:t>
            </w:r>
          </w:p>
        </w:tc>
        <w:tc>
          <w:tcPr>
            <w:tcW w:w="86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50502</w:t>
            </w:r>
          </w:p>
        </w:tc>
        <w:tc>
          <w:tcPr>
            <w:tcW w:w="173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提前下达2018年自助择业军转干部安置补助经费</w:t>
            </w:r>
          </w:p>
        </w:tc>
        <w:tc>
          <w:tcPr>
            <w:tcW w:w="54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否</w:t>
            </w:r>
          </w:p>
        </w:tc>
        <w:tc>
          <w:tcPr>
            <w:tcW w:w="1636"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2,785,000.00 </w:t>
            </w:r>
          </w:p>
        </w:tc>
        <w:tc>
          <w:tcPr>
            <w:tcW w:w="121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京财社指[2017]1196号</w:t>
            </w:r>
          </w:p>
        </w:tc>
      </w:tr>
    </w:tbl>
    <w:p>
      <w:pPr>
        <w:widowControl/>
        <w:rPr>
          <w:rFonts w:ascii="宋体" w:hAnsi="宋体" w:cs="宋体"/>
          <w:b/>
          <w:bCs/>
          <w:kern w:val="0"/>
          <w:sz w:val="22"/>
        </w:rPr>
        <w:sectPr>
          <w:pgSz w:w="11906" w:h="16838"/>
          <w:pgMar w:top="1440" w:right="1797" w:bottom="1440" w:left="1797" w:header="851" w:footer="992" w:gutter="0"/>
          <w:cols w:space="425" w:num="1"/>
          <w:docGrid w:type="lines" w:linePitch="312" w:charSpace="0"/>
        </w:sectPr>
      </w:pPr>
    </w:p>
    <w:p>
      <w:pPr>
        <w:rPr>
          <w:rFonts w:ascii="宋体" w:hAnsi="宋体"/>
          <w:sz w:val="36"/>
          <w:szCs w:val="36"/>
        </w:rPr>
        <w:sectPr>
          <w:pgSz w:w="11906" w:h="16838"/>
          <w:pgMar w:top="1440" w:right="1797" w:bottom="1440" w:left="1797" w:header="851" w:footer="992" w:gutter="0"/>
          <w:cols w:space="425" w:num="1"/>
          <w:docGrid w:type="linesAndChars" w:linePitch="312" w:charSpace="0"/>
        </w:sectPr>
      </w:pPr>
    </w:p>
    <w:p>
      <w:pPr>
        <w:sectPr>
          <w:pgSz w:w="11906" w:h="16838"/>
          <w:pgMar w:top="1440" w:right="1797" w:bottom="1440" w:left="1797" w:header="851" w:footer="992" w:gutter="0"/>
          <w:cols w:space="425" w:num="1"/>
          <w:docGrid w:type="lines" w:linePitch="312" w:charSpace="0"/>
        </w:sectPr>
      </w:pPr>
    </w:p>
    <w:p>
      <w:pPr>
        <w:sectPr>
          <w:pgSz w:w="11906" w:h="16838"/>
          <w:pgMar w:top="1440" w:right="1797" w:bottom="1440" w:left="1797" w:header="851" w:footer="992" w:gutter="0"/>
          <w:cols w:space="425" w:num="1"/>
          <w:docGrid w:type="linesAndChars" w:linePitch="312" w:charSpace="0"/>
        </w:sectPr>
      </w:pPr>
    </w:p>
    <w:p>
      <w:pPr>
        <w:rPr>
          <w:sz w:val="28"/>
          <w:szCs w:val="28"/>
        </w:rPr>
        <w:sectPr>
          <w:pgSz w:w="11906" w:h="16838"/>
          <w:pgMar w:top="1440" w:right="1797" w:bottom="1440" w:left="1797" w:header="851" w:footer="992" w:gutter="0"/>
          <w:cols w:space="425" w:num="1"/>
          <w:docGrid w:type="linesAndChars" w:linePitch="312" w:charSpace="0"/>
        </w:sectPr>
      </w:pPr>
    </w:p>
    <w:p>
      <w:pPr>
        <w:sectPr>
          <w:pgSz w:w="11906" w:h="16838"/>
          <w:pgMar w:top="1440" w:right="1797" w:bottom="1440" w:left="1797" w:header="851" w:footer="992" w:gutter="0"/>
          <w:cols w:space="425" w:num="1"/>
          <w:docGrid w:type="linesAndChars" w:linePitch="312" w:charSpace="0"/>
        </w:sectPr>
      </w:pPr>
    </w:p>
    <w:p>
      <w:pPr>
        <w:rPr>
          <w:rFonts w:ascii="宋体" w:hAnsi="宋体" w:cs="Arial"/>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2BB7"/>
    <w:rsid w:val="000545B4"/>
    <w:rsid w:val="0009080D"/>
    <w:rsid w:val="00115BB5"/>
    <w:rsid w:val="00115C42"/>
    <w:rsid w:val="00126F8A"/>
    <w:rsid w:val="00172707"/>
    <w:rsid w:val="001B319E"/>
    <w:rsid w:val="001B3A23"/>
    <w:rsid w:val="001E1E74"/>
    <w:rsid w:val="00202EA2"/>
    <w:rsid w:val="00290C29"/>
    <w:rsid w:val="002A4E13"/>
    <w:rsid w:val="002C679F"/>
    <w:rsid w:val="002E7D02"/>
    <w:rsid w:val="003176D0"/>
    <w:rsid w:val="00366FB3"/>
    <w:rsid w:val="003A2ACC"/>
    <w:rsid w:val="003D4ADA"/>
    <w:rsid w:val="00410CDB"/>
    <w:rsid w:val="00444C5E"/>
    <w:rsid w:val="00464427"/>
    <w:rsid w:val="0049000B"/>
    <w:rsid w:val="004A0A7D"/>
    <w:rsid w:val="004C045F"/>
    <w:rsid w:val="004D25C9"/>
    <w:rsid w:val="00516E80"/>
    <w:rsid w:val="00571D8D"/>
    <w:rsid w:val="00582A61"/>
    <w:rsid w:val="005953B0"/>
    <w:rsid w:val="005C7A73"/>
    <w:rsid w:val="005D42C6"/>
    <w:rsid w:val="006152D1"/>
    <w:rsid w:val="006552BF"/>
    <w:rsid w:val="00672413"/>
    <w:rsid w:val="006737C1"/>
    <w:rsid w:val="00681282"/>
    <w:rsid w:val="006B47D7"/>
    <w:rsid w:val="006E2AC5"/>
    <w:rsid w:val="006F0023"/>
    <w:rsid w:val="00707D81"/>
    <w:rsid w:val="00720823"/>
    <w:rsid w:val="00726CBD"/>
    <w:rsid w:val="007600BB"/>
    <w:rsid w:val="007B36D2"/>
    <w:rsid w:val="007D4342"/>
    <w:rsid w:val="00896C04"/>
    <w:rsid w:val="008A481A"/>
    <w:rsid w:val="008B2BB7"/>
    <w:rsid w:val="008C3E4B"/>
    <w:rsid w:val="008E3C4B"/>
    <w:rsid w:val="008F7EE7"/>
    <w:rsid w:val="009329AD"/>
    <w:rsid w:val="00965CE5"/>
    <w:rsid w:val="009B0ED9"/>
    <w:rsid w:val="00A26985"/>
    <w:rsid w:val="00A4513E"/>
    <w:rsid w:val="00A7510A"/>
    <w:rsid w:val="00AB36D2"/>
    <w:rsid w:val="00AB5593"/>
    <w:rsid w:val="00AB7516"/>
    <w:rsid w:val="00AC512C"/>
    <w:rsid w:val="00AD3DCB"/>
    <w:rsid w:val="00B22CEF"/>
    <w:rsid w:val="00B82C2E"/>
    <w:rsid w:val="00BA12B3"/>
    <w:rsid w:val="00BA6BB7"/>
    <w:rsid w:val="00BC6AE7"/>
    <w:rsid w:val="00BE6F59"/>
    <w:rsid w:val="00C03EEE"/>
    <w:rsid w:val="00C42FE9"/>
    <w:rsid w:val="00C45889"/>
    <w:rsid w:val="00C6775C"/>
    <w:rsid w:val="00C77B38"/>
    <w:rsid w:val="00C828AB"/>
    <w:rsid w:val="00C90C81"/>
    <w:rsid w:val="00CA35EF"/>
    <w:rsid w:val="00CB7AEB"/>
    <w:rsid w:val="00CD0729"/>
    <w:rsid w:val="00CE31C7"/>
    <w:rsid w:val="00D11B44"/>
    <w:rsid w:val="00D91E44"/>
    <w:rsid w:val="00DC21F2"/>
    <w:rsid w:val="00DE5F40"/>
    <w:rsid w:val="00DF0EF6"/>
    <w:rsid w:val="00E70282"/>
    <w:rsid w:val="00EC5F6A"/>
    <w:rsid w:val="00F016CB"/>
    <w:rsid w:val="00FC51EC"/>
    <w:rsid w:val="00FD0EE0"/>
    <w:rsid w:val="00FF3932"/>
    <w:rsid w:val="1E9C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Calibri" w:hAnsi="Calibri" w:eastAsia="宋体" w:cs="Times New Roman"/>
      <w:sz w:val="18"/>
      <w:szCs w:val="18"/>
    </w:rPr>
  </w:style>
  <w:style w:type="character" w:customStyle="1" w:styleId="8">
    <w:name w:val="页脚 Char"/>
    <w:basedOn w:val="6"/>
    <w:link w:val="3"/>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Calibri" w:hAnsi="Calibri" w:eastAsia="宋体" w:cs="Times New Roman"/>
      <w:sz w:val="18"/>
      <w:szCs w:val="18"/>
    </w:rPr>
  </w:style>
  <w:style w:type="paragraph" w:customStyle="1" w:styleId="1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
    <w:name w:val="xl64"/>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
    <w:name w:val="xl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17">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
    <w:name w:val="xl69"/>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70"/>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
    <w:name w:val="xl71"/>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1">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5">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6">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
    <w:name w:val="xl79"/>
    <w:basedOn w:val="1"/>
    <w:uiPriority w:val="0"/>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89AD6-1BC9-4310-9A4F-A70B7320F2B1}">
  <ds:schemaRefs/>
</ds:datastoreItem>
</file>

<file path=docProps/app.xml><?xml version="1.0" encoding="utf-8"?>
<Properties xmlns="http://schemas.openxmlformats.org/officeDocument/2006/extended-properties" xmlns:vt="http://schemas.openxmlformats.org/officeDocument/2006/docPropsVTypes">
  <Template>Normal</Template>
  <Pages>61</Pages>
  <Words>6133</Words>
  <Characters>34963</Characters>
  <Lines>291</Lines>
  <Paragraphs>82</Paragraphs>
  <TotalTime>140</TotalTime>
  <ScaleCrop>false</ScaleCrop>
  <LinksUpToDate>false</LinksUpToDate>
  <CharactersWithSpaces>41014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2018-02-11T22:45:00Z</dcterms:created>
  <dc:creator>于冬梅</dc:creator>
  <cp:lastModifiedBy>冀乃靖</cp:lastModifiedBy>
  <cp:lastPrinted>2019-01-31T07:10:00Z</cp:lastPrinted>
  <dcterms:modified xsi:type="dcterms:W3CDTF">2025-03-11T06:47:35Z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