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北京市西城区文化和旅游局（区文物局）</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本级</w:t>
      </w:r>
      <w:r>
        <w:rPr>
          <w:rFonts w:hint="eastAsia" w:ascii="方正小标宋简体" w:hAnsi="方正小标宋简体" w:eastAsia="方正小标宋简体" w:cs="方正小标宋简体"/>
          <w:sz w:val="44"/>
          <w:szCs w:val="44"/>
        </w:rPr>
        <w:t>202</w:t>
      </w:r>
      <w:r>
        <w:rPr>
          <w:rFonts w:ascii="方正小标宋简体" w:hAnsi="方正小标宋简体" w:eastAsia="方正小标宋简体" w:cs="方正小标宋简体"/>
          <w:sz w:val="44"/>
          <w:szCs w:val="44"/>
        </w:rPr>
        <w:t>5</w:t>
      </w:r>
      <w:r>
        <w:rPr>
          <w:rFonts w:hint="eastAsia" w:ascii="方正小标宋简体" w:hAnsi="方正小标宋简体" w:eastAsia="方正小标宋简体" w:cs="方正小标宋简体"/>
          <w:sz w:val="44"/>
          <w:szCs w:val="44"/>
        </w:rPr>
        <w:t>年部门预算公开目录</w:t>
      </w:r>
    </w:p>
    <w:p>
      <w:pPr>
        <w:spacing w:line="560" w:lineRule="exact"/>
        <w:rPr>
          <w:rFonts w:hint="eastAsia" w:ascii="仿宋_GB2312" w:eastAsia="仿宋_GB2312"/>
          <w:b/>
          <w:color w:val="000000"/>
          <w:sz w:val="32"/>
          <w:szCs w:val="32"/>
        </w:rPr>
      </w:pPr>
    </w:p>
    <w:p>
      <w:pPr>
        <w:spacing w:line="560" w:lineRule="exact"/>
        <w:ind w:firstLine="320" w:firstLineChars="100"/>
        <w:jc w:val="center"/>
        <w:rPr>
          <w:rFonts w:hint="eastAsia" w:ascii="黑体" w:hAnsi="黑体" w:eastAsia="黑体" w:cs="黑体"/>
          <w:sz w:val="32"/>
          <w:szCs w:val="32"/>
        </w:rPr>
      </w:pPr>
      <w:r>
        <w:rPr>
          <w:rFonts w:hint="eastAsia" w:ascii="黑体" w:hAnsi="黑体" w:eastAsia="黑体" w:cs="黑体"/>
          <w:sz w:val="32"/>
          <w:szCs w:val="32"/>
        </w:rPr>
        <w:t>第一部分  202</w:t>
      </w:r>
      <w:r>
        <w:rPr>
          <w:rFonts w:ascii="黑体" w:hAnsi="黑体" w:eastAsia="黑体" w:cs="黑体"/>
          <w:sz w:val="32"/>
          <w:szCs w:val="32"/>
        </w:rPr>
        <w:t>5</w:t>
      </w:r>
      <w:r>
        <w:rPr>
          <w:rFonts w:hint="eastAsia" w:ascii="黑体" w:hAnsi="黑体" w:eastAsia="黑体" w:cs="黑体"/>
          <w:sz w:val="32"/>
          <w:szCs w:val="32"/>
        </w:rPr>
        <w:t>年部门预算情况说明</w:t>
      </w:r>
    </w:p>
    <w:p>
      <w:pPr>
        <w:spacing w:line="560" w:lineRule="exact"/>
        <w:ind w:firstLine="320" w:firstLineChars="100"/>
        <w:jc w:val="left"/>
        <w:rPr>
          <w:rFonts w:hint="eastAsia" w:ascii="黑体" w:hAnsi="黑体" w:eastAsia="黑体" w:cs="黑体"/>
          <w:sz w:val="32"/>
          <w:szCs w:val="32"/>
        </w:rPr>
      </w:pPr>
      <w:r>
        <w:rPr>
          <w:rFonts w:hint="eastAsia" w:ascii="黑体" w:hAnsi="黑体" w:eastAsia="黑体" w:cs="黑体"/>
          <w:sz w:val="32"/>
          <w:szCs w:val="32"/>
        </w:rPr>
        <w:t>一、部门主要职责及机构设置情况</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（一）部门机构设置、职责</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（二）人员构成情况</w:t>
      </w:r>
    </w:p>
    <w:p>
      <w:pPr>
        <w:spacing w:line="560" w:lineRule="exact"/>
        <w:ind w:firstLine="320" w:firstLineChars="100"/>
        <w:jc w:val="left"/>
        <w:rPr>
          <w:rFonts w:hint="eastAsia" w:ascii="黑体" w:hAnsi="黑体" w:eastAsia="黑体" w:cs="黑体"/>
          <w:sz w:val="32"/>
          <w:szCs w:val="32"/>
        </w:rPr>
      </w:pPr>
      <w:r>
        <w:rPr>
          <w:rFonts w:hint="eastAsia" w:ascii="黑体" w:hAnsi="黑体" w:eastAsia="黑体" w:cs="黑体"/>
          <w:sz w:val="32"/>
          <w:szCs w:val="32"/>
        </w:rPr>
        <w:t>二、2024年部门预算收支及增减变化情况说明</w:t>
      </w:r>
    </w:p>
    <w:p>
      <w:pPr>
        <w:spacing w:line="560" w:lineRule="exact"/>
        <w:ind w:firstLine="320" w:firstLineChars="100"/>
        <w:jc w:val="left"/>
        <w:rPr>
          <w:rFonts w:hint="eastAsia" w:ascii="黑体" w:hAnsi="黑体" w:eastAsia="黑体" w:cs="黑体"/>
          <w:sz w:val="32"/>
          <w:szCs w:val="32"/>
        </w:rPr>
      </w:pPr>
      <w:r>
        <w:rPr>
          <w:rFonts w:hint="eastAsia" w:ascii="黑体" w:hAnsi="黑体" w:eastAsia="黑体" w:cs="黑体"/>
          <w:sz w:val="32"/>
          <w:szCs w:val="32"/>
        </w:rPr>
        <w:t>三、主要支出情况</w:t>
      </w:r>
    </w:p>
    <w:p>
      <w:pPr>
        <w:spacing w:line="560" w:lineRule="exact"/>
        <w:ind w:firstLine="320" w:firstLineChars="100"/>
        <w:jc w:val="left"/>
        <w:rPr>
          <w:rFonts w:hint="eastAsia" w:ascii="黑体" w:hAnsi="黑体" w:eastAsia="黑体" w:cs="黑体"/>
          <w:sz w:val="32"/>
          <w:szCs w:val="32"/>
        </w:rPr>
      </w:pPr>
      <w:r>
        <w:rPr>
          <w:rFonts w:hint="eastAsia" w:ascii="黑体" w:hAnsi="黑体" w:eastAsia="黑体" w:cs="黑体"/>
          <w:sz w:val="32"/>
          <w:szCs w:val="32"/>
        </w:rPr>
        <w:t>四、部门“三公”经费财政拨款预算说明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（一）“三公”经费的单位范围</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（二）“三公”经费预算财政拨款情况说明</w:t>
      </w:r>
    </w:p>
    <w:p>
      <w:pPr>
        <w:spacing w:line="560" w:lineRule="exact"/>
        <w:ind w:firstLine="320" w:firstLineChars="100"/>
        <w:jc w:val="left"/>
        <w:rPr>
          <w:rFonts w:hint="eastAsia" w:ascii="黑体" w:hAnsi="黑体" w:eastAsia="黑体" w:cs="黑体"/>
          <w:sz w:val="32"/>
          <w:szCs w:val="32"/>
        </w:rPr>
      </w:pPr>
      <w:r>
        <w:rPr>
          <w:rFonts w:hint="eastAsia" w:ascii="黑体" w:hAnsi="黑体" w:eastAsia="黑体" w:cs="黑体"/>
          <w:sz w:val="32"/>
          <w:szCs w:val="32"/>
        </w:rPr>
        <w:t>五、其他情况说明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（一）机构运行经费说明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（二）政府采购预算说明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（三）政府购买服务预算说明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（四）绩效目标情况及绩效评价结果说明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（五）国有资本经营预算财政拨款情况说明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（六）国有资产占用情况说明</w:t>
      </w:r>
    </w:p>
    <w:p>
      <w:pPr>
        <w:spacing w:line="560" w:lineRule="exact"/>
        <w:ind w:firstLine="320" w:firstLineChars="100"/>
        <w:jc w:val="left"/>
        <w:rPr>
          <w:rFonts w:hint="eastAsia" w:ascii="黑体" w:hAnsi="黑体" w:eastAsia="黑体" w:cs="黑体"/>
          <w:sz w:val="32"/>
          <w:szCs w:val="32"/>
        </w:rPr>
      </w:pPr>
      <w:r>
        <w:rPr>
          <w:rFonts w:hint="eastAsia" w:ascii="黑体" w:hAnsi="黑体" w:eastAsia="黑体" w:cs="黑体"/>
          <w:sz w:val="32"/>
          <w:szCs w:val="32"/>
        </w:rPr>
        <w:t>六、名称解释</w:t>
      </w:r>
    </w:p>
    <w:p>
      <w:pPr>
        <w:jc w:val="center"/>
        <w:rPr>
          <w:rFonts w:hint="eastAsia" w:ascii="方正小标宋简体" w:hAnsi="方正小标宋简体" w:eastAsia="方正小标宋简体" w:cs="方正小标宋简体"/>
          <w:sz w:val="44"/>
          <w:szCs w:val="44"/>
        </w:rPr>
      </w:pPr>
    </w:p>
    <w:p>
      <w:pPr>
        <w:pStyle w:val="2"/>
        <w:rPr>
          <w:rFonts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spacing w:line="560" w:lineRule="exact"/>
        <w:ind w:firstLine="320" w:firstLineChars="100"/>
        <w:jc w:val="center"/>
        <w:rPr>
          <w:rFonts w:hint="eastAsia" w:ascii="黑体" w:hAnsi="黑体" w:eastAsia="黑体" w:cs="黑体"/>
          <w:sz w:val="32"/>
          <w:szCs w:val="32"/>
        </w:rPr>
      </w:pPr>
      <w:r>
        <w:rPr>
          <w:rFonts w:hint="eastAsia" w:ascii="黑体" w:hAnsi="黑体" w:eastAsia="黑体" w:cs="黑体"/>
          <w:sz w:val="32"/>
          <w:szCs w:val="32"/>
        </w:rPr>
        <w:t>第二部分  202</w:t>
      </w:r>
      <w:r>
        <w:rPr>
          <w:rFonts w:ascii="黑体" w:hAnsi="黑体" w:eastAsia="黑体" w:cs="黑体"/>
          <w:sz w:val="32"/>
          <w:szCs w:val="32"/>
        </w:rPr>
        <w:t>5</w:t>
      </w:r>
      <w:r>
        <w:rPr>
          <w:rFonts w:hint="eastAsia" w:ascii="黑体" w:hAnsi="黑体" w:eastAsia="黑体" w:cs="黑体"/>
          <w:sz w:val="32"/>
          <w:szCs w:val="32"/>
        </w:rPr>
        <w:t>年部门预算表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kern w:val="2"/>
          <w:sz w:val="32"/>
          <w:szCs w:val="32"/>
          <w:lang w:val="zh-CN" w:eastAsia="zh-CN" w:bidi="ar"/>
        </w:rPr>
        <w:t xml:space="preserve">表一、部门收支总体情况表 </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表二、部门收入总体情况表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表三、部门支出总体情况表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表四、项目支出表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表五、政府采购预算明细表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表六、财政拨款收支预算总表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表七、一般公共预算财政拨款支出表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表八、一般公共预算财政拨款基本支出表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表九、政府性基金预算财政拨款支出表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表十、国有资本经营预算财政拨款支出表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表十一、财政拨款（含一般公共预算和政府性基金预算）“三公”经费支出表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表十二、政府购买服务预算财政拨款明细表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表十三、项目支出绩效表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表十四、部门整体支出绩效目标申报表</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202</w:t>
      </w:r>
      <w:r>
        <w:rPr>
          <w:rFonts w:ascii="方正小标宋简体" w:hAnsi="方正小标宋简体" w:eastAsia="方正小标宋简体" w:cs="方正小标宋简体"/>
          <w:sz w:val="44"/>
          <w:szCs w:val="44"/>
        </w:rPr>
        <w:t>5</w:t>
      </w:r>
      <w:r>
        <w:rPr>
          <w:rFonts w:hint="eastAsia" w:ascii="方正小标宋简体" w:hAnsi="方正小标宋简体" w:eastAsia="方正小标宋简体" w:cs="方正小标宋简体"/>
          <w:sz w:val="44"/>
          <w:szCs w:val="44"/>
        </w:rPr>
        <w:t>年部门预算情况说明</w:t>
      </w:r>
    </w:p>
    <w:p>
      <w:pPr>
        <w:spacing w:line="360" w:lineRule="auto"/>
        <w:ind w:firstLine="643" w:firstLineChars="200"/>
        <w:rPr>
          <w:rFonts w:hint="eastAsia" w:ascii="楷体_GB2312" w:eastAsia="楷体_GB2312"/>
          <w:b/>
          <w:sz w:val="32"/>
          <w:szCs w:val="32"/>
        </w:rPr>
      </w:pPr>
    </w:p>
    <w:p>
      <w:pPr>
        <w:spacing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一、部门主要职责及机构设置情况</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（一）部门机构设置、职责</w:t>
      </w:r>
    </w:p>
    <w:p>
      <w:pPr>
        <w:spacing w:line="560" w:lineRule="exact"/>
        <w:ind w:firstLine="964" w:firstLineChars="3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1.部门机构设置</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北京市西城区文化和旅游局（简称区文化和旅游局）是根据《北京市西城区文化和旅游局职能配置、内设机构和人员编制规定》（京西办字【2019】14号）设立，是区政府工作部门，为正处级。根据《中共北京市西城区委机构编制委员会关于在区文化和旅游局加挂牌子及核定所属行政执法机构编制职数的通知》（西编发【2021】16号），在北京市西城区文化和旅游局加挂北京市西城区文物局牌子（简称区文物局)。根据《中共北京市西城区委机构编制委员会关于调整区文化和旅游局（区文物局）内设机构及编制的批复》（西编发【2022】30号），区文化和旅游局内设机构及行政编制进行了调整。调整后的情况如下：</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区文化和旅游局（区文物局）设下列内设机构：办公室、政策法规科（研究室）、行政审批科、公共服务科、非物质文化遗产科、文物保护科、文物利用科、文化旅游科、对外交流与合作科、文化活动科、行业管理科、安全与应急科（假日办）、财务审计科、党群工作办公室、人事科、离退休干部科。</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区文化和旅游局（区文物局）机关行政编制为</w:t>
      </w:r>
      <w:r>
        <w:rPr>
          <w:rFonts w:hint="eastAsia" w:eastAsia="仿宋_GB2312"/>
          <w:color w:val="auto"/>
          <w:kern w:val="2"/>
          <w:sz w:val="32"/>
          <w:szCs w:val="32"/>
          <w:lang w:val="en-US" w:eastAsia="zh-CN"/>
        </w:rPr>
        <w:t>58</w:t>
      </w:r>
      <w:r>
        <w:rPr>
          <w:rFonts w:hint="eastAsia" w:eastAsia="仿宋_GB2312"/>
          <w:color w:val="auto"/>
          <w:kern w:val="2"/>
          <w:sz w:val="32"/>
          <w:szCs w:val="32"/>
        </w:rPr>
        <w:t>名。设局长1名，副局长4名。科级领导职数</w:t>
      </w:r>
      <w:r>
        <w:rPr>
          <w:rFonts w:hint="eastAsia" w:eastAsia="仿宋_GB2312"/>
          <w:color w:val="auto"/>
          <w:kern w:val="2"/>
          <w:sz w:val="32"/>
          <w:szCs w:val="32"/>
          <w:lang w:val="en-US" w:eastAsia="zh-CN"/>
        </w:rPr>
        <w:t>16</w:t>
      </w:r>
      <w:r>
        <w:rPr>
          <w:rFonts w:hint="eastAsia" w:eastAsia="仿宋_GB2312"/>
          <w:color w:val="auto"/>
          <w:kern w:val="2"/>
          <w:sz w:val="32"/>
          <w:szCs w:val="32"/>
        </w:rPr>
        <w:t>正（含离退休干部科科长1名）</w:t>
      </w:r>
      <w:r>
        <w:rPr>
          <w:rFonts w:hint="eastAsia" w:eastAsia="仿宋_GB2312"/>
          <w:color w:val="auto"/>
          <w:kern w:val="2"/>
          <w:sz w:val="32"/>
          <w:szCs w:val="32"/>
          <w:lang w:val="en-US" w:eastAsia="zh-CN"/>
        </w:rPr>
        <w:t>7</w:t>
      </w:r>
      <w:r>
        <w:rPr>
          <w:rFonts w:hint="eastAsia" w:eastAsia="仿宋_GB2312"/>
          <w:color w:val="auto"/>
          <w:kern w:val="2"/>
          <w:sz w:val="32"/>
          <w:szCs w:val="32"/>
        </w:rPr>
        <w:t>副。</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根据《中共北京市西城区委机构编制委员会关于区文化和旅游局所属事业单位机构职能编制调整的通知》（西编发【2021】37号），区文化和旅游局下属事业单位进行调整，调整后，区文化和旅游局所属事业单位共7户：包括：北京市西城区青少年儿童图书馆、北京市西城区文化馆、北京市西城区图书馆、北京市西城区社会文化管理所、北京市西城区阅读推广中心、北京市西城区旅游服务中心、北京市西城区旅游产业发展中心。</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行政单位2户：北京市西城区文化和旅游局（区文物局）、北京市西城区文化市场综合执法大队。</w:t>
      </w:r>
    </w:p>
    <w:p>
      <w:pPr>
        <w:spacing w:line="560" w:lineRule="exact"/>
        <w:ind w:firstLine="964" w:firstLineChars="3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2.部门职责</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区文化和旅游局（区文物局）贯彻落实党中央关于文化、旅游以及文物工作的方针政策、决策部署和市委、区委有关工作要求，研究制定具体工作措施并组织落实，在履行职责过程中坚持和加强党对文化、旅游以及文物工作的集中统一领导。</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主要职责是：</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（1）贯彻落实国家和本市关于文化、旅游以及文物工作的法律法规、规章和政策。</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（2）统筹规划本区文化事业、文化产业和旅游业发展，拟订发展规划并组织实施，推进文化和旅游融合发展，推进文化、旅游以及文物事业的体制机制改革。</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3）管理本区重大文化活动，指导本区重点及基层文化设施建设和旅游设施建设。立足首都核心区，参与国家和北京市旅游整体形象的对外宣传和重大推广活动。组织本区文化、旅游对外宣传和推广活动，促进文化产业和旅游业对外合作和市场推广，负责制定本区旅游市场开发战略并组织实施，落实推进全域旅游。</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（4）负责本区公共文化事业发展，推进公共文化服务体系建设和旅游公共服务体系建设，深入实施文化和旅游惠民工程，统筹推进基本公共文化和旅游服务标准化。</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（5）指导、推进本区文化和旅游科技创新发展，推进文化和旅游业信息化、标准化建设。</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（6）负责本区非物质文化遗产保护、保存，推动非物质文化遗产的保护、传承、传播和发展。</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（7）负责拟订本区文物事业发展规划并组织实施，负责文化保护单位管理工作，会同有关部门负责老城历史文化保护与复兴工作。指导博物馆工作。</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（8）统筹规划本区文化产业和旅游业，组织实施文化、旅游、文物资源的普查、挖掘、保护和利用工作，促进文化产业、旅游业和文物事业的发展。</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（9）指导本区文化和旅游市场发展，负责对文化和旅游市场经营进行行业监管，推进文化和旅游业信用体系建设，依法规范文化和旅游市场。</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（10）在区委宣传部门指导下，组织开展本区文化市场综合执法，组织查处文化、文物、出版、广播电视、电影、旅游等市场的违法行为，维护市场秩序。</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（11）指导、管理本区文化和旅游对外及对港澳台交流、合作和宣传、推广工作，负责组织大型文化和旅游对外及对港澳台交流活动。</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12）指导、管理本区文化创意产业发展，拟订相关发展规划并组织实施。统筹推进文化创意产业发展服务体系建设，指导协调文化创意产业基地、园区建设，协调推进文化创意产业重大项目建设。代为管理区文化创意产业促进中心。</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（13）按照“管行业必须管安全，管业务必须管安全，管生产经营必须管安全”的要求，承担相关安全生产工作职责。</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（14）完成区委、区政府交办的其他任务。</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（二）人员构成情况</w:t>
      </w:r>
    </w:p>
    <w:p>
      <w:pPr>
        <w:pStyle w:val="6"/>
        <w:spacing w:line="560" w:lineRule="exact"/>
        <w:ind w:firstLine="640" w:firstLineChars="200"/>
        <w:jc w:val="both"/>
        <w:rPr>
          <w:rFonts w:hint="eastAsia" w:eastAsia="仿宋_GB2312"/>
          <w:color w:val="auto"/>
          <w:kern w:val="2"/>
          <w:sz w:val="32"/>
          <w:szCs w:val="32"/>
        </w:rPr>
      </w:pPr>
      <w:r>
        <w:rPr>
          <w:rFonts w:hint="eastAsia" w:eastAsia="仿宋_GB2312"/>
          <w:color w:val="auto"/>
          <w:kern w:val="2"/>
          <w:sz w:val="32"/>
          <w:szCs w:val="32"/>
        </w:rPr>
        <w:t>区文化和旅游局（区文物局）：行政实有人数</w:t>
      </w:r>
      <w:r>
        <w:rPr>
          <w:rFonts w:eastAsia="仿宋_GB2312"/>
          <w:color w:val="auto"/>
          <w:kern w:val="2"/>
          <w:sz w:val="32"/>
          <w:szCs w:val="32"/>
        </w:rPr>
        <w:t>54</w:t>
      </w:r>
      <w:r>
        <w:rPr>
          <w:rFonts w:hint="eastAsia" w:eastAsia="仿宋_GB2312"/>
          <w:color w:val="auto"/>
          <w:kern w:val="2"/>
          <w:sz w:val="32"/>
          <w:szCs w:val="32"/>
        </w:rPr>
        <w:t>人;事业实有人数20人；工勤实有人数2名；离休人员0人，退休人员</w:t>
      </w:r>
      <w:r>
        <w:rPr>
          <w:rFonts w:eastAsia="仿宋_GB2312"/>
          <w:color w:val="auto"/>
          <w:kern w:val="2"/>
          <w:sz w:val="32"/>
          <w:szCs w:val="32"/>
        </w:rPr>
        <w:t>77</w:t>
      </w:r>
      <w:r>
        <w:rPr>
          <w:rFonts w:hint="eastAsia" w:eastAsia="仿宋_GB2312"/>
          <w:color w:val="auto"/>
          <w:kern w:val="2"/>
          <w:sz w:val="32"/>
          <w:szCs w:val="32"/>
        </w:rPr>
        <w:t>人。</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二、202</w:t>
      </w:r>
      <w:r>
        <w:rPr>
          <w:rFonts w:ascii="黑体" w:hAnsi="黑体" w:eastAsia="黑体" w:cs="黑体"/>
          <w:sz w:val="32"/>
          <w:szCs w:val="32"/>
        </w:rPr>
        <w:t>5</w:t>
      </w:r>
      <w:r>
        <w:rPr>
          <w:rFonts w:hint="eastAsia" w:ascii="黑体" w:hAnsi="黑体" w:eastAsia="黑体" w:cs="黑体"/>
          <w:sz w:val="32"/>
          <w:szCs w:val="32"/>
        </w:rPr>
        <w:t>年部门预算收支及增减变化情况说明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(一)收入预算说明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年收入预算</w:t>
      </w:r>
      <w:r>
        <w:rPr>
          <w:rFonts w:ascii="仿宋_GB2312" w:hAnsi="仿宋_GB2312" w:eastAsia="仿宋_GB2312" w:cs="仿宋_GB2312"/>
          <w:sz w:val="32"/>
          <w:szCs w:val="32"/>
        </w:rPr>
        <w:t>8068.304542</w:t>
      </w:r>
      <w:r>
        <w:rPr>
          <w:rFonts w:hint="eastAsia" w:ascii="仿宋_GB2312" w:hAnsi="仿宋_GB2312" w:eastAsia="仿宋_GB2312" w:cs="仿宋_GB2312"/>
          <w:sz w:val="32"/>
          <w:szCs w:val="32"/>
        </w:rPr>
        <w:t>万元，与202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年收入预算10,127.840583万元相比减少了</w:t>
      </w:r>
      <w:r>
        <w:rPr>
          <w:rFonts w:ascii="仿宋_GB2312" w:hAnsi="仿宋_GB2312" w:eastAsia="仿宋_GB2312" w:cs="仿宋_GB2312"/>
          <w:sz w:val="32"/>
          <w:szCs w:val="32"/>
        </w:rPr>
        <w:t>20.34</w:t>
      </w:r>
      <w:r>
        <w:rPr>
          <w:rFonts w:hint="eastAsia" w:ascii="仿宋_GB2312" w:hAnsi="仿宋_GB2312" w:eastAsia="仿宋_GB2312" w:cs="仿宋_GB2312"/>
          <w:sz w:val="32"/>
          <w:szCs w:val="32"/>
        </w:rPr>
        <w:t>%。主要减少的原因：市级旅游发展补助资金减少和区级财政拨款的减少。其中：区级财政拨款</w:t>
      </w:r>
      <w:r>
        <w:rPr>
          <w:rFonts w:ascii="仿宋_GB2312" w:hAnsi="仿宋_GB2312" w:eastAsia="仿宋_GB2312" w:cs="仿宋_GB2312"/>
          <w:sz w:val="32"/>
          <w:szCs w:val="32"/>
        </w:rPr>
        <w:t>1,483.287271</w:t>
      </w:r>
      <w:r>
        <w:rPr>
          <w:rFonts w:hint="eastAsia" w:ascii="仿宋_GB2312" w:hAnsi="仿宋_GB2312" w:eastAsia="仿宋_GB2312" w:cs="仿宋_GB2312"/>
          <w:sz w:val="32"/>
          <w:szCs w:val="32"/>
        </w:rPr>
        <w:t>万元，与202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年区级财政拨款</w:t>
      </w:r>
      <w:r>
        <w:rPr>
          <w:rFonts w:ascii="仿宋_GB2312" w:hAnsi="仿宋_GB2312" w:eastAsia="仿宋_GB2312" w:cs="仿宋_GB2312"/>
          <w:sz w:val="32"/>
          <w:szCs w:val="32"/>
        </w:rPr>
        <w:t>4,295.870213</w:t>
      </w:r>
      <w:r>
        <w:rPr>
          <w:rFonts w:hint="eastAsia" w:ascii="仿宋_GB2312" w:hAnsi="仿宋_GB2312" w:eastAsia="仿宋_GB2312" w:cs="仿宋_GB2312"/>
          <w:sz w:val="32"/>
          <w:szCs w:val="32"/>
        </w:rPr>
        <w:t>万元相比减少了</w:t>
      </w:r>
      <w:r>
        <w:rPr>
          <w:rFonts w:ascii="仿宋_GB2312" w:hAnsi="仿宋_GB2312" w:eastAsia="仿宋_GB2312" w:cs="仿宋_GB2312"/>
          <w:sz w:val="32"/>
          <w:szCs w:val="32"/>
        </w:rPr>
        <w:t>65.47</w:t>
      </w:r>
      <w:r>
        <w:rPr>
          <w:rFonts w:hint="eastAsia" w:ascii="仿宋_GB2312" w:hAnsi="仿宋_GB2312" w:eastAsia="仿宋_GB2312" w:cs="仿宋_GB2312"/>
          <w:sz w:val="32"/>
          <w:szCs w:val="32"/>
        </w:rPr>
        <w:t>%，主要为基本建设项目资金减少；2024年其他资金0万元；市级提前下达专项转移支付项目资金安排</w:t>
      </w:r>
      <w:r>
        <w:rPr>
          <w:rFonts w:ascii="仿宋_GB2312" w:hAnsi="仿宋_GB2312" w:eastAsia="仿宋_GB2312" w:cs="仿宋_GB2312"/>
          <w:sz w:val="32"/>
          <w:szCs w:val="32"/>
        </w:rPr>
        <w:t>3772.434329</w:t>
      </w:r>
      <w:r>
        <w:rPr>
          <w:rFonts w:hint="eastAsia" w:ascii="仿宋_GB2312" w:hAnsi="仿宋_GB2312" w:eastAsia="仿宋_GB2312" w:cs="仿宋_GB2312"/>
          <w:sz w:val="32"/>
          <w:szCs w:val="32"/>
        </w:rPr>
        <w:t>万元，与202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年市级提前下达专项转移支付项目资金4,675.142万元相比减少</w:t>
      </w:r>
      <w:r>
        <w:rPr>
          <w:rFonts w:ascii="仿宋_GB2312" w:hAnsi="仿宋_GB2312" w:eastAsia="仿宋_GB2312" w:cs="仿宋_GB2312"/>
          <w:sz w:val="32"/>
          <w:szCs w:val="32"/>
        </w:rPr>
        <w:t>19.31</w:t>
      </w:r>
      <w:r>
        <w:rPr>
          <w:rFonts w:hint="eastAsia" w:ascii="仿宋_GB2312" w:hAnsi="仿宋_GB2312" w:eastAsia="仿宋_GB2312" w:cs="仿宋_GB2312"/>
          <w:sz w:val="32"/>
          <w:szCs w:val="32"/>
        </w:rPr>
        <w:t>%。</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(二)支出预算说明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年支出预算合计为</w:t>
      </w:r>
      <w:r>
        <w:rPr>
          <w:rFonts w:ascii="仿宋_GB2312" w:hAnsi="仿宋_GB2312" w:eastAsia="仿宋_GB2312" w:cs="仿宋_GB2312"/>
          <w:sz w:val="32"/>
          <w:szCs w:val="32"/>
        </w:rPr>
        <w:t>8,068.304542</w:t>
      </w:r>
      <w:r>
        <w:rPr>
          <w:rFonts w:hint="eastAsia" w:ascii="仿宋_GB2312" w:hAnsi="仿宋_GB2312" w:eastAsia="仿宋_GB2312" w:cs="仿宋_GB2312"/>
          <w:sz w:val="32"/>
          <w:szCs w:val="32"/>
        </w:rPr>
        <w:t>万元，与202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年支出预算合计10,127.840583万元相比减少</w:t>
      </w:r>
      <w:r>
        <w:rPr>
          <w:rFonts w:ascii="仿宋_GB2312" w:hAnsi="仿宋_GB2312" w:eastAsia="仿宋_GB2312" w:cs="仿宋_GB2312"/>
          <w:sz w:val="32"/>
          <w:szCs w:val="32"/>
        </w:rPr>
        <w:t>20.34</w:t>
      </w:r>
      <w:r>
        <w:rPr>
          <w:rFonts w:hint="eastAsia" w:ascii="仿宋_GB2312" w:hAnsi="仿宋_GB2312" w:eastAsia="仿宋_GB2312" w:cs="仿宋_GB2312"/>
          <w:sz w:val="32"/>
          <w:szCs w:val="32"/>
        </w:rPr>
        <w:t>%，其中：</w:t>
      </w:r>
    </w:p>
    <w:p>
      <w:pPr>
        <w:spacing w:line="560" w:lineRule="exact"/>
        <w:ind w:firstLine="640" w:firstLineChars="200"/>
        <w:rPr>
          <w:rFonts w:hint="eastAsia" w:ascii="仿宋_GB2312" w:eastAsia="仿宋_GB2312"/>
          <w:sz w:val="32"/>
          <w:szCs w:val="32"/>
        </w:rPr>
      </w:pPr>
      <w:r>
        <w:rPr>
          <w:rFonts w:hint="eastAsia" w:ascii="仿宋_GB2312" w:hAnsi="仿宋_GB2312" w:eastAsia="仿宋_GB2312" w:cs="仿宋_GB2312"/>
          <w:sz w:val="32"/>
          <w:szCs w:val="32"/>
        </w:rPr>
        <w:t>基本支出预算为</w:t>
      </w:r>
      <w:r>
        <w:rPr>
          <w:rFonts w:ascii="仿宋_GB2312" w:hAnsi="仿宋_GB2312" w:eastAsia="仿宋_GB2312" w:cs="仿宋_GB2312"/>
          <w:sz w:val="32"/>
          <w:szCs w:val="32"/>
        </w:rPr>
        <w:t>2,812.582942</w:t>
      </w:r>
      <w:r>
        <w:rPr>
          <w:rFonts w:hint="eastAsia" w:ascii="仿宋_GB2312" w:hAnsi="仿宋_GB2312" w:eastAsia="仿宋_GB2312" w:cs="仿宋_GB2312"/>
          <w:sz w:val="32"/>
          <w:szCs w:val="32"/>
        </w:rPr>
        <w:t>万元，占总支出预算的</w:t>
      </w:r>
      <w:r>
        <w:rPr>
          <w:rFonts w:ascii="仿宋_GB2312" w:hAnsi="仿宋_GB2312" w:eastAsia="仿宋_GB2312" w:cs="仿宋_GB2312"/>
          <w:sz w:val="32"/>
          <w:szCs w:val="32"/>
        </w:rPr>
        <w:t>34.86</w:t>
      </w:r>
      <w:r>
        <w:rPr>
          <w:rFonts w:hint="eastAsia" w:ascii="仿宋_GB2312" w:hAnsi="仿宋_GB2312" w:eastAsia="仿宋_GB2312" w:cs="仿宋_GB2312"/>
          <w:sz w:val="32"/>
          <w:szCs w:val="32"/>
        </w:rPr>
        <w:t>%，与202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年基本支出预算2,985.726510万元相比减少</w:t>
      </w:r>
      <w:r>
        <w:rPr>
          <w:rFonts w:ascii="仿宋_GB2312" w:hAnsi="仿宋_GB2312" w:eastAsia="仿宋_GB2312" w:cs="仿宋_GB2312"/>
          <w:sz w:val="32"/>
          <w:szCs w:val="32"/>
        </w:rPr>
        <w:t>173.143568</w:t>
      </w:r>
      <w:r>
        <w:rPr>
          <w:rFonts w:hint="eastAsia" w:ascii="仿宋_GB2312" w:hAnsi="仿宋_GB2312" w:eastAsia="仿宋_GB2312" w:cs="仿宋_GB2312"/>
          <w:sz w:val="32"/>
          <w:szCs w:val="32"/>
        </w:rPr>
        <w:t>万元，减少5.</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％，减少的主要原因：在职及退休人员减少。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项目支出预算为</w:t>
      </w:r>
      <w:r>
        <w:rPr>
          <w:rFonts w:ascii="仿宋_GB2312" w:hAnsi="仿宋_GB2312" w:eastAsia="仿宋_GB2312" w:cs="仿宋_GB2312"/>
          <w:sz w:val="32"/>
          <w:szCs w:val="32"/>
        </w:rPr>
        <w:t>5,255.7216</w:t>
      </w:r>
      <w:r>
        <w:rPr>
          <w:rFonts w:hint="eastAsia" w:ascii="仿宋_GB2312" w:hAnsi="仿宋_GB2312" w:eastAsia="仿宋_GB2312" w:cs="仿宋_GB2312"/>
          <w:sz w:val="32"/>
          <w:szCs w:val="32"/>
        </w:rPr>
        <w:t>万元，占总支出预算的</w:t>
      </w:r>
      <w:r>
        <w:rPr>
          <w:rFonts w:ascii="仿宋_GB2312" w:hAnsi="仿宋_GB2312" w:eastAsia="仿宋_GB2312" w:cs="仿宋_GB2312"/>
          <w:sz w:val="32"/>
          <w:szCs w:val="32"/>
        </w:rPr>
        <w:t>65.14</w:t>
      </w:r>
      <w:r>
        <w:rPr>
          <w:rFonts w:hint="eastAsia" w:ascii="仿宋_GB2312" w:hAnsi="仿宋_GB2312" w:eastAsia="仿宋_GB2312" w:cs="仿宋_GB2312"/>
          <w:sz w:val="32"/>
          <w:szCs w:val="32"/>
        </w:rPr>
        <w:t>%，与202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年项目支出预算7,142.114073万元相比</w:t>
      </w:r>
      <w:r>
        <w:rPr>
          <w:rFonts w:hint="eastAsia" w:ascii="仿宋_GB2312" w:hAnsi="仿宋_GB2312" w:eastAsia="仿宋_GB2312" w:cs="仿宋_GB2312"/>
          <w:sz w:val="32"/>
          <w:szCs w:val="32"/>
          <w:lang w:val="en-US" w:eastAsia="zh-CN"/>
        </w:rPr>
        <w:t>减少</w:t>
      </w:r>
      <w:r>
        <w:rPr>
          <w:rFonts w:ascii="仿宋_GB2312" w:hAnsi="仿宋_GB2312" w:eastAsia="仿宋_GB2312" w:cs="仿宋_GB2312"/>
          <w:sz w:val="32"/>
          <w:szCs w:val="32"/>
        </w:rPr>
        <w:t>1,886.392473</w:t>
      </w:r>
      <w:r>
        <w:rPr>
          <w:rFonts w:hint="eastAsia" w:ascii="仿宋_GB2312" w:hAnsi="仿宋_GB2312" w:eastAsia="仿宋_GB2312" w:cs="仿宋_GB2312"/>
          <w:sz w:val="32"/>
          <w:szCs w:val="32"/>
        </w:rPr>
        <w:t>万元，减少</w:t>
      </w:r>
      <w:r>
        <w:rPr>
          <w:rFonts w:ascii="仿宋_GB2312" w:hAnsi="仿宋_GB2312" w:eastAsia="仿宋_GB2312" w:cs="仿宋_GB2312"/>
          <w:sz w:val="32"/>
          <w:szCs w:val="32"/>
        </w:rPr>
        <w:t>26.41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的主要原因：基本建设项目资金</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市级提前下达专项转移支付项目资金安排</w:t>
      </w:r>
      <w:r>
        <w:rPr>
          <w:rFonts w:ascii="仿宋_GB2312" w:hAnsi="仿宋_GB2312" w:eastAsia="仿宋_GB2312" w:cs="仿宋_GB2312"/>
          <w:sz w:val="32"/>
          <w:szCs w:val="32"/>
        </w:rPr>
        <w:t>3772.434329</w:t>
      </w:r>
      <w:r>
        <w:rPr>
          <w:rFonts w:hint="eastAsia" w:ascii="仿宋_GB2312" w:hAnsi="仿宋_GB2312" w:eastAsia="仿宋_GB2312" w:cs="仿宋_GB2312"/>
          <w:sz w:val="32"/>
          <w:szCs w:val="32"/>
        </w:rPr>
        <w:t>万元，与202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年市级提前下达专项转移支付项目资金安排</w:t>
      </w:r>
      <w:r>
        <w:rPr>
          <w:rFonts w:ascii="仿宋_GB2312" w:hAnsi="仿宋_GB2312" w:eastAsia="仿宋_GB2312" w:cs="仿宋_GB2312"/>
          <w:sz w:val="32"/>
          <w:szCs w:val="32"/>
        </w:rPr>
        <w:t>4,675.142</w:t>
      </w:r>
      <w:r>
        <w:rPr>
          <w:rFonts w:hint="eastAsia" w:ascii="仿宋_GB2312" w:hAnsi="仿宋_GB2312" w:eastAsia="仿宋_GB2312" w:cs="仿宋_GB2312"/>
          <w:sz w:val="32"/>
          <w:szCs w:val="32"/>
        </w:rPr>
        <w:t>万元相比减少</w:t>
      </w:r>
      <w:r>
        <w:rPr>
          <w:rFonts w:ascii="仿宋_GB2312" w:hAnsi="仿宋_GB2312" w:eastAsia="仿宋_GB2312" w:cs="仿宋_GB2312"/>
          <w:sz w:val="32"/>
          <w:szCs w:val="32"/>
        </w:rPr>
        <w:t>19.31</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eastAsia="仿宋_GB2312"/>
          <w:b/>
          <w:sz w:val="32"/>
          <w:szCs w:val="32"/>
        </w:rPr>
      </w:pPr>
      <w:r>
        <w:rPr>
          <w:rFonts w:hint="eastAsia" w:ascii="黑体" w:hAnsi="黑体" w:eastAsia="黑体" w:cs="黑体"/>
          <w:sz w:val="32"/>
          <w:szCs w:val="32"/>
        </w:rPr>
        <w:t>三、主要支出情况：</w:t>
      </w:r>
      <w:r>
        <w:rPr>
          <w:rFonts w:hint="eastAsia" w:ascii="仿宋_GB2312" w:eastAsia="仿宋_GB2312"/>
          <w:b/>
          <w:sz w:val="32"/>
          <w:szCs w:val="32"/>
        </w:rPr>
        <w:t>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预算主要用于：①开展各项惠民文化活动和公共文化旅游设施建设；②文物保护、文物修缮工程项目；③非物质文化遗产保护、传承与管理；④品牌文化、旅游活动组织，文化旅游产业项目实施；⑤文化旅游市场监督执法；⑥住宿业转型提升等。</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四、部门“三公”经费财政拨款预算说明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（一）“三公”经费预算单位范围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区文化和旅游局（区文物局）部门预算中因公出国（境）费、公务接待费、公务用车购置及运行维护费的支出。</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（二）“三公”经费预算财政拨款情况说明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年“三公”经费财政拨款预算安排0.766728万元，与202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年“三公”经费财政拨款预算安排</w:t>
      </w:r>
      <w:bookmarkStart w:id="0" w:name="OLE_LINK7"/>
      <w:r>
        <w:rPr>
          <w:rFonts w:hint="eastAsia" w:ascii="仿宋_GB2312" w:hAnsi="仿宋_GB2312" w:eastAsia="仿宋_GB2312" w:cs="仿宋_GB2312"/>
          <w:sz w:val="32"/>
          <w:szCs w:val="32"/>
        </w:rPr>
        <w:t>0.766728</w:t>
      </w:r>
      <w:bookmarkEnd w:id="0"/>
      <w:r>
        <w:rPr>
          <w:rFonts w:hint="eastAsia" w:ascii="仿宋_GB2312" w:hAnsi="仿宋_GB2312" w:eastAsia="仿宋_GB2312" w:cs="仿宋_GB2312"/>
          <w:sz w:val="32"/>
          <w:szCs w:val="32"/>
        </w:rPr>
        <w:t>万元，相比无变化。其中：</w:t>
      </w:r>
    </w:p>
    <w:p>
      <w:pPr>
        <w:spacing w:line="560" w:lineRule="exact"/>
        <w:ind w:firstLine="964" w:firstLineChars="3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1.因公出国（境）费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年因公出国（境）费财政拨款预算安排0万元，与202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年相比没有变化。因公出国（境）费年初不安排预算，根据当年实际情况予以追加。</w:t>
      </w:r>
    </w:p>
    <w:p>
      <w:pPr>
        <w:spacing w:line="560" w:lineRule="exact"/>
        <w:ind w:firstLine="964" w:firstLineChars="3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2.公务接待费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年财政拨款预算安排0.766728万元，与202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年财政拨款预算安排0.766728万元相比没有变化，主要原因为计提基数无变化。</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3.公务用车购置及运行维护费</w:t>
      </w:r>
    </w:p>
    <w:p>
      <w:pPr>
        <w:spacing w:line="560" w:lineRule="exact"/>
        <w:ind w:firstLine="640" w:firstLineChars="200"/>
        <w:rPr>
          <w:rFonts w:hint="eastAsia" w:ascii="仿宋_GB2312" w:eastAsia="仿宋_GB2312"/>
          <w:sz w:val="32"/>
          <w:szCs w:val="32"/>
        </w:rPr>
      </w:pPr>
      <w:r>
        <w:rPr>
          <w:rFonts w:hint="eastAsia" w:ascii="仿宋_GB2312" w:hAnsi="仿宋_GB2312" w:eastAsia="仿宋_GB2312" w:cs="仿宋_GB2312"/>
          <w:sz w:val="32"/>
          <w:szCs w:val="32"/>
        </w:rPr>
        <w:t>公车改革以后，我单位无车，所以无此项支出。</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五、其他情况说明</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（一）机关运行经费说明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年区文化和旅游局（区文物局）的机关运行经费财政拨款预算</w:t>
      </w:r>
      <w:r>
        <w:rPr>
          <w:rFonts w:ascii="仿宋_GB2312" w:hAnsi="仿宋_GB2312" w:eastAsia="仿宋_GB2312" w:cs="仿宋_GB2312"/>
          <w:sz w:val="32"/>
          <w:szCs w:val="32"/>
        </w:rPr>
        <w:t>235.839690</w:t>
      </w:r>
      <w:r>
        <w:rPr>
          <w:rFonts w:hint="eastAsia" w:ascii="仿宋_GB2312" w:hAnsi="仿宋_GB2312" w:eastAsia="仿宋_GB2312" w:cs="仿宋_GB2312"/>
          <w:sz w:val="32"/>
          <w:szCs w:val="32"/>
        </w:rPr>
        <w:t>万元，</w:t>
      </w:r>
      <w:bookmarkStart w:id="1" w:name="_GoBack"/>
      <w:bookmarkEnd w:id="1"/>
      <w:r>
        <w:rPr>
          <w:rFonts w:hint="eastAsia" w:ascii="仿宋_GB2312" w:hAnsi="仿宋_GB2312" w:eastAsia="仿宋_GB2312" w:cs="仿宋_GB2312"/>
          <w:sz w:val="32"/>
          <w:szCs w:val="32"/>
        </w:rPr>
        <w:t>与202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年区文化和旅游局（区文物局）机关运行经费财政拨款预算258.670916万元相比减少了</w:t>
      </w:r>
      <w:r>
        <w:rPr>
          <w:rFonts w:ascii="仿宋_GB2312" w:hAnsi="仿宋_GB2312" w:eastAsia="仿宋_GB2312" w:cs="仿宋_GB2312"/>
          <w:sz w:val="32"/>
          <w:szCs w:val="32"/>
        </w:rPr>
        <w:t>8.83</w:t>
      </w:r>
      <w:r>
        <w:rPr>
          <w:rFonts w:hint="eastAsia" w:ascii="仿宋_GB2312" w:hAnsi="仿宋_GB2312" w:eastAsia="仿宋_GB2312" w:cs="仿宋_GB2312"/>
          <w:sz w:val="32"/>
          <w:szCs w:val="32"/>
        </w:rPr>
        <w:t>%,主要原因为：在职人员减少，对应公用经费减少。</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（二）政府采购预算说明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年政府采购预算总额</w:t>
      </w:r>
      <w:r>
        <w:rPr>
          <w:rFonts w:ascii="仿宋_GB2312" w:hAnsi="仿宋_GB2312" w:eastAsia="仿宋_GB2312" w:cs="仿宋_GB2312"/>
          <w:sz w:val="32"/>
          <w:szCs w:val="32"/>
        </w:rPr>
        <w:t>121.74</w:t>
      </w:r>
      <w:r>
        <w:rPr>
          <w:rFonts w:hint="eastAsia" w:ascii="仿宋_GB2312" w:hAnsi="仿宋_GB2312" w:eastAsia="仿宋_GB2312" w:cs="仿宋_GB2312"/>
          <w:sz w:val="32"/>
          <w:szCs w:val="32"/>
        </w:rPr>
        <w:t>万元，采购项目</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个。其中：政府采购货物预算</w:t>
      </w:r>
      <w:r>
        <w:rPr>
          <w:rFonts w:ascii="仿宋_GB2312" w:hAnsi="仿宋_GB2312" w:eastAsia="仿宋_GB2312" w:cs="仿宋_GB2312"/>
          <w:sz w:val="32"/>
          <w:szCs w:val="32"/>
        </w:rPr>
        <w:t>7.5</w:t>
      </w:r>
      <w:r>
        <w:rPr>
          <w:rFonts w:hint="eastAsia" w:ascii="仿宋_GB2312" w:hAnsi="仿宋_GB2312" w:eastAsia="仿宋_GB2312" w:cs="仿宋_GB2312"/>
          <w:sz w:val="32"/>
          <w:szCs w:val="32"/>
        </w:rPr>
        <w:t>万元，政府采购工程预算0万元，政府采购服务预算</w:t>
      </w:r>
      <w:r>
        <w:rPr>
          <w:rFonts w:ascii="仿宋_GB2312" w:hAnsi="仿宋_GB2312" w:eastAsia="仿宋_GB2312" w:cs="仿宋_GB2312"/>
          <w:sz w:val="32"/>
          <w:szCs w:val="32"/>
        </w:rPr>
        <w:t>114.24</w:t>
      </w:r>
      <w:r>
        <w:rPr>
          <w:rFonts w:hint="eastAsia" w:ascii="仿宋_GB2312" w:hAnsi="仿宋_GB2312" w:eastAsia="仿宋_GB2312" w:cs="仿宋_GB2312"/>
          <w:sz w:val="32"/>
          <w:szCs w:val="32"/>
        </w:rPr>
        <w:t>万元。</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（三）政府购买服务预算说明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年政府购买服务预算总额20万元，项目1个。</w:t>
      </w:r>
    </w:p>
    <w:tbl>
      <w:tblPr>
        <w:tblStyle w:val="3"/>
        <w:tblW w:w="8715" w:type="dxa"/>
        <w:tblInd w:w="-174" w:type="dxa"/>
        <w:tblLayout w:type="fixed"/>
        <w:tblCellMar>
          <w:top w:w="0" w:type="dxa"/>
          <w:left w:w="0" w:type="dxa"/>
          <w:bottom w:w="0" w:type="dxa"/>
          <w:right w:w="0" w:type="dxa"/>
        </w:tblCellMar>
      </w:tblPr>
      <w:tblGrid>
        <w:gridCol w:w="1545"/>
        <w:gridCol w:w="1110"/>
        <w:gridCol w:w="870"/>
        <w:gridCol w:w="945"/>
        <w:gridCol w:w="1395"/>
        <w:gridCol w:w="994"/>
        <w:gridCol w:w="823"/>
        <w:gridCol w:w="1033"/>
      </w:tblGrid>
      <w:tr>
        <w:tblPrEx>
          <w:tblLayout w:type="fixed"/>
          <w:tblCellMar>
            <w:top w:w="0" w:type="dxa"/>
            <w:left w:w="0" w:type="dxa"/>
            <w:bottom w:w="0" w:type="dxa"/>
            <w:right w:w="0" w:type="dxa"/>
          </w:tblCellMar>
        </w:tblPrEx>
        <w:trPr>
          <w:trHeight w:val="285" w:hRule="atLeast"/>
        </w:trPr>
        <w:tc>
          <w:tcPr>
            <w:tcW w:w="8715" w:type="dxa"/>
            <w:gridSpan w:val="8"/>
            <w:tcBorders>
              <w:top w:val="single" w:color="FFFFFF" w:sz="4" w:space="0"/>
              <w:left w:val="single" w:color="FFFFFF" w:sz="4" w:space="0"/>
              <w:bottom w:val="single" w:color="FFFFFF" w:sz="4" w:space="0"/>
              <w:right w:val="single" w:color="FFFFFF" w:sz="4" w:space="0"/>
            </w:tcBorders>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黑体" w:hAnsi="宋体" w:eastAsia="黑体" w:cs="黑体"/>
                <w:b/>
                <w:color w:val="000000"/>
                <w:kern w:val="0"/>
                <w:sz w:val="24"/>
                <w:lang w:bidi="ar"/>
              </w:rPr>
            </w:pPr>
          </w:p>
          <w:p>
            <w:pPr>
              <w:keepNext w:val="0"/>
              <w:keepLines w:val="0"/>
              <w:widowControl/>
              <w:suppressLineNumbers w:val="0"/>
              <w:spacing w:before="0" w:beforeAutospacing="0" w:after="0" w:afterAutospacing="0"/>
              <w:ind w:left="0" w:right="0"/>
              <w:jc w:val="center"/>
              <w:textAlignment w:val="center"/>
              <w:rPr>
                <w:rFonts w:hint="default" w:ascii="黑体" w:hAnsi="宋体" w:eastAsia="黑体" w:cs="黑体"/>
                <w:b/>
                <w:color w:val="000000"/>
                <w:sz w:val="24"/>
              </w:rPr>
            </w:pPr>
            <w:r>
              <w:rPr>
                <w:rFonts w:hint="eastAsia" w:ascii="黑体" w:hAnsi="宋体" w:eastAsia="黑体" w:cs="黑体"/>
                <w:b/>
                <w:color w:val="000000"/>
                <w:kern w:val="0"/>
                <w:sz w:val="24"/>
                <w:lang w:bidi="ar"/>
              </w:rPr>
              <w:t>政府购买服务预算表</w:t>
            </w:r>
          </w:p>
        </w:tc>
      </w:tr>
      <w:tr>
        <w:tblPrEx>
          <w:tblLayout w:type="fixed"/>
          <w:tblCellMar>
            <w:top w:w="0" w:type="dxa"/>
            <w:left w:w="0" w:type="dxa"/>
            <w:bottom w:w="0" w:type="dxa"/>
            <w:right w:w="0" w:type="dxa"/>
          </w:tblCellMar>
        </w:tblPrEx>
        <w:trPr>
          <w:trHeight w:val="450" w:hRule="atLeast"/>
        </w:trPr>
        <w:tc>
          <w:tcPr>
            <w:tcW w:w="1545" w:type="dxa"/>
            <w:tcBorders>
              <w:top w:val="single" w:color="FFFFFF" w:sz="4" w:space="0"/>
              <w:left w:val="single" w:color="FFFFFF" w:sz="4" w:space="0"/>
              <w:bottom w:val="nil"/>
              <w:right w:val="single" w:color="FFFFFF" w:sz="4" w:space="0"/>
            </w:tcBorders>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cs="宋体"/>
                <w:color w:val="000000"/>
                <w:sz w:val="18"/>
                <w:szCs w:val="18"/>
              </w:rPr>
            </w:pPr>
          </w:p>
        </w:tc>
        <w:tc>
          <w:tcPr>
            <w:tcW w:w="1110" w:type="dxa"/>
            <w:tcBorders>
              <w:top w:val="single" w:color="FFFFFF" w:sz="4" w:space="0"/>
              <w:left w:val="single" w:color="FFFFFF" w:sz="4" w:space="0"/>
              <w:bottom w:val="nil"/>
              <w:right w:val="single" w:color="FFFFFF" w:sz="4" w:space="0"/>
            </w:tcBorders>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cs="宋体"/>
                <w:color w:val="000000"/>
                <w:sz w:val="18"/>
                <w:szCs w:val="18"/>
              </w:rPr>
            </w:pPr>
          </w:p>
        </w:tc>
        <w:tc>
          <w:tcPr>
            <w:tcW w:w="870" w:type="dxa"/>
            <w:tcBorders>
              <w:top w:val="single" w:color="FFFFFF" w:sz="4" w:space="0"/>
              <w:left w:val="single" w:color="FFFFFF" w:sz="4" w:space="0"/>
              <w:bottom w:val="nil"/>
              <w:right w:val="single" w:color="FFFFFF" w:sz="4" w:space="0"/>
            </w:tcBorders>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cs="宋体"/>
                <w:color w:val="000000"/>
                <w:sz w:val="18"/>
                <w:szCs w:val="18"/>
              </w:rPr>
            </w:pPr>
          </w:p>
        </w:tc>
        <w:tc>
          <w:tcPr>
            <w:tcW w:w="945" w:type="dxa"/>
            <w:tcBorders>
              <w:top w:val="single" w:color="FFFFFF" w:sz="4" w:space="0"/>
              <w:left w:val="single" w:color="FFFFFF" w:sz="4" w:space="0"/>
              <w:bottom w:val="nil"/>
              <w:right w:val="single" w:color="FFFFFF" w:sz="4" w:space="0"/>
            </w:tcBorders>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cs="宋体"/>
                <w:color w:val="000000"/>
                <w:sz w:val="18"/>
                <w:szCs w:val="18"/>
              </w:rPr>
            </w:pPr>
          </w:p>
        </w:tc>
        <w:tc>
          <w:tcPr>
            <w:tcW w:w="1395" w:type="dxa"/>
            <w:tcBorders>
              <w:top w:val="single" w:color="FFFFFF" w:sz="4" w:space="0"/>
              <w:left w:val="single" w:color="FFFFFF" w:sz="4" w:space="0"/>
              <w:bottom w:val="nil"/>
              <w:right w:val="single" w:color="FFFFFF" w:sz="4" w:space="0"/>
            </w:tcBorders>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cs="宋体"/>
                <w:color w:val="000000"/>
                <w:sz w:val="18"/>
                <w:szCs w:val="18"/>
              </w:rPr>
            </w:pPr>
          </w:p>
        </w:tc>
        <w:tc>
          <w:tcPr>
            <w:tcW w:w="994" w:type="dxa"/>
            <w:tcBorders>
              <w:top w:val="single" w:color="FFFFFF" w:sz="4" w:space="0"/>
              <w:left w:val="single" w:color="FFFFFF" w:sz="4" w:space="0"/>
              <w:bottom w:val="nil"/>
              <w:right w:val="single" w:color="FFFFFF" w:sz="4" w:space="0"/>
            </w:tcBorders>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cs="宋体"/>
                <w:color w:val="000000"/>
                <w:sz w:val="18"/>
                <w:szCs w:val="18"/>
              </w:rPr>
            </w:pPr>
          </w:p>
        </w:tc>
        <w:tc>
          <w:tcPr>
            <w:tcW w:w="823" w:type="dxa"/>
            <w:tcBorders>
              <w:top w:val="single" w:color="FFFFFF" w:sz="4" w:space="0"/>
              <w:left w:val="single" w:color="FFFFFF" w:sz="4" w:space="0"/>
              <w:bottom w:val="nil"/>
              <w:right w:val="single" w:color="FFFFFF" w:sz="4" w:space="0"/>
            </w:tcBorders>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cs="宋体"/>
                <w:color w:val="000000"/>
                <w:sz w:val="18"/>
                <w:szCs w:val="18"/>
              </w:rPr>
            </w:pPr>
          </w:p>
        </w:tc>
        <w:tc>
          <w:tcPr>
            <w:tcW w:w="1033" w:type="dxa"/>
            <w:tcBorders>
              <w:top w:val="single" w:color="FFFFFF" w:sz="4" w:space="0"/>
              <w:left w:val="single" w:color="FFFFFF" w:sz="4" w:space="0"/>
              <w:bottom w:val="nil"/>
              <w:right w:val="single" w:color="FFFFFF"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textAlignment w:val="center"/>
              <w:rPr>
                <w:rFonts w:hint="default" w:ascii="宋体" w:hAnsi="宋体" w:cs="宋体"/>
                <w:color w:val="000000"/>
                <w:sz w:val="18"/>
                <w:szCs w:val="18"/>
              </w:rPr>
            </w:pPr>
            <w:r>
              <w:rPr>
                <w:rFonts w:hint="default" w:ascii="宋体" w:hAnsi="宋体" w:cs="宋体"/>
                <w:color w:val="000000"/>
                <w:kern w:val="0"/>
                <w:sz w:val="18"/>
                <w:szCs w:val="18"/>
                <w:lang w:bidi="ar"/>
              </w:rPr>
              <w:t>金额单位：万元</w:t>
            </w:r>
          </w:p>
        </w:tc>
      </w:tr>
      <w:tr>
        <w:tblPrEx>
          <w:tblLayout w:type="fixed"/>
          <w:tblCellMar>
            <w:top w:w="0" w:type="dxa"/>
            <w:left w:w="0" w:type="dxa"/>
            <w:bottom w:w="0" w:type="dxa"/>
            <w:right w:w="0" w:type="dxa"/>
          </w:tblCellMar>
        </w:tblPrEx>
        <w:trPr>
          <w:trHeight w:val="440" w:hRule="atLeast"/>
        </w:trPr>
        <w:tc>
          <w:tcPr>
            <w:tcW w:w="1545" w:type="dxa"/>
            <w:vMerge w:val="restart"/>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项目名称</w:t>
            </w:r>
          </w:p>
        </w:tc>
        <w:tc>
          <w:tcPr>
            <w:tcW w:w="1110" w:type="dxa"/>
            <w:vMerge w:val="restart"/>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职能职责与活动</w:t>
            </w:r>
          </w:p>
        </w:tc>
        <w:tc>
          <w:tcPr>
            <w:tcW w:w="3210" w:type="dxa"/>
            <w:gridSpan w:val="3"/>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指导性目录</w:t>
            </w:r>
          </w:p>
        </w:tc>
        <w:tc>
          <w:tcPr>
            <w:tcW w:w="994" w:type="dxa"/>
            <w:vMerge w:val="restart"/>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服务领域</w:t>
            </w:r>
          </w:p>
        </w:tc>
        <w:tc>
          <w:tcPr>
            <w:tcW w:w="823" w:type="dxa"/>
            <w:vMerge w:val="restart"/>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本年预算金额</w:t>
            </w:r>
          </w:p>
        </w:tc>
        <w:tc>
          <w:tcPr>
            <w:tcW w:w="1033" w:type="dxa"/>
            <w:vMerge w:val="restart"/>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合同期限</w:t>
            </w:r>
          </w:p>
        </w:tc>
      </w:tr>
      <w:tr>
        <w:tblPrEx>
          <w:tblLayout w:type="fixed"/>
          <w:tblCellMar>
            <w:top w:w="0" w:type="dxa"/>
            <w:left w:w="0" w:type="dxa"/>
            <w:bottom w:w="0" w:type="dxa"/>
            <w:right w:w="0" w:type="dxa"/>
          </w:tblCellMar>
        </w:tblPrEx>
        <w:trPr>
          <w:trHeight w:val="380" w:hRule="atLeast"/>
        </w:trPr>
        <w:tc>
          <w:tcPr>
            <w:tcW w:w="1545" w:type="dxa"/>
            <w:vMerge w:val="continue"/>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cs="宋体"/>
                <w:b/>
                <w:color w:val="000000"/>
                <w:sz w:val="18"/>
                <w:szCs w:val="18"/>
              </w:rPr>
            </w:pPr>
          </w:p>
        </w:tc>
        <w:tc>
          <w:tcPr>
            <w:tcW w:w="1110" w:type="dxa"/>
            <w:vMerge w:val="continue"/>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cs="宋体"/>
                <w:b/>
                <w:color w:val="000000"/>
                <w:sz w:val="18"/>
                <w:szCs w:val="18"/>
              </w:rPr>
            </w:pPr>
          </w:p>
        </w:tc>
        <w:tc>
          <w:tcPr>
            <w:tcW w:w="870" w:type="dxa"/>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一级</w:t>
            </w:r>
          </w:p>
        </w:tc>
        <w:tc>
          <w:tcPr>
            <w:tcW w:w="945" w:type="dxa"/>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二级</w:t>
            </w:r>
          </w:p>
        </w:tc>
        <w:tc>
          <w:tcPr>
            <w:tcW w:w="1395" w:type="dxa"/>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三级</w:t>
            </w:r>
          </w:p>
        </w:tc>
        <w:tc>
          <w:tcPr>
            <w:tcW w:w="994" w:type="dxa"/>
            <w:vMerge w:val="continue"/>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cs="宋体"/>
                <w:b/>
                <w:color w:val="000000"/>
                <w:sz w:val="18"/>
                <w:szCs w:val="18"/>
              </w:rPr>
            </w:pPr>
          </w:p>
        </w:tc>
        <w:tc>
          <w:tcPr>
            <w:tcW w:w="823" w:type="dxa"/>
            <w:vMerge w:val="continue"/>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cs="宋体"/>
                <w:b/>
                <w:color w:val="000000"/>
                <w:sz w:val="18"/>
                <w:szCs w:val="18"/>
              </w:rPr>
            </w:pPr>
          </w:p>
        </w:tc>
        <w:tc>
          <w:tcPr>
            <w:tcW w:w="1033" w:type="dxa"/>
            <w:vMerge w:val="continue"/>
            <w:tcBorders>
              <w:top w:val="single" w:color="C2C3C4" w:sz="4" w:space="0"/>
              <w:left w:val="single" w:color="C2C3C4" w:sz="4" w:space="0"/>
              <w:bottom w:val="single" w:color="C2C3C4" w:sz="4" w:space="0"/>
              <w:right w:val="single" w:color="C2C3C4" w:sz="4" w:space="0"/>
            </w:tcBorders>
            <w:shd w:val="clear" w:color="EFF2F7" w:fill="EFF2F7"/>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cs="宋体"/>
                <w:b/>
                <w:color w:val="000000"/>
                <w:sz w:val="18"/>
                <w:szCs w:val="18"/>
              </w:rPr>
            </w:pPr>
          </w:p>
        </w:tc>
      </w:tr>
      <w:tr>
        <w:tblPrEx>
          <w:tblLayout w:type="fixed"/>
          <w:tblCellMar>
            <w:top w:w="0" w:type="dxa"/>
            <w:left w:w="0" w:type="dxa"/>
            <w:bottom w:w="0" w:type="dxa"/>
            <w:right w:w="0" w:type="dxa"/>
          </w:tblCellMar>
        </w:tblPrEx>
        <w:trPr>
          <w:trHeight w:val="400" w:hRule="atLeast"/>
        </w:trPr>
        <w:tc>
          <w:tcPr>
            <w:tcW w:w="1545" w:type="dxa"/>
            <w:tcBorders>
              <w:top w:val="single" w:color="C2C3C4" w:sz="4" w:space="0"/>
              <w:left w:val="single" w:color="C2C3C4" w:sz="4" w:space="0"/>
              <w:bottom w:val="single" w:color="C2C3C4" w:sz="4" w:space="0"/>
              <w:right w:val="single" w:color="C2C3C4" w:sz="4" w:space="0"/>
            </w:tcBorders>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合    计</w:t>
            </w:r>
          </w:p>
        </w:tc>
        <w:tc>
          <w:tcPr>
            <w:tcW w:w="1110" w:type="dxa"/>
            <w:tcBorders>
              <w:top w:val="single" w:color="C2C3C4" w:sz="4" w:space="0"/>
              <w:left w:val="single" w:color="C2C3C4" w:sz="4" w:space="0"/>
              <w:bottom w:val="single" w:color="C2C3C4" w:sz="4" w:space="0"/>
              <w:right w:val="single" w:color="C2C3C4" w:sz="4" w:space="0"/>
            </w:tcBorders>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cs="宋体"/>
                <w:b/>
                <w:color w:val="000000"/>
                <w:sz w:val="18"/>
                <w:szCs w:val="18"/>
              </w:rPr>
            </w:pPr>
          </w:p>
        </w:tc>
        <w:tc>
          <w:tcPr>
            <w:tcW w:w="870" w:type="dxa"/>
            <w:tcBorders>
              <w:top w:val="single" w:color="C2C3C4" w:sz="4" w:space="0"/>
              <w:left w:val="single" w:color="C2C3C4" w:sz="4" w:space="0"/>
              <w:bottom w:val="single" w:color="C2C3C4" w:sz="4" w:space="0"/>
              <w:right w:val="single" w:color="C2C3C4" w:sz="4" w:space="0"/>
            </w:tcBorders>
            <w:noWrap/>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cs="宋体"/>
                <w:b/>
                <w:color w:val="000000"/>
                <w:sz w:val="18"/>
                <w:szCs w:val="18"/>
              </w:rPr>
            </w:pPr>
          </w:p>
        </w:tc>
        <w:tc>
          <w:tcPr>
            <w:tcW w:w="945" w:type="dxa"/>
            <w:tcBorders>
              <w:top w:val="single" w:color="C2C3C4" w:sz="4" w:space="0"/>
              <w:left w:val="single" w:color="C2C3C4" w:sz="4" w:space="0"/>
              <w:bottom w:val="single" w:color="C2C3C4" w:sz="4" w:space="0"/>
              <w:right w:val="single" w:color="C2C3C4" w:sz="4" w:space="0"/>
            </w:tcBorders>
            <w:noWrap/>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cs="宋体"/>
                <w:b/>
                <w:color w:val="000000"/>
                <w:sz w:val="18"/>
                <w:szCs w:val="18"/>
              </w:rPr>
            </w:pPr>
          </w:p>
        </w:tc>
        <w:tc>
          <w:tcPr>
            <w:tcW w:w="1395" w:type="dxa"/>
            <w:tcBorders>
              <w:top w:val="single" w:color="C2C3C4" w:sz="4" w:space="0"/>
              <w:left w:val="single" w:color="C2C3C4" w:sz="4" w:space="0"/>
              <w:bottom w:val="single" w:color="C2C3C4" w:sz="4" w:space="0"/>
              <w:right w:val="single" w:color="C2C3C4" w:sz="4" w:space="0"/>
            </w:tcBorders>
            <w:noWrap/>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cs="宋体"/>
                <w:b/>
                <w:color w:val="000000"/>
                <w:sz w:val="18"/>
                <w:szCs w:val="18"/>
              </w:rPr>
            </w:pPr>
          </w:p>
        </w:tc>
        <w:tc>
          <w:tcPr>
            <w:tcW w:w="994" w:type="dxa"/>
            <w:tcBorders>
              <w:top w:val="single" w:color="C2C3C4" w:sz="4" w:space="0"/>
              <w:left w:val="single" w:color="C2C3C4" w:sz="4" w:space="0"/>
              <w:bottom w:val="single" w:color="C2C3C4" w:sz="4" w:space="0"/>
              <w:right w:val="single" w:color="C2C3C4" w:sz="4" w:space="0"/>
            </w:tcBorders>
            <w:noWrap/>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cs="宋体"/>
                <w:b/>
                <w:color w:val="000000"/>
                <w:sz w:val="18"/>
                <w:szCs w:val="18"/>
              </w:rPr>
            </w:pPr>
          </w:p>
        </w:tc>
        <w:tc>
          <w:tcPr>
            <w:tcW w:w="823" w:type="dxa"/>
            <w:tcBorders>
              <w:top w:val="single" w:color="C0C0C0" w:sz="4" w:space="0"/>
              <w:left w:val="single" w:color="C0C0C0" w:sz="4" w:space="0"/>
              <w:bottom w:val="single" w:color="C0C0C0" w:sz="4" w:space="0"/>
              <w:right w:val="single" w:color="C0C0C0" w:sz="4" w:space="0"/>
            </w:tcBorders>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b/>
                <w:color w:val="000000"/>
                <w:sz w:val="18"/>
                <w:szCs w:val="18"/>
              </w:rPr>
            </w:pPr>
            <w:r>
              <w:rPr>
                <w:rFonts w:hint="eastAsia" w:ascii="宋体" w:hAnsi="宋体" w:cs="宋体"/>
                <w:b/>
                <w:color w:val="000000"/>
                <w:kern w:val="0"/>
                <w:sz w:val="18"/>
                <w:szCs w:val="18"/>
                <w:lang w:bidi="ar"/>
              </w:rPr>
              <w:t>20.00</w:t>
            </w:r>
          </w:p>
        </w:tc>
        <w:tc>
          <w:tcPr>
            <w:tcW w:w="1033" w:type="dxa"/>
            <w:tcBorders>
              <w:top w:val="single" w:color="C2C3C4" w:sz="4" w:space="0"/>
              <w:left w:val="single" w:color="C2C3C4" w:sz="4" w:space="0"/>
              <w:bottom w:val="single" w:color="C2C3C4" w:sz="4" w:space="0"/>
              <w:right w:val="single" w:color="C2C3C4" w:sz="4" w:space="0"/>
            </w:tcBorders>
            <w:noWrap/>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cs="宋体"/>
                <w:b/>
                <w:color w:val="000000"/>
                <w:sz w:val="18"/>
                <w:szCs w:val="18"/>
              </w:rPr>
            </w:pPr>
          </w:p>
        </w:tc>
      </w:tr>
      <w:tr>
        <w:tblPrEx>
          <w:tblLayout w:type="fixed"/>
          <w:tblCellMar>
            <w:top w:w="0" w:type="dxa"/>
            <w:left w:w="0" w:type="dxa"/>
            <w:bottom w:w="0" w:type="dxa"/>
            <w:right w:w="0" w:type="dxa"/>
          </w:tblCellMar>
        </w:tblPrEx>
        <w:trPr>
          <w:trHeight w:val="900" w:hRule="atLeast"/>
        </w:trPr>
        <w:tc>
          <w:tcPr>
            <w:tcW w:w="1545" w:type="dxa"/>
            <w:tcBorders>
              <w:top w:val="single" w:color="C2C3C4" w:sz="4" w:space="0"/>
              <w:left w:val="single" w:color="C2C3C4" w:sz="4" w:space="0"/>
              <w:bottom w:val="single" w:color="C2C3C4" w:sz="4" w:space="0"/>
              <w:right w:val="single" w:color="C2C3C4"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11010225T000003321423-法律服务费</w:t>
            </w:r>
          </w:p>
        </w:tc>
        <w:tc>
          <w:tcPr>
            <w:tcW w:w="1110" w:type="dxa"/>
            <w:tcBorders>
              <w:top w:val="single" w:color="C2C3C4" w:sz="4" w:space="0"/>
              <w:left w:val="single" w:color="C2C3C4" w:sz="4" w:space="0"/>
              <w:bottom w:val="single" w:color="C2C3C4" w:sz="4" w:space="0"/>
              <w:right w:val="single" w:color="C2C3C4"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04-文化旅游/01-综合管理</w:t>
            </w:r>
          </w:p>
        </w:tc>
        <w:tc>
          <w:tcPr>
            <w:tcW w:w="870" w:type="dxa"/>
            <w:tcBorders>
              <w:top w:val="single" w:color="C2C3C4" w:sz="4" w:space="0"/>
              <w:left w:val="single" w:color="C2C3C4" w:sz="4" w:space="0"/>
              <w:bottom w:val="single" w:color="C2C3C4" w:sz="4" w:space="0"/>
              <w:right w:val="single" w:color="C2C3C4"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02-政府履职辅助性服务</w:t>
            </w:r>
          </w:p>
        </w:tc>
        <w:tc>
          <w:tcPr>
            <w:tcW w:w="945" w:type="dxa"/>
            <w:tcBorders>
              <w:top w:val="single" w:color="C2C3C4" w:sz="4" w:space="0"/>
              <w:left w:val="single" w:color="C2C3C4" w:sz="4" w:space="0"/>
              <w:bottom w:val="single" w:color="C2C3C4" w:sz="4" w:space="0"/>
              <w:right w:val="single" w:color="C2C3C4"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0201-法律服务</w:t>
            </w:r>
          </w:p>
        </w:tc>
        <w:tc>
          <w:tcPr>
            <w:tcW w:w="1395" w:type="dxa"/>
            <w:tcBorders>
              <w:top w:val="single" w:color="C2C3C4" w:sz="4" w:space="0"/>
              <w:left w:val="single" w:color="C2C3C4" w:sz="4" w:space="0"/>
              <w:bottom w:val="single" w:color="C2C3C4" w:sz="4" w:space="0"/>
              <w:right w:val="single" w:color="C2C3C4"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法律顾问服务</w:t>
            </w:r>
          </w:p>
        </w:tc>
        <w:tc>
          <w:tcPr>
            <w:tcW w:w="994" w:type="dxa"/>
            <w:tcBorders>
              <w:top w:val="single" w:color="C2C3C4" w:sz="4" w:space="0"/>
              <w:left w:val="single" w:color="C2C3C4" w:sz="4" w:space="0"/>
              <w:bottom w:val="single" w:color="C2C3C4" w:sz="4" w:space="0"/>
              <w:right w:val="single" w:color="C2C3C4"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207-文化旅游体育与传媒支出</w:t>
            </w:r>
          </w:p>
        </w:tc>
        <w:tc>
          <w:tcPr>
            <w:tcW w:w="823" w:type="dxa"/>
            <w:tcBorders>
              <w:top w:val="single" w:color="C0C0C0" w:sz="4" w:space="0"/>
              <w:left w:val="single" w:color="C0C0C0" w:sz="4" w:space="0"/>
              <w:bottom w:val="single" w:color="C0C0C0" w:sz="4" w:space="0"/>
              <w:right w:val="single" w:color="C0C0C0" w:sz="4" w:space="0"/>
            </w:tcBorders>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20.00 </w:t>
            </w:r>
          </w:p>
        </w:tc>
        <w:tc>
          <w:tcPr>
            <w:tcW w:w="1033" w:type="dxa"/>
            <w:tcBorders>
              <w:top w:val="single" w:color="C2C3C4" w:sz="4" w:space="0"/>
              <w:left w:val="single" w:color="C2C3C4" w:sz="4" w:space="0"/>
              <w:bottom w:val="single" w:color="C2C3C4" w:sz="4" w:space="0"/>
              <w:right w:val="single" w:color="C2C3C4" w:sz="4" w:space="0"/>
            </w:tcBorders>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1年</w:t>
            </w:r>
          </w:p>
        </w:tc>
      </w:tr>
    </w:tbl>
    <w:p>
      <w:pPr>
        <w:spacing w:line="560" w:lineRule="exact"/>
        <w:ind w:firstLine="640" w:firstLineChars="200"/>
        <w:rPr>
          <w:rFonts w:hint="eastAsia" w:ascii="楷体_GB2312" w:hAnsi="楷体_GB2312" w:eastAsia="楷体_GB2312" w:cs="楷体_GB2312"/>
          <w:sz w:val="32"/>
          <w:szCs w:val="32"/>
        </w:rPr>
      </w:pP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（四）绩效目标情况及绩效评价结果说明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年度我局根据区财政局的安排，认真开展财政支出绩效评价工作，共有</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个项目进行了财政支出绩效评价，其中：“西城区文物活化利用工作经费”绩效评价综合得分</w:t>
      </w:r>
      <w:r>
        <w:rPr>
          <w:rFonts w:ascii="仿宋_GB2312" w:hAnsi="仿宋_GB2312" w:eastAsia="仿宋_GB2312" w:cs="仿宋_GB2312"/>
          <w:sz w:val="32"/>
          <w:szCs w:val="32"/>
        </w:rPr>
        <w:t>75.16</w:t>
      </w:r>
      <w:r>
        <w:rPr>
          <w:rFonts w:hint="eastAsia" w:ascii="仿宋_GB2312" w:hAnsi="仿宋_GB2312" w:eastAsia="仿宋_GB2312" w:cs="仿宋_GB2312"/>
          <w:sz w:val="32"/>
          <w:szCs w:val="32"/>
        </w:rPr>
        <w:t>分，“文物数字活化联盟工作经费”绩效评价综合得分</w:t>
      </w:r>
      <w:r>
        <w:rPr>
          <w:rFonts w:ascii="仿宋_GB2312" w:hAnsi="仿宋_GB2312" w:eastAsia="仿宋_GB2312" w:cs="仿宋_GB2312"/>
          <w:sz w:val="32"/>
          <w:szCs w:val="32"/>
        </w:rPr>
        <w:t>77.86</w:t>
      </w:r>
      <w:r>
        <w:rPr>
          <w:rFonts w:hint="eastAsia" w:ascii="仿宋_GB2312" w:hAnsi="仿宋_GB2312" w:eastAsia="仿宋_GB2312" w:cs="仿宋_GB2312"/>
          <w:sz w:val="32"/>
          <w:szCs w:val="32"/>
        </w:rPr>
        <w:t>分，评价等级均为中；“‘白塔夜话’文化系列活动”项目绩效评价综合得分为</w:t>
      </w:r>
      <w:r>
        <w:rPr>
          <w:rFonts w:ascii="仿宋_GB2312" w:hAnsi="仿宋_GB2312" w:eastAsia="仿宋_GB2312" w:cs="仿宋_GB2312"/>
          <w:sz w:val="32"/>
          <w:szCs w:val="32"/>
        </w:rPr>
        <w:t>82.42</w:t>
      </w:r>
      <w:r>
        <w:rPr>
          <w:rFonts w:hint="eastAsia" w:ascii="仿宋_GB2312" w:hAnsi="仿宋_GB2312" w:eastAsia="仿宋_GB2312" w:cs="仿宋_GB2312"/>
          <w:sz w:val="32"/>
          <w:szCs w:val="32"/>
        </w:rPr>
        <w:t>分，评价等级为良；“‘绽放吧，中轴线上的非遗’非遗演出季项目经费”项目绩效评价综合得分</w:t>
      </w:r>
      <w:r>
        <w:rPr>
          <w:rFonts w:ascii="仿宋_GB2312" w:hAnsi="仿宋_GB2312" w:eastAsia="仿宋_GB2312" w:cs="仿宋_GB2312"/>
          <w:sz w:val="32"/>
          <w:szCs w:val="32"/>
        </w:rPr>
        <w:t>87.76</w:t>
      </w:r>
      <w:r>
        <w:rPr>
          <w:rFonts w:hint="eastAsia" w:ascii="仿宋_GB2312" w:hAnsi="仿宋_GB2312" w:eastAsia="仿宋_GB2312" w:cs="仿宋_GB2312"/>
          <w:sz w:val="32"/>
          <w:szCs w:val="32"/>
        </w:rPr>
        <w:t>分，评价等级为良。</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（五）国有资本经营预算财政拨款情况说明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年无国有资本经营预算财政拨款安排的预算。</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(六)国有资产占用情况说明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截止202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年底，本部门固定资产原值总额</w:t>
      </w:r>
      <w:r>
        <w:rPr>
          <w:rFonts w:ascii="仿宋_GB2312" w:hAnsi="仿宋_GB2312" w:eastAsia="仿宋_GB2312" w:cs="仿宋_GB2312"/>
          <w:sz w:val="32"/>
          <w:szCs w:val="32"/>
        </w:rPr>
        <w:t>2345.247447</w:t>
      </w:r>
      <w:r>
        <w:rPr>
          <w:rFonts w:hint="eastAsia" w:ascii="仿宋_GB2312" w:hAnsi="仿宋_GB2312" w:eastAsia="仿宋_GB2312" w:cs="仿宋_GB2312"/>
          <w:sz w:val="32"/>
          <w:szCs w:val="32"/>
        </w:rPr>
        <w:t>万元，净值</w:t>
      </w:r>
      <w:r>
        <w:rPr>
          <w:rFonts w:ascii="仿宋_GB2312" w:hAnsi="仿宋_GB2312" w:eastAsia="仿宋_GB2312" w:cs="仿宋_GB2312"/>
          <w:sz w:val="32"/>
          <w:szCs w:val="32"/>
        </w:rPr>
        <w:t>1340.09082</w:t>
      </w:r>
      <w:r>
        <w:rPr>
          <w:rFonts w:hint="eastAsia" w:ascii="仿宋_GB2312" w:hAnsi="仿宋_GB2312" w:eastAsia="仿宋_GB2312" w:cs="仿宋_GB2312"/>
          <w:sz w:val="32"/>
          <w:szCs w:val="32"/>
        </w:rPr>
        <w:t>万元。其中:车辆0台；单位价值50万元以上的通用设备0台（套）；单位价值100万元以上的专用设备0台（套）。</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年部门预算：安排购置车辆0台，安排购置单位价值50万元以上的通用设备0台（套），安排购置单位价值100万元以上的专用设备0台（套）。</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六、名词解释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“三公”经费财政拨款预算数：指本部门当年部门预算安排的因公出国（境）费用、公务接待费、公务用车购置和运行维护费预算数。</w:t>
      </w:r>
    </w:p>
    <w:p>
      <w:pPr>
        <w:spacing w:line="560" w:lineRule="exact"/>
        <w:ind w:firstLine="640" w:firstLineChars="200"/>
        <w:rPr>
          <w:rFonts w:hint="eastAsia" w:ascii="楷体" w:hAnsi="楷体" w:eastAsia="楷体"/>
          <w:b/>
          <w:sz w:val="36"/>
          <w:szCs w:val="36"/>
        </w:rPr>
      </w:pPr>
      <w:r>
        <w:rPr>
          <w:rFonts w:hint="eastAsia" w:ascii="仿宋_GB2312" w:hAnsi="仿宋_GB2312" w:eastAsia="仿宋_GB2312" w:cs="仿宋_GB2312"/>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pPr>
    </w:p>
    <w:p>
      <w:pPr>
        <w:pStyle w:val="2"/>
      </w:pPr>
    </w:p>
    <w:p>
      <w:pPr>
        <w:pStyle w:val="2"/>
      </w:pPr>
    </w:p>
    <w:p>
      <w:pPr>
        <w:pStyle w:val="2"/>
      </w:pPr>
    </w:p>
    <w:p>
      <w:pPr>
        <w:pStyle w:val="2"/>
      </w:pPr>
    </w:p>
    <w:p>
      <w:pPr>
        <w:pStyle w:val="2"/>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202</w:t>
      </w:r>
      <w:r>
        <w:rPr>
          <w:rFonts w:ascii="方正小标宋简体" w:hAnsi="方正小标宋简体" w:eastAsia="方正小标宋简体" w:cs="方正小标宋简体"/>
          <w:sz w:val="44"/>
          <w:szCs w:val="44"/>
        </w:rPr>
        <w:t>5</w:t>
      </w:r>
      <w:r>
        <w:rPr>
          <w:rFonts w:hint="eastAsia" w:ascii="方正小标宋简体" w:hAnsi="方正小标宋简体" w:eastAsia="方正小标宋简体" w:cs="方正小标宋简体"/>
          <w:sz w:val="44"/>
          <w:szCs w:val="44"/>
        </w:rPr>
        <w:t>年部门预算表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kern w:val="2"/>
          <w:sz w:val="32"/>
          <w:szCs w:val="32"/>
          <w:lang w:val="zh-CN" w:eastAsia="zh-CN" w:bidi="ar"/>
        </w:rPr>
        <w:t xml:space="preserve">表一、部门收支总体情况表 </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表二、部门收入总体情况表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表三、部门支出总体情况表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表四、项目支出表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表五、政府采购预算明细表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表六、财政拨款收支预算总表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表七、一般公共预算财政拨款支出表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表八、一般公共预算财政拨款基本支出表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表九、政府性基金预算财政拨款支出表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表十、国有资本经营预算财政拨款支出表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表十一、财政拨款（含一般公共预算和政府性基金预算）“三公”经费支出表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表十二、政府购买服务预算财政拨款明细表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表十三、项目支出绩效表</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
        </w:rPr>
        <w:t>表十四、部门整体支出绩效目标申报表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上述表一至表十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详见附件。</w:t>
      </w:r>
    </w:p>
    <w:p>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7E6"/>
    <w:rsid w:val="000C394A"/>
    <w:rsid w:val="00107F04"/>
    <w:rsid w:val="001A5669"/>
    <w:rsid w:val="001A67E6"/>
    <w:rsid w:val="0021527E"/>
    <w:rsid w:val="002778BB"/>
    <w:rsid w:val="00714563"/>
    <w:rsid w:val="00743334"/>
    <w:rsid w:val="00780E2A"/>
    <w:rsid w:val="008074C7"/>
    <w:rsid w:val="00926579"/>
    <w:rsid w:val="009B128C"/>
    <w:rsid w:val="00A66BF4"/>
    <w:rsid w:val="00B215A8"/>
    <w:rsid w:val="00B21E9F"/>
    <w:rsid w:val="00B7343A"/>
    <w:rsid w:val="00C07675"/>
    <w:rsid w:val="00CD7AB4"/>
    <w:rsid w:val="00E60847"/>
    <w:rsid w:val="00ED0ECF"/>
    <w:rsid w:val="00F24175"/>
    <w:rsid w:val="00F25B03"/>
    <w:rsid w:val="00F71579"/>
    <w:rsid w:val="12C97778"/>
    <w:rsid w:val="16852613"/>
    <w:rsid w:val="17C40D15"/>
    <w:rsid w:val="43253B91"/>
    <w:rsid w:val="78793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Plain Text"/>
    <w:basedOn w:val="1"/>
    <w:link w:val="5"/>
    <w:unhideWhenUsed/>
    <w:qFormat/>
    <w:uiPriority w:val="99"/>
    <w:rPr>
      <w:rFonts w:ascii="宋体" w:hAnsi="Courier New" w:cs="Courier New"/>
      <w:szCs w:val="21"/>
    </w:rPr>
  </w:style>
  <w:style w:type="character" w:customStyle="1" w:styleId="5">
    <w:name w:val="纯文本 Char"/>
    <w:basedOn w:val="4"/>
    <w:link w:val="2"/>
    <w:qFormat/>
    <w:uiPriority w:val="99"/>
    <w:rPr>
      <w:rFonts w:ascii="宋体" w:hAnsi="Courier New" w:eastAsia="宋体" w:cs="Courier New"/>
      <w:szCs w:val="21"/>
    </w:rPr>
  </w:style>
  <w:style w:type="paragraph" w:customStyle="1" w:styleId="6">
    <w:name w:val="Default"/>
    <w:qFormat/>
    <w:uiPriority w:val="0"/>
    <w:pPr>
      <w:widowControl w:val="0"/>
      <w:autoSpaceDE w:val="0"/>
      <w:autoSpaceDN w:val="0"/>
      <w:adjustRightInd w:val="0"/>
    </w:pPr>
    <w:rPr>
      <w:rFonts w:ascii="仿宋_GB2312" w:hAnsi="仿宋_GB2312" w:eastAsia="宋体" w:cs="仿宋_GB2312"/>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740</Words>
  <Characters>4220</Characters>
  <Lines>35</Lines>
  <Paragraphs>9</Paragraphs>
  <TotalTime>135</TotalTime>
  <ScaleCrop>false</ScaleCrop>
  <LinksUpToDate>false</LinksUpToDate>
  <CharactersWithSpaces>4951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2025-01-21T08:08:00Z</dcterms:created>
  <dc:creator>北京市西城区文化和旅游局（主管）</dc:creator>
  <cp:lastModifiedBy>糖果玥</cp:lastModifiedBy>
  <dcterms:modified xsi:type="dcterms:W3CDTF">2025-01-22T09:39:57Z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