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华文中宋" w:hAnsi="华文中宋" w:eastAsia="华文中宋"/>
          <w:color w:val="000000"/>
          <w:sz w:val="36"/>
          <w:szCs w:val="36"/>
        </w:rPr>
      </w:pPr>
    </w:p>
    <w:p>
      <w:pPr>
        <w:spacing w:line="500" w:lineRule="exact"/>
        <w:jc w:val="center"/>
        <w:rPr>
          <w:rFonts w:ascii="华文中宋" w:hAnsi="华文中宋" w:eastAsia="华文中宋"/>
          <w:color w:val="000000"/>
          <w:sz w:val="36"/>
          <w:szCs w:val="36"/>
        </w:rPr>
      </w:pPr>
    </w:p>
    <w:p>
      <w:pPr>
        <w:spacing w:line="500" w:lineRule="exact"/>
        <w:jc w:val="center"/>
        <w:rPr>
          <w:rFonts w:ascii="华文中宋" w:hAnsi="华文中宋" w:eastAsia="华文中宋"/>
          <w:color w:val="000000"/>
          <w:sz w:val="36"/>
          <w:szCs w:val="36"/>
        </w:rPr>
      </w:pPr>
    </w:p>
    <w:p>
      <w:pPr>
        <w:jc w:val="center"/>
        <w:rPr>
          <w:rFonts w:ascii="方正小标宋简体" w:eastAsia="方正小标宋简体"/>
          <w:color w:val="FF0000"/>
          <w:sz w:val="60"/>
          <w:szCs w:val="60"/>
        </w:rPr>
      </w:pPr>
      <w:r>
        <w:rPr>
          <w:rFonts w:hint="eastAsia" w:ascii="方正小标宋简体" w:eastAsia="方正小标宋简体"/>
          <w:color w:val="FF0000"/>
          <w:spacing w:val="1"/>
          <w:w w:val="72"/>
          <w:kern w:val="0"/>
          <w:sz w:val="60"/>
          <w:szCs w:val="60"/>
          <w:fitText w:val="8320" w:id="2111183614"/>
        </w:rPr>
        <w:t>北京市西城区人民政府广安门外街道办事</w:t>
      </w:r>
      <w:r>
        <w:rPr>
          <w:rFonts w:hint="eastAsia" w:ascii="方正小标宋简体" w:eastAsia="方正小标宋简体"/>
          <w:color w:val="FF0000"/>
          <w:spacing w:val="45"/>
          <w:w w:val="72"/>
          <w:kern w:val="0"/>
          <w:sz w:val="60"/>
          <w:szCs w:val="60"/>
          <w:fitText w:val="8320" w:id="2111183614"/>
        </w:rPr>
        <w:t>处</w:t>
      </w:r>
    </w:p>
    <w:p>
      <w:pPr>
        <w:spacing w:line="500" w:lineRule="exact"/>
        <w:rPr>
          <w:rFonts w:ascii="华文中宋" w:hAnsi="华文中宋" w:eastAsia="华文中宋"/>
          <w:color w:val="000000"/>
          <w:sz w:val="36"/>
          <w:szCs w:val="36"/>
        </w:rPr>
      </w:pPr>
    </w:p>
    <w:p>
      <w:pPr>
        <w:spacing w:line="500" w:lineRule="exact"/>
        <w:jc w:val="center"/>
        <w:rPr>
          <w:rFonts w:ascii="华文中宋" w:hAnsi="华文中宋" w:eastAsia="华文中宋"/>
          <w:color w:val="000000"/>
          <w:sz w:val="36"/>
          <w:szCs w:val="36"/>
        </w:rPr>
      </w:pPr>
    </w:p>
    <w:p>
      <w:pPr>
        <w:spacing w:line="500" w:lineRule="exact"/>
        <w:ind w:right="227" w:rightChars="108"/>
        <w:jc w:val="center"/>
        <w:rPr>
          <w:rFonts w:ascii="仿宋" w:hAnsi="仿宋" w:eastAsia="仿宋"/>
          <w:color w:val="000000"/>
          <w:sz w:val="32"/>
          <w:szCs w:val="32"/>
        </w:rPr>
      </w:pPr>
      <w:r>
        <w:rPr>
          <w:rFonts w:hint="eastAsia" w:ascii="仿宋" w:hAnsi="仿宋" w:eastAsia="仿宋"/>
          <w:color w:val="000000"/>
          <w:sz w:val="32"/>
          <w:szCs w:val="32"/>
        </w:rPr>
        <w:t xml:space="preserve"> 西广外办文〔202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号               签发人：</w:t>
      </w:r>
      <w:r>
        <w:rPr>
          <w:rFonts w:hint="eastAsia" w:ascii="楷体" w:hAnsi="楷体" w:eastAsia="楷体"/>
          <w:color w:val="000000"/>
          <w:sz w:val="32"/>
          <w:szCs w:val="32"/>
        </w:rPr>
        <w:t>杜洪悦</w:t>
      </w:r>
    </w:p>
    <w:p>
      <w:pPr>
        <w:spacing w:line="500" w:lineRule="exact"/>
        <w:jc w:val="center"/>
        <w:rPr>
          <w:rFonts w:ascii="华文中宋" w:hAnsi="华文中宋" w:eastAsia="华文中宋"/>
          <w:color w:val="000000"/>
          <w:sz w:val="44"/>
          <w:szCs w:val="44"/>
        </w:rPr>
      </w:pPr>
      <w: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134620</wp:posOffset>
                </wp:positionV>
                <wp:extent cx="5534025" cy="0"/>
                <wp:effectExtent l="0" t="13970" r="13335" b="16510"/>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28575">
                          <a:solidFill>
                            <a:srgbClr val="FF0000"/>
                          </a:solidFill>
                          <a:round/>
                        </a:ln>
                        <a:effectLst/>
                      </wps:spPr>
                      <wps:bodyPr/>
                    </wps:wsp>
                  </a:graphicData>
                </a:graphic>
              </wp:anchor>
            </w:drawing>
          </mc:Choice>
          <mc:Fallback>
            <w:pict>
              <v:shape id="_x0000_s1026" o:spid="_x0000_s1026" o:spt="32" type="#_x0000_t32" style="position:absolute;left:0pt;margin-left:4.1pt;margin-top:10.6pt;height:0pt;width:435.75pt;z-index:251659264;mso-width-relative:page;mso-height-relative:page;" filled="f" stroked="t" coordsize="21600,21600" o:gfxdata="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JkwifUAAAABwEAAA8A&#10;AAAAAAAAAQAgAAAAIgAAAGRycy9kb3ducmV2LnhtbFBLAQIUABQAAAAIAIdO4kB5PYNI4gEAAIED&#10;AAAOAAAAAAAAAAEAIAAAACMBAABkcnMvZTJvRG9jLnhtbFBLBQYAAAAABgAGAFkBAAB3BQAAAAA=&#10;">
                <v:fill on="f" focussize="0,0"/>
                <v:stroke weight="2.25pt" color="#FF0000" joinstyle="round"/>
                <v:imagedata o:title=""/>
                <o:lock v:ext="edit" aspectratio="f"/>
              </v:shape>
            </w:pict>
          </mc:Fallback>
        </mc:AlternateContent>
      </w:r>
    </w:p>
    <w:p>
      <w:pPr>
        <w:adjustRightInd w:val="0"/>
        <w:snapToGrid w:val="0"/>
        <w:spacing w:line="500" w:lineRule="exact"/>
        <w:rPr>
          <w:rFonts w:ascii="仿宋" w:hAnsi="仿宋" w:eastAsia="仿宋"/>
          <w:bCs/>
          <w:color w:val="000000"/>
          <w:sz w:val="32"/>
          <w:szCs w:val="32"/>
        </w:rPr>
      </w:pPr>
    </w:p>
    <w:p>
      <w:pPr>
        <w:adjustRightInd w:val="0"/>
        <w:snapToGrid w:val="0"/>
        <w:spacing w:line="680" w:lineRule="exact"/>
        <w:jc w:val="center"/>
        <w:rPr>
          <w:rFonts w:ascii="方正小标宋简体" w:eastAsia="方正小标宋简体"/>
          <w:sz w:val="44"/>
          <w:szCs w:val="44"/>
        </w:rPr>
      </w:pPr>
      <w:r>
        <w:rPr>
          <w:rFonts w:hint="eastAsia" w:ascii="方正小标宋简体" w:eastAsia="方正小标宋简体"/>
          <w:sz w:val="44"/>
          <w:szCs w:val="44"/>
        </w:rPr>
        <w:t>北京市西城区人民政府广安门外街道办事处202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年法治政府建设年度情况报告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p>
    <w:p>
      <w:pPr>
        <w:adjustRightInd w:val="0"/>
        <w:snapToGrid w:val="0"/>
        <w:spacing w:line="560" w:lineRule="exact"/>
        <w:ind w:firstLine="640" w:firstLineChars="200"/>
        <w:rPr>
          <w:rFonts w:ascii="黑体" w:hAnsi="黑体" w:eastAsia="黑体" w:cs="楷体"/>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年，广外街道办事处在西城区委区政府的坚强领导下，严格按照西城区建设法治政府的目标要求，</w:t>
      </w:r>
      <w:r>
        <w:rPr>
          <w:rFonts w:ascii="仿宋_GB2312" w:hAnsi="Times New Roman" w:eastAsia="仿宋_GB2312" w:cs="Times New Roman"/>
          <w:sz w:val="32"/>
          <w:szCs w:val="32"/>
        </w:rPr>
        <w:t>围绕中心工作，以</w:t>
      </w:r>
      <w:r>
        <w:rPr>
          <w:rFonts w:hint="eastAsia" w:ascii="仿宋_GB2312" w:hAnsi="Times New Roman" w:eastAsia="仿宋_GB2312" w:cs="Times New Roman"/>
          <w:sz w:val="32"/>
          <w:szCs w:val="32"/>
        </w:rPr>
        <w:t>依法履行政府职能</w:t>
      </w:r>
      <w:r>
        <w:rPr>
          <w:rFonts w:ascii="仿宋_GB2312" w:hAnsi="Times New Roman" w:eastAsia="仿宋_GB2312" w:cs="Times New Roman"/>
          <w:sz w:val="32"/>
          <w:szCs w:val="32"/>
        </w:rPr>
        <w:t>、提高依法行政意识和能力、规范行政执法</w:t>
      </w:r>
      <w:r>
        <w:rPr>
          <w:rFonts w:hint="eastAsia" w:ascii="仿宋_GB2312" w:hAnsi="Times New Roman" w:eastAsia="仿宋_GB2312" w:cs="Times New Roman"/>
          <w:sz w:val="32"/>
          <w:szCs w:val="32"/>
        </w:rPr>
        <w:t>、推进政务公开</w:t>
      </w:r>
      <w:r>
        <w:rPr>
          <w:rFonts w:ascii="仿宋_GB2312" w:hAnsi="Times New Roman" w:eastAsia="仿宋_GB2312" w:cs="Times New Roman"/>
          <w:sz w:val="32"/>
          <w:szCs w:val="32"/>
        </w:rPr>
        <w:t>为重点，强化领导、狠抓落实，把加快法治建设的各项要求落实到工作的各个方面、各个环节。</w:t>
      </w:r>
      <w:r>
        <w:rPr>
          <w:rFonts w:hint="eastAsia" w:ascii="仿宋_GB2312" w:hAnsi="Times New Roman" w:eastAsia="仿宋_GB2312" w:cs="Times New Roman"/>
          <w:sz w:val="32"/>
          <w:szCs w:val="32"/>
        </w:rPr>
        <w:t>按照市、区工作部署和要求，结合地区工作实际和职能任务，现将</w:t>
      </w:r>
      <w:r>
        <w:rPr>
          <w:rFonts w:hint="eastAsia" w:ascii="仿宋_GB2312" w:hAnsi="Times New Roman" w:eastAsia="仿宋_GB2312" w:cs="Times New Roman"/>
          <w:sz w:val="32"/>
          <w:szCs w:val="32"/>
          <w:lang w:eastAsia="zh-CN"/>
        </w:rPr>
        <w:t>本年度法治政府建设</w:t>
      </w:r>
      <w:r>
        <w:rPr>
          <w:rFonts w:hint="eastAsia" w:ascii="仿宋_GB2312" w:hAnsi="Times New Roman" w:eastAsia="仿宋_GB2312" w:cs="Times New Roman"/>
          <w:sz w:val="32"/>
          <w:szCs w:val="32"/>
        </w:rPr>
        <w:t>情况报告如下：</w:t>
      </w:r>
    </w:p>
    <w:p>
      <w:pPr>
        <w:adjustRightInd w:val="0"/>
        <w:snapToGrid w:val="0"/>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一、上一年度推进法治政府建设的主要举措和成效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（一）坚持高位推动，依法行政能力有效提升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1.落实主体责任。</w:t>
      </w:r>
      <w:r>
        <w:rPr>
          <w:rFonts w:hint="eastAsia" w:ascii="仿宋_GB2312" w:hAnsi="仿宋_GB2312" w:eastAsia="仿宋_GB2312" w:cs="仿宋_GB2312"/>
          <w:sz w:val="32"/>
          <w:szCs w:val="32"/>
          <w:lang w:val="en-US" w:eastAsia="zh-CN"/>
        </w:rPr>
        <w:t>广外街道工委、办事处高度重视法治建设，始终摆在重要位置与街道中心工作同部署、同推进、同督促。建立并及时调整街道法治建设领导小组，党政主要负责人切实履行推进法治建设第一责任人职责，及时通过主任办公会调度街道法治政府建设推进情况。建立《广外街道关于进一步加强和改进法治建设水平的实施方案》，进一步细化明确街道各部门推进法治建设职责，确保各项任务有效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bookmarkStart w:id="0" w:name="OLE_LINK1"/>
      <w:r>
        <w:rPr>
          <w:rFonts w:hint="eastAsia" w:ascii="仿宋_GB2312" w:hAnsi="仿宋_GB2312" w:eastAsia="仿宋_GB2312" w:cs="仿宋_GB2312"/>
          <w:b w:val="0"/>
          <w:bCs w:val="0"/>
          <w:sz w:val="32"/>
          <w:szCs w:val="32"/>
          <w:lang w:val="en-US" w:eastAsia="zh-CN"/>
        </w:rPr>
        <w:t>强化法治教育。</w:t>
      </w:r>
      <w:r>
        <w:rPr>
          <w:rFonts w:hint="eastAsia" w:ascii="仿宋_GB2312" w:hAnsi="仿宋_GB2312" w:eastAsia="仿宋_GB2312" w:cs="仿宋_GB2312"/>
          <w:sz w:val="32"/>
          <w:szCs w:val="32"/>
          <w:lang w:val="en-US" w:eastAsia="zh-CN"/>
        </w:rPr>
        <w:t>紧抓领导干部“关键少数”，完善落实领导干部带头尊法守法工作机制，将习近平法治思想和重点法律法规纳入街道理论学习中心组学习内容，积极通过理论学习中心组学习、主任办公会会前学法、法治培训等形式，提升领导干部法治观念和依法行政能力。今年以来共组织街道党政主要领导，主管法治建设、行政执法处级领导以及科室干部参加区委依法治区委员会举办法治培训4次，参培干部110人次，组织开展法治建设专项培训2次。开展会前学法20余次，学习内容包括习近平法治思想、《法治政府建设实施纲要（2021-2025年）》《北京市法治政府建设实施意见（2021-2025年）》《西城区法治政府建设规划（2021-2025年）》和《中华人民共和国行政处罚法》《北京市接诉即办工作条例》等各项法律法规，以及社区居委会选举、高空抛物罪、非法集资、政府购买服务等各项中心工作有关政策文件。</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3.坚持依法决策。</w:t>
      </w:r>
      <w:r>
        <w:rPr>
          <w:rFonts w:hint="eastAsia" w:ascii="仿宋_GB2312" w:hAnsi="仿宋_GB2312" w:eastAsia="仿宋_GB2312" w:cs="仿宋_GB2312"/>
          <w:sz w:val="32"/>
          <w:szCs w:val="32"/>
          <w:lang w:val="en-US" w:eastAsia="zh-CN"/>
        </w:rPr>
        <w:t>落实街道各项规章制度和内控制度，严格执行《广外街道工委、办事处“三重一大”决策规定》《广外街道办事处中小工程项目管理办法》，修订完善《广外街道办事处采购管理办法》《广外街道办事处政府购买服务指导性目录》，保障各项行政决策程序化、规范化、制度化。严格落实集体讨论决定制度，凡重大决策事项一律通过主任办公会、工委会研究决定，建立司法所所长列席街道工委会、主任办公会会议制度，并根据实际需要严格执行，今年以来</w:t>
      </w:r>
      <w:r>
        <w:rPr>
          <w:rFonts w:hint="eastAsia" w:ascii="仿宋_GB2312" w:hAnsi="仿宋_GB2312" w:eastAsia="仿宋_GB2312" w:cs="仿宋_GB2312"/>
          <w:b w:val="0"/>
          <w:bCs w:val="0"/>
          <w:sz w:val="32"/>
          <w:szCs w:val="32"/>
          <w:highlight w:val="none"/>
          <w:lang w:val="en-US" w:eastAsia="zh-CN"/>
        </w:rPr>
        <w:t>已组织召开工委会47次、主任办公会44次，</w:t>
      </w:r>
      <w:r>
        <w:rPr>
          <w:rFonts w:hint="eastAsia" w:ascii="仿宋_GB2312" w:hAnsi="仿宋_GB2312" w:eastAsia="仿宋_GB2312" w:cs="仿宋_GB2312"/>
          <w:sz w:val="32"/>
          <w:szCs w:val="32"/>
          <w:lang w:val="en-US" w:eastAsia="zh-CN"/>
        </w:rPr>
        <w:t>为地区发展、维稳、改革和城市治理等中心工作把关定向。完善落实街道法律顾问制度，聘请专业律师团队，对街道重大行政行为审查、合同审查、案件审查、信访接待等各类涉法、涉诉事务提出意见建议，进行法治把关，确保行政决策合法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4.推进政务公开。</w:t>
      </w:r>
      <w:r>
        <w:rPr>
          <w:rFonts w:hint="eastAsia" w:ascii="仿宋_GB2312" w:hAnsi="仿宋_GB2312" w:eastAsia="仿宋_GB2312" w:cs="仿宋_GB2312"/>
          <w:sz w:val="32"/>
          <w:szCs w:val="32"/>
          <w:lang w:val="en-US" w:eastAsia="zh-CN"/>
        </w:rPr>
        <w:t>深化政务公开清单体系建设，动态更新完善《广外街道政务公开全清单》，涉及233类业务事项，建立政务公开快捷查询“字典”。加强政务公开环节管理，严格落实保密审查和源头管理程序，建立政府信息公开审查机制，依法依规对拟公开事项进行审查。主动、及时、准确公示重点领域信息，提高街道工作透明度，公开行政处</w:t>
      </w:r>
      <w:r>
        <w:rPr>
          <w:rFonts w:hint="eastAsia" w:ascii="仿宋_GB2312" w:hAnsi="仿宋_GB2312" w:eastAsia="仿宋_GB2312" w:cs="仿宋_GB2312"/>
          <w:sz w:val="32"/>
          <w:szCs w:val="32"/>
          <w:highlight w:val="none"/>
          <w:lang w:val="en-US" w:eastAsia="zh-CN"/>
        </w:rPr>
        <w:t>罚事项406项</w:t>
      </w:r>
      <w:r>
        <w:rPr>
          <w:rFonts w:hint="eastAsia" w:ascii="仿宋_GB2312" w:hAnsi="仿宋_GB2312" w:eastAsia="仿宋_GB2312" w:cs="仿宋_GB2312"/>
          <w:sz w:val="32"/>
          <w:szCs w:val="32"/>
          <w:lang w:val="en-US" w:eastAsia="zh-CN"/>
        </w:rPr>
        <w:t>，公示行政处罚结果93条。加强政务新媒体建设，畅通政务公开渠道，在“智慧广外”微信公众号开辟“信息公开”“线上参与”“书香广外”等栏目，进一步畅通与居民间的交流沟通渠道，发布信息934条，同比增加90%；及时依托政府网站、社区通、居民代表大会等线上线下平台，向居民群众通报情况、回应居民关切，今年以来共向居民通报情况3125次，同比去年增加1735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（二）坚持问题导向，政务服务水平明显改善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深入践行为民服务宗旨。聚焦企业和群众办事需求，持续提升政务服务水平，最大化满足百姓期待。开展“岗位大练兵、业务大比武”活动，持续提升窗口服务人员素质和履职能力。落实首问负责制、限时办结制、一次性告知制，设置投诉窗口、意见箱、评价器，畅通群众投诉渠道，实现“好差评”指标覆盖全流程。推动建立社区政务服务站，主要承担政务服务、公益服务、公共服务三大职能，在以“互联网+”思维、智能化平台运用为抓手的同时，保留线下办理渠道，对接群众需求实施服务供给侧结构性改革，脚踏实地办好群众身边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推进政务服务事项标准化建设。全面梳理权力、服务、问题三大清单，简化办事手续、精简办事材料、压缩办理时限、公开服务内容，全面取消无法定依据的证明和受理前置条件，真正做到方便群众、企业办事。创新制定《广外人力社保街道业务接待用语目录手册》，明确综合窗口服务事项受理标准和审查要点，梳理常见问题和统一解答口径，不断提升综合窗口服务的规范化、标准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落实“一窗通办”服务模式。将一层服务大厅窗口数量由16个压缩到10个，实现一人办理多项业务受理时间由原来的平均15分钟缩短至5分钟，下降三分之二。全面开启政务服务“掌上办、网上办、不见面”人力社保经办模式，在全市率先推出“市民办事”基层政务服务微平台，在线办理参保人员定点医疗机构变更、社会保险待遇资格认证等14项高频就业社保业务，占窗口业务高频事项的70%。坚持做到每个线上件“日结日清”“问题追踪”“办结反馈”，确保“零差错”，截至目前已受理业务6000余件，CCTV-1综合、北京卫视新闻频道等媒体对广外街道“不见面”办事模式进行了现场采访和专题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（三）坚持改革创新，基层行政执法更加规范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hAnsi="仿宋_GB2312" w:eastAsia="仿宋_GB2312" w:cs="仿宋_GB2312"/>
          <w:b w:val="0"/>
          <w:bCs w:val="0"/>
          <w:sz w:val="32"/>
          <w:szCs w:val="32"/>
          <w:lang w:val="en-US" w:eastAsia="zh-CN"/>
        </w:rPr>
        <w:t>1.严格执行行政执法“三项制度”。</w:t>
      </w:r>
      <w:r>
        <w:rPr>
          <w:rFonts w:hint="eastAsia" w:ascii="仿宋_GB2312" w:hAnsi="仿宋_GB2312" w:eastAsia="仿宋_GB2312" w:cs="仿宋_GB2312"/>
          <w:sz w:val="32"/>
          <w:szCs w:val="32"/>
          <w:lang w:val="en-US" w:eastAsia="zh-CN"/>
        </w:rPr>
        <w:t>按照“行政处罚、行政许可”双公示要求，主动在区政府网站公示专栏公示执法基本信息和动态信息，制定并公示《广外街道办事处重大行政执法事项目录》，公示行政处罚结果93条，确保及时、准确。建立健全执法全过程记录工作制度，合理配备执法记录仪、数码相机、摄像机等记录设备，明确专人负责每日督促检查执法队员执法记录仪佩戴和使用情况，及时提醒、纠正，有效提高并确保执法效果公信力。落实重大行政执法决定法制审核制度，</w:t>
      </w:r>
      <w:r>
        <w:rPr>
          <w:rFonts w:hint="eastAsia" w:ascii="仿宋_GB2312" w:eastAsia="仿宋_GB2312"/>
          <w:sz w:val="32"/>
          <w:szCs w:val="32"/>
        </w:rPr>
        <w:t>为办事处依法做出行政处罚及行政强制执行</w:t>
      </w:r>
      <w:r>
        <w:rPr>
          <w:rFonts w:hint="eastAsia" w:ascii="仿宋_GB2312" w:eastAsia="仿宋_GB2312"/>
          <w:sz w:val="32"/>
          <w:szCs w:val="32"/>
          <w:lang w:eastAsia="zh-CN"/>
        </w:rPr>
        <w:t>决定</w:t>
      </w:r>
      <w:r>
        <w:rPr>
          <w:rFonts w:hint="eastAsia" w:ascii="仿宋_GB2312" w:eastAsia="仿宋_GB2312"/>
          <w:sz w:val="32"/>
          <w:szCs w:val="32"/>
        </w:rPr>
        <w:t>，做好</w:t>
      </w:r>
      <w:r>
        <w:rPr>
          <w:rFonts w:hint="eastAsia" w:ascii="仿宋_GB2312" w:eastAsia="仿宋_GB2312"/>
          <w:sz w:val="32"/>
          <w:szCs w:val="32"/>
          <w:lang w:eastAsia="zh-CN"/>
        </w:rPr>
        <w:t>法制</w:t>
      </w:r>
      <w:r>
        <w:rPr>
          <w:rFonts w:hint="eastAsia" w:ascii="仿宋_GB2312" w:eastAsia="仿宋_GB2312"/>
          <w:sz w:val="32"/>
          <w:szCs w:val="32"/>
        </w:rPr>
        <w:t>业务把关，</w:t>
      </w:r>
      <w:r>
        <w:rPr>
          <w:rFonts w:hint="eastAsia" w:ascii="仿宋_GB2312" w:eastAsia="仿宋_GB2312"/>
          <w:sz w:val="32"/>
          <w:szCs w:val="32"/>
          <w:lang w:eastAsia="zh-CN"/>
        </w:rPr>
        <w:t>截至</w:t>
      </w:r>
      <w:r>
        <w:rPr>
          <w:rFonts w:hint="eastAsia" w:ascii="仿宋_GB2312" w:eastAsia="仿宋_GB2312"/>
          <w:sz w:val="32"/>
          <w:szCs w:val="32"/>
          <w:lang w:val="en-US" w:eastAsia="zh-CN"/>
        </w:rPr>
        <w:t>11月底</w:t>
      </w:r>
      <w:r>
        <w:rPr>
          <w:rFonts w:hint="eastAsia" w:ascii="仿宋_GB2312" w:eastAsia="仿宋_GB2312"/>
          <w:color w:val="auto"/>
          <w:sz w:val="32"/>
          <w:szCs w:val="32"/>
          <w:highlight w:val="none"/>
        </w:rPr>
        <w:t>共审核重大案卷131件，其中行政处罚类案件74件，违法建设案件57件，审核违建查档函前期材料67件。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sz w:val="32"/>
          <w:szCs w:val="32"/>
          <w:lang w:val="en-US" w:eastAsia="zh-CN"/>
        </w:rPr>
        <w:t>2.持续推进严格规范公正文明执法。落实行政执法责任制，严格执行市级部门制定的行政处罚裁量基</w:t>
      </w:r>
      <w:r>
        <w:rPr>
          <w:rFonts w:hint="eastAsia" w:ascii="仿宋_GB2312" w:eastAsia="仿宋_GB2312"/>
          <w:sz w:val="32"/>
          <w:szCs w:val="32"/>
          <w:lang w:val="en-US" w:eastAsia="zh-CN"/>
        </w:rPr>
        <w:t>准，对个别无裁量基准情况，综合法定依据、违法情形、危害程度、性质情节、处罚种类、处罚幅度等因素，结合街道实际，自行细化行政处罚裁量基准，每一裁量</w:t>
      </w:r>
      <w:r>
        <w:rPr>
          <w:rFonts w:hint="eastAsia" w:ascii="仿宋_GB2312" w:hAnsi="仿宋" w:eastAsia="仿宋_GB2312" w:cs="仿宋"/>
          <w:sz w:val="32"/>
          <w:szCs w:val="32"/>
        </w:rPr>
        <w:t>阶次</w:t>
      </w:r>
      <w:r>
        <w:rPr>
          <w:rFonts w:hint="eastAsia" w:ascii="仿宋_GB2312" w:hAnsi="仿宋" w:eastAsia="仿宋_GB2312" w:cs="仿宋"/>
          <w:sz w:val="32"/>
          <w:szCs w:val="32"/>
          <w:lang w:eastAsia="zh-CN"/>
        </w:rPr>
        <w:t>保持适度弹性，兼顾从轻、减轻、从重、加重等违法情节。坚持问题导向，结合</w:t>
      </w:r>
      <w:r>
        <w:rPr>
          <w:rFonts w:hint="eastAsia" w:ascii="仿宋_GB2312" w:hAnsi="仿宋" w:eastAsia="仿宋_GB2312" w:cs="仿宋"/>
          <w:sz w:val="32"/>
          <w:szCs w:val="32"/>
          <w:lang w:val="en-US" w:eastAsia="zh-CN"/>
        </w:rPr>
        <w:t>接诉即办工作，紧盯群众需求集中领域加大行政执法力度，切实解决群众关心关切的突出问题，提升执法效能。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着力强化基层一线执法队伍建设。强化执法力量投入使用，严格落实综合行政执法队机构设置规定，按要求做好人员调整、优化组织机构设置，认真梳理分析一线执法队伍情况，适时组织两个执法队之间干部轮岗交流，目前街道两个综合行政执法队A岗核定人员参与执法率达到100%。强化干部教育培训，将法律法规和执法业务培训作为执法人员培训的一项长期任务，及时为执法人员配备《行政处罚法》《民法典》《行政诉讼法》等法律书籍，联系区城管执法局、区生态环境局、区卫健委、区水务局等职能部门就行政处罚法、法律适用、执法程序、调查取证等实践技能进行培训指导，2021年以来共开展各类业务培训十余场，所有执法人员全年业务知识和法律法规培训均不少于60学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 w:eastAsia="仿宋_GB2312"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4.优化和改进综合行政执法方式。高度重</w:t>
      </w:r>
      <w:r>
        <w:rPr>
          <w:rFonts w:hint="eastAsia" w:ascii="仿宋_GB2312" w:eastAsia="仿宋_GB2312"/>
          <w:sz w:val="32"/>
          <w:szCs w:val="32"/>
        </w:rPr>
        <w:t>视优化和改进综合执法方式的必要性、关键性，充分认识说理式执法工作对于规范现场执法活动的重要意义、是保障执法活动的重要手段</w:t>
      </w:r>
      <w:r>
        <w:rPr>
          <w:rFonts w:hint="eastAsia" w:ascii="仿宋_GB2312" w:eastAsia="仿宋_GB2312"/>
          <w:sz w:val="32"/>
          <w:szCs w:val="32"/>
          <w:lang w:eastAsia="zh-CN"/>
        </w:rPr>
        <w:t>，认真加以落实、提高执法质量，推动树立良好的基层执法形象。在开展执法工作中坚持教育处罚相结合、执法普法相同步，例如在整治无照经营商贩时，对辖区内常年依靠无照经营生活的商贩进行集中教育疏导，宣讲法律法规、告知管控情形，成功劝导商贩放弃“打游击”进驻菜市场，大大减轻广外地区环境管控压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（四）坚持多向发力，矛盾纠纷化解依法有效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完善多元调解机制。积极发挥人民调解在解决基层矛盾纠纷中的作用，建立健全街道、社区两级人民调解委员会，特邀区调解中心调解专家坐镇，对社区调解主任、骨干调解员进行技能培训和业务指导。截止11月底街道各级调委会共开展矛盾排查1179次，主动排查矛盾问题7件并成功化解，受理各类矛盾纠纷99件，成功化解71件。积极落实人民调解“以案定补”制度，制作调解案卷54件，涉及金额2.130176亿元。有效发挥街道劳动人事争议调解中心作用，整合调解资源、规范调解程序，帮助居民切实解决劳资纠纷，引导劳动者依法合理维权。深入推进法律服务下基层，为38个社区法律服务站配备15名法律顾问，参与指导社区公共事务管理、开展普法宣传、接受居民法律咨询等，今年以来共接受法律咨询、援助工作294批次、361人次，指导社区指定监护人11批次、诉讼代理人9批次，为社区矛盾调处注入了法治力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高效化解信访难题。</w:t>
      </w:r>
      <w:r>
        <w:rPr>
          <w:rFonts w:hint="eastAsia" w:ascii="仿宋_GB2312" w:hAnsi="仿宋_GB2312" w:eastAsia="仿宋_GB2312" w:cs="仿宋_GB2312"/>
          <w:b w:val="0"/>
          <w:bCs w:val="0"/>
          <w:sz w:val="32"/>
          <w:szCs w:val="32"/>
          <w:lang w:val="en-US" w:eastAsia="zh-CN"/>
        </w:rPr>
        <w:t>认真做好日常接访工作，进一步规范信访基础业务程序，做到来访必接</w:t>
      </w:r>
      <w:r>
        <w:rPr>
          <w:rFonts w:hint="eastAsia" w:ascii="仿宋_GB2312" w:eastAsia="仿宋_GB2312"/>
          <w:sz w:val="32"/>
          <w:szCs w:val="32"/>
          <w:highlight w:val="none"/>
          <w:lang w:eastAsia="zh-CN"/>
        </w:rPr>
        <w:t>、来访必登、来访必谈、网上留痕。全年共接待登记来访、来电727件1070人次，其中群访案件21批次243人次。积极落实处级领导接访制度，建立信访联席会议制度，形成推动信访件积案化解攻坚的强大合力。全年街道处级领导共接访60批次271人次，组织召开信访联席会议4次，全年推进化解信访矛盾案件13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3.强化社区多元共治。统筹推动综治中心、社区警务站、人民调解委员会等平台资源联动，深化物业单位、物管会、业委会、律师顾问、行业协会等社会组织参与，综合运用行政、法律、政策等多种手段和教育、协商、劝解、疏导等多种方法，推动构建协调联动、多元共治的基层矛盾大调解平台。</w:t>
      </w:r>
      <w:r>
        <w:rPr>
          <w:rFonts w:hint="eastAsia" w:ascii="仿宋_GB2312" w:hAnsi="仿宋_GB2312" w:eastAsia="仿宋_GB2312" w:cs="仿宋_GB2312"/>
          <w:kern w:val="2"/>
          <w:sz w:val="32"/>
          <w:szCs w:val="32"/>
          <w:lang w:val="en-US" w:eastAsia="zh-CN" w:bidi="ar-SA"/>
        </w:rPr>
        <w:t>稳步推进业主大会成立和业委会换届工作，业委会、物管会覆盖率达到95%以上。</w:t>
      </w:r>
      <w:r>
        <w:rPr>
          <w:rFonts w:hint="eastAsia" w:ascii="仿宋_GB2312" w:hAnsi="仿宋_GB2312" w:eastAsia="仿宋_GB2312" w:cs="仿宋_GB2312"/>
          <w:color w:val="000000"/>
          <w:kern w:val="2"/>
          <w:sz w:val="32"/>
          <w:szCs w:val="32"/>
          <w:lang w:val="en-US" w:eastAsia="zh-CN" w:bidi="ar-SA"/>
        </w:rPr>
        <w:t>深入推进“党建引领+垃圾分类”、“党建引领+物业管理”、“党建引领+议事协商”等重点工作，推动“十四五”规划在基层落地生根。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（五）坚持突出重点，普法教育成效不断夯实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紧抓重点对象宣传。深入推进领导干部、机关工作人员的法治教育，通过学习强国APP、干教网等方式加强个人自学，积极组织法治培训、集中学习研讨，不断提升公职人员法律素养。借力街道党校分校，开展社区党委书记、社区党务工作者业务和法治培训，将法律法规培训纳入党校培训内容，促进基层党员干部能力素质、法治水平全面提升。依托党群服务中心、马连道茶叶一条街积极推进送法进企业、进楼宇、进工地，开展了“法律援助进工地”、“知识产权法进马连道茶城”、“民法典进党群服务中心”等特色普法活动。深入辖区学校，强化青少年法治宣传教育，开展法治微讲堂、征文比赛、书画比赛等符合学生成长教育特点和爱好的实践活动，线上开展“阳光护航，我是小小普法员”创意征集比赛，联合中央财经大学法律援助协会举办“我是小法官”模拟法庭活动，邀请社区法律顾问宣讲《未成年人保护法》，通过各色各样的活动，切实提升青少年学生的法治意识和法治观念；联合北京金融法院开展“闪光的力量”英模宣讲、“京法巡回讲堂——警惕金融诈骗”普法讲座活动。同时，充分利用“智慧广外”微信公众号，开设“普法微课”专栏，宣传、传播习近平法治思想及《民法典》《宪法》等法律法规，营造浓厚的法治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2.推进法治阵地建设。加快推进民主法治示范社区建设，积极组织各社区开展形式多样的法治宣</w:t>
      </w:r>
      <w:r>
        <w:rPr>
          <w:rFonts w:hint="eastAsia" w:ascii="仿宋_GB2312" w:hAnsi="仿宋_GB2312" w:eastAsia="仿宋_GB2312" w:cs="仿宋_GB2312"/>
          <w:sz w:val="32"/>
          <w:szCs w:val="32"/>
          <w:lang w:val="en-US" w:eastAsia="zh-CN"/>
        </w:rPr>
        <w:t>传教育活动，推动各社区争先创优，目前广外街道已创建一个“北京市民主法治示范社区”红莲中里社区，一个“全国民主法治示范社区”红居街社区，名苑社区正在积极申报“北京市民主法治示范社区”。充分发挥远见名苑北京市法治文化示范园作用，依托马连道党群服务中心、街道防灾减灾宣教中心、马连道消防科普教育基地等阵地，结合防灾减灾宣传周、国家安全教育日、宪法宣传周、全国助残日、三八妇女节等重要时间节点，创新形式开展普法活动，今年以来已组织开展各类宣传教育活动300余场，发放各类宣传品、宣传材料5万余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落实“谁执法谁普法”制度。高度重视“谁执法谁普法”工作，引导街道各业务部门、一线执法人员深入学习贯彻习近平法治思想及各项法律法规。积极组织开展“法律十进”和“以案释法”活动，结合社会热点，及时通过“智慧广外”微信公众号整理发布典型案例。在执法、检查和业务办理过程中，注重向管理对象、服务对象、执法对象和社会公众宣讲解答有关法律问题，坚持执法和普法相结合，检查与教育相同步，将普法工作贯穿于工作全过程、各环节，推进法律法规宣传普及。</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二、上一</w:t>
      </w:r>
      <w:r>
        <w:rPr>
          <w:rFonts w:hint="eastAsia" w:ascii="黑体" w:hAnsi="黑体" w:eastAsia="黑体" w:cs="仿宋"/>
          <w:sz w:val="32"/>
          <w:szCs w:val="32"/>
        </w:rPr>
        <w:t>年度推进法治政府建设存在的不足和原因</w:t>
      </w:r>
    </w:p>
    <w:p>
      <w:pPr>
        <w:adjustRightInd w:val="0"/>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年广外街道在推进法治政府建设工作中取得了一定的成绩和进步，但仍存在一些问题和困难。主要表现在：</w:t>
      </w:r>
      <w:r>
        <w:rPr>
          <w:rFonts w:hint="eastAsia" w:ascii="仿宋_GB2312" w:eastAsia="仿宋_GB2312"/>
          <w:sz w:val="32"/>
          <w:szCs w:val="32"/>
          <w:lang w:eastAsia="zh-CN"/>
        </w:rPr>
        <w:t>一是依法行政意识有待进一步提高，运用法治思维和法律知识做群众工作的能力和水平还需要提升。需要不断创新法治培训形式、丰富培训内容，提升基层干部的法治观念和法律知识水平；持续强化基层法治队伍建设，在人员配备上提高法律专业人员配比。二是调解工作制度有待进一步健全，依法化解争议、社会矛盾纠纷的能力有待提高。需要继续完善专兼职人民调解员配备，更加丰富、更具针对性的开展人民调解业务培训；持续不断深化多元调解体制机制改革创新，更有手段、更有成效地推进矛盾就地化解。三是普法宣传工作有待进一步创新，普法的针对性、实效性有待增强。需要更加深入挖掘广外地区特色，发挥马连道茶叶一条街、北京金融法院等区域内地标优势，形成广外普法的特色做法、亮点活动。</w:t>
      </w:r>
    </w:p>
    <w:p>
      <w:pPr>
        <w:adjustRightInd w:val="0"/>
        <w:snapToGrid w:val="0"/>
        <w:spacing w:line="560" w:lineRule="exact"/>
        <w:ind w:firstLine="640" w:firstLineChars="200"/>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三、上一年度党政主要负责人履行推进法治建设第一责任人职责，加强法治政府建设的有关情况</w:t>
      </w:r>
    </w:p>
    <w:p>
      <w:pPr>
        <w:adjustRightInd w:val="0"/>
        <w:snapToGrid w:val="0"/>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rPr>
        <w:t>广外街道党政主要领导</w:t>
      </w:r>
      <w:r>
        <w:rPr>
          <w:rFonts w:ascii="仿宋_GB2312" w:hAnsi="Times New Roman" w:eastAsia="仿宋_GB2312" w:cs="Times New Roman"/>
          <w:sz w:val="32"/>
          <w:szCs w:val="32"/>
        </w:rPr>
        <w:t>高度重视法治政府建设</w:t>
      </w:r>
      <w:r>
        <w:rPr>
          <w:rFonts w:hint="eastAsia" w:ascii="仿宋_GB2312" w:hAnsi="Times New Roman" w:eastAsia="仿宋_GB2312" w:cs="Times New Roman"/>
          <w:sz w:val="32"/>
          <w:szCs w:val="32"/>
        </w:rPr>
        <w:t>工作</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坚持认真学习贯彻</w:t>
      </w:r>
      <w:r>
        <w:rPr>
          <w:rFonts w:hint="eastAsia" w:ascii="仿宋_GB2312" w:hAnsi="Times New Roman" w:eastAsia="仿宋_GB2312" w:cs="Times New Roman"/>
          <w:sz w:val="32"/>
          <w:szCs w:val="32"/>
          <w:lang w:eastAsia="zh-CN"/>
        </w:rPr>
        <w:t>习近平法治思想和</w:t>
      </w:r>
      <w:r>
        <w:rPr>
          <w:rFonts w:hint="eastAsia" w:ascii="仿宋_GB2312" w:hAnsi="Times New Roman" w:eastAsia="仿宋_GB2312" w:cs="Times New Roman"/>
          <w:sz w:val="32"/>
          <w:szCs w:val="32"/>
        </w:rPr>
        <w:t>中央、市、区关于法治政府建设工作的部署要求，切实履行推进法治建设第一责任人职责，</w:t>
      </w:r>
      <w:r>
        <w:rPr>
          <w:rFonts w:hint="eastAsia" w:ascii="仿宋_GB2312" w:hAnsi="Times New Roman" w:eastAsia="仿宋_GB2312" w:cs="Times New Roman"/>
          <w:sz w:val="32"/>
          <w:szCs w:val="32"/>
          <w:lang w:eastAsia="zh-CN"/>
        </w:rPr>
        <w:t>坚持把法治政府建设工作摆在重要位置同街道中心工作同部署、同推进、同督促，及时</w:t>
      </w:r>
      <w:r>
        <w:rPr>
          <w:rFonts w:hint="eastAsia" w:ascii="仿宋_GB2312" w:hAnsi="Times New Roman" w:eastAsia="仿宋_GB2312" w:cs="Times New Roman"/>
          <w:sz w:val="32"/>
          <w:szCs w:val="32"/>
          <w:lang w:val="en-US" w:eastAsia="zh-CN"/>
        </w:rPr>
        <w:t>专题听取法治建设阶段性进展情况汇报，充分发挥了主要领导在推进本地区法治建设中的领导核心作用</w:t>
      </w:r>
      <w:r>
        <w:rPr>
          <w:rFonts w:hint="eastAsia" w:ascii="仿宋_GB2312" w:hAnsi="Times New Roman" w:eastAsia="仿宋_GB2312" w:cs="Times New Roman"/>
          <w:sz w:val="32"/>
          <w:szCs w:val="32"/>
          <w:lang w:eastAsia="zh-CN"/>
        </w:rPr>
        <w:t>。将习近平法治思想和法律法规纳入理论学习中心组学习内容，街道党政主要领导带头参加理论学习中心组学习、主持主任办公会会前学法，切实提升依法行政能力。坚持依法依规决策，主持召开主任办公会审议法治建设相关文件</w:t>
      </w:r>
      <w:r>
        <w:rPr>
          <w:rFonts w:hint="eastAsia" w:ascii="仿宋_GB2312" w:hAnsi="Times New Roman" w:eastAsia="仿宋_GB2312" w:cs="Times New Roman"/>
          <w:sz w:val="32"/>
          <w:szCs w:val="32"/>
          <w:lang w:val="en-US" w:eastAsia="zh-CN"/>
        </w:rPr>
        <w:t>3次，切实做到“四个亲自”。</w:t>
      </w:r>
      <w:r>
        <w:rPr>
          <w:rFonts w:hint="eastAsia" w:ascii="仿宋_GB2312" w:hAnsi="Times New Roman" w:eastAsia="仿宋_GB2312" w:cs="Times New Roman"/>
          <w:sz w:val="32"/>
          <w:szCs w:val="32"/>
          <w:lang w:eastAsia="zh-CN"/>
        </w:rPr>
        <w:t>督促完善各项内控制度，不折不扣执行集体讨论决定和法律顾问制度，对街道重要文件、重大决策进行把关定向。</w:t>
      </w:r>
      <w:r>
        <w:rPr>
          <w:rFonts w:hint="eastAsia" w:ascii="仿宋_GB2312" w:hAnsi="Times New Roman" w:eastAsia="仿宋_GB2312" w:cs="Times New Roman"/>
          <w:sz w:val="32"/>
          <w:szCs w:val="32"/>
          <w:highlight w:val="none"/>
          <w:lang w:eastAsia="zh-CN"/>
        </w:rPr>
        <w:t>统筹推进基层行政执法规范化建设，及时与相关委办局沟通协调行政执法依据、职责划分等事宜，主持</w:t>
      </w:r>
      <w:r>
        <w:rPr>
          <w:rFonts w:hint="eastAsia" w:ascii="仿宋_GB2312" w:eastAsia="仿宋_GB2312"/>
          <w:color w:val="auto"/>
          <w:sz w:val="32"/>
          <w:szCs w:val="32"/>
          <w:highlight w:val="none"/>
        </w:rPr>
        <w:t>召开重大案件集体讨论会议4次，研讨</w:t>
      </w:r>
      <w:r>
        <w:rPr>
          <w:rFonts w:hint="eastAsia" w:ascii="仿宋_GB2312" w:eastAsia="仿宋_GB2312"/>
          <w:color w:val="auto"/>
          <w:sz w:val="32"/>
          <w:szCs w:val="32"/>
          <w:highlight w:val="none"/>
          <w:lang w:eastAsia="zh-CN"/>
        </w:rPr>
        <w:t>行政执法</w:t>
      </w:r>
      <w:r>
        <w:rPr>
          <w:rFonts w:hint="eastAsia" w:ascii="仿宋_GB2312" w:eastAsia="仿宋_GB2312"/>
          <w:color w:val="auto"/>
          <w:sz w:val="32"/>
          <w:szCs w:val="32"/>
          <w:highlight w:val="none"/>
        </w:rPr>
        <w:t>案件5件。</w:t>
      </w:r>
      <w:r>
        <w:rPr>
          <w:rFonts w:hint="eastAsia" w:ascii="仿宋_GB2312" w:eastAsia="仿宋_GB2312"/>
          <w:color w:val="auto"/>
          <w:sz w:val="32"/>
          <w:szCs w:val="32"/>
          <w:highlight w:val="none"/>
          <w:lang w:eastAsia="zh-CN"/>
        </w:rPr>
        <w:t>狠抓基层矛盾纠纷排查化解，经常性召开接诉即办会商会研究</w:t>
      </w:r>
      <w:r>
        <w:rPr>
          <w:rFonts w:hint="eastAsia" w:ascii="仿宋_GB2312" w:eastAsia="仿宋_GB2312"/>
          <w:color w:val="auto"/>
          <w:sz w:val="32"/>
          <w:szCs w:val="32"/>
          <w:highlight w:val="none"/>
          <w:lang w:val="en-US" w:eastAsia="zh-CN"/>
        </w:rPr>
        <w:t>12345疑难件处理问题，召集开展信访联席会议4次，主动接访11次。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四、下一年度推进法治政府建设的主要安排</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下一步，广外街道将围绕市区工作大局，创新机制，狠抓落实，进一步提升依法行政工作的能力和水平，重点做好以下工作：</w:t>
      </w:r>
    </w:p>
    <w:p>
      <w:pPr>
        <w:numPr>
          <w:ilvl w:val="0"/>
          <w:numId w:val="1"/>
        </w:numPr>
        <w:adjustRightInd w:val="0"/>
        <w:snapToGrid w:val="0"/>
        <w:spacing w:line="560" w:lineRule="exact"/>
        <w:ind w:left="-10" w:leftChars="0" w:firstLine="640" w:firstLineChars="0"/>
        <w:jc w:val="left"/>
        <w:rPr>
          <w:rFonts w:hint="eastAsia" w:ascii="仿宋_GB2312" w:hAnsi="仿宋_GB2312" w:eastAsia="仿宋_GB2312" w:cs="仿宋_GB2312"/>
          <w:b w:val="0"/>
          <w:bCs w:val="0"/>
          <w:sz w:val="32"/>
          <w:szCs w:val="32"/>
          <w:lang w:eastAsia="zh-CN"/>
        </w:rPr>
      </w:pPr>
      <w:r>
        <w:rPr>
          <w:rFonts w:hint="eastAsia" w:ascii="楷体_GB2312" w:eastAsia="楷体_GB2312"/>
          <w:sz w:val="32"/>
          <w:szCs w:val="32"/>
          <w:lang w:eastAsia="zh-CN"/>
        </w:rPr>
        <w:t>全面提升依法行政能力。</w:t>
      </w:r>
      <w:r>
        <w:rPr>
          <w:rFonts w:hint="eastAsia" w:ascii="仿宋_GB2312" w:hAnsi="仿宋_GB2312" w:eastAsia="仿宋_GB2312" w:cs="仿宋_GB2312"/>
          <w:b w:val="0"/>
          <w:bCs w:val="0"/>
          <w:sz w:val="32"/>
          <w:szCs w:val="32"/>
          <w:lang w:eastAsia="zh-CN"/>
        </w:rPr>
        <w:t>坚持深入学习宣传贯彻习近平法治思想，进一步学深悟透其核心要义。紧抓领导干部“关键少数”，通过理论学习中心组</w:t>
      </w:r>
      <w:bookmarkStart w:id="1" w:name="_GoBack"/>
      <w:bookmarkEnd w:id="1"/>
      <w:r>
        <w:rPr>
          <w:rFonts w:hint="eastAsia" w:ascii="仿宋_GB2312" w:hAnsi="仿宋_GB2312" w:eastAsia="仿宋_GB2312" w:cs="仿宋_GB2312"/>
          <w:b w:val="0"/>
          <w:bCs w:val="0"/>
          <w:sz w:val="32"/>
          <w:szCs w:val="32"/>
          <w:lang w:eastAsia="zh-CN"/>
        </w:rPr>
        <w:t>学习、主任办公会会前学法、法治培训等方式，切实提升领导班子和基层干部队伍的法治素养和依法履职能力。建立健全法治建设领导体制和工作机制，切实履行党政主要负责人推进法治建设第一责任人职责，统筹各方力量推进基层法治建设。进一步建立健全街道内控制度等各项规章制度，严格落实集体讨论决定和法律顾问制度，切实保障依法依规决策。</w:t>
      </w:r>
    </w:p>
    <w:p>
      <w:pPr>
        <w:numPr>
          <w:ilvl w:val="0"/>
          <w:numId w:val="1"/>
        </w:numPr>
        <w:adjustRightInd w:val="0"/>
        <w:snapToGrid w:val="0"/>
        <w:spacing w:line="560" w:lineRule="exact"/>
        <w:ind w:left="-10" w:leftChars="0" w:firstLine="640" w:firstLineChars="0"/>
        <w:jc w:val="left"/>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推进基层行政执法规范化。</w:t>
      </w:r>
      <w:r>
        <w:rPr>
          <w:rFonts w:hint="eastAsia" w:ascii="仿宋_GB2312" w:hAnsi="仿宋_GB2312" w:eastAsia="仿宋_GB2312" w:cs="仿宋_GB2312"/>
          <w:b w:val="0"/>
          <w:bCs w:val="0"/>
          <w:sz w:val="32"/>
          <w:szCs w:val="32"/>
          <w:lang w:eastAsia="zh-CN"/>
        </w:rPr>
        <w:t>进一步规范街道执法检查、受立案、调查、审查、决定等程序和行为，严格落实“三项制度”，全面推行行政执法公示制度，做到行政执法基本信息和动态信息主动、及时、准确公示；全面推行行政执法全过程记录制度，实现全过程留痕和可回溯管理；全面推行重大行政执法决定法制审核制度，确保每一起重大行政执法决定合法有效。坚持问题导向，结合接诉即办工作重点，强化群众需求集中领域执法工作力度，提升执法效能。强化行政执法队伍培训管理，通过岗前培训、集中培训、日常学习等多种方式，不断提高基层执法人员法律知识水平和业务能力，持续推进基层行政执法规范化建设。</w:t>
      </w:r>
    </w:p>
    <w:p>
      <w:pPr>
        <w:numPr>
          <w:ilvl w:val="0"/>
          <w:numId w:val="1"/>
        </w:numPr>
        <w:adjustRightInd w:val="0"/>
        <w:snapToGrid w:val="0"/>
        <w:spacing w:line="560" w:lineRule="exact"/>
        <w:ind w:left="-10" w:leftChars="0" w:firstLine="640" w:firstLineChars="0"/>
        <w:jc w:val="left"/>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依法有效化解社会矛盾纠纷。</w:t>
      </w:r>
      <w:r>
        <w:rPr>
          <w:rFonts w:hint="eastAsia" w:ascii="仿宋_GB2312" w:hAnsi="仿宋_GB2312" w:eastAsia="仿宋_GB2312" w:cs="仿宋_GB2312"/>
          <w:b w:val="0"/>
          <w:bCs w:val="0"/>
          <w:sz w:val="32"/>
          <w:szCs w:val="32"/>
          <w:lang w:eastAsia="zh-CN"/>
        </w:rPr>
        <w:t>坚持和发展新时代“枫桥经验”，不断畅通和规范群众诉求表达、利益协调、权益保障通道，加强矛盾排查和风险研判，完善社会矛盾纠纷多元预防调处化解综合机制，强化诉源治理，实质性化解矛盾纠纷。完善人民调解、行政调解、司法调解多元联动工作体系，进一步夯实社区人民调解委员会基础，强化专兼职人民调解员配备和业务培训，提升调解工作能力和水平，推动实现矛盾纠纷就地及时化解。</w:t>
      </w:r>
    </w:p>
    <w:p>
      <w:pPr>
        <w:numPr>
          <w:ilvl w:val="0"/>
          <w:numId w:val="1"/>
        </w:numPr>
        <w:adjustRightInd w:val="0"/>
        <w:snapToGrid w:val="0"/>
        <w:spacing w:line="560" w:lineRule="exact"/>
        <w:ind w:left="-10" w:leftChars="0" w:firstLine="640" w:firstLineChars="0"/>
        <w:jc w:val="left"/>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构建完善大普法工作格局。</w:t>
      </w:r>
      <w:r>
        <w:rPr>
          <w:rFonts w:hint="eastAsia" w:ascii="仿宋_GB2312" w:hAnsi="仿宋_GB2312" w:eastAsia="仿宋_GB2312" w:cs="仿宋_GB2312"/>
          <w:b w:val="0"/>
          <w:bCs w:val="0"/>
          <w:sz w:val="32"/>
          <w:szCs w:val="32"/>
          <w:lang w:eastAsia="zh-CN"/>
        </w:rPr>
        <w:t>坚持法治宣传教育与法治实践相结合，实现普法主体多元化发展，持续增强普法的精准性和实效性，着力提升群众普法满意度。推进社会普法志愿队伍建设，鼓励推动各种社会力量开展法治宣传教育，不断增强全社会尊法学法守法用法意识。严格落实“谁执法谁普法”普法责任制，坚持完善法律服务下基层服务，加大对宪法、民法典、垃圾分类、物业管理、停车管理等与百姓生活息息相关的重点法律法规的普及力度，强化普法宣传效果。推进普法阵地建设，统筹推进党建、宣教、廉政教育基地等阵地融合，深入开展民主法治示范社区创建，推动建设一批新的民主法治示范社区。</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五、其他需要报告的情况</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无</w:t>
      </w:r>
    </w:p>
    <w:p>
      <w:pPr>
        <w:adjustRightInd w:val="0"/>
        <w:snapToGrid w:val="0"/>
        <w:spacing w:line="560" w:lineRule="exact"/>
        <w:jc w:val="left"/>
        <w:rPr>
          <w:rFonts w:ascii="仿宋_GB2312" w:eastAsia="仿宋_GB2312"/>
          <w:sz w:val="32"/>
          <w:szCs w:val="32"/>
        </w:rPr>
      </w:pPr>
    </w:p>
    <w:p>
      <w:pPr>
        <w:adjustRightInd w:val="0"/>
        <w:snapToGrid w:val="0"/>
        <w:spacing w:line="560" w:lineRule="exact"/>
        <w:jc w:val="left"/>
        <w:rPr>
          <w:rFonts w:ascii="仿宋_GB2312" w:eastAsia="仿宋_GB2312"/>
          <w:sz w:val="32"/>
          <w:szCs w:val="32"/>
        </w:rPr>
      </w:pPr>
    </w:p>
    <w:p>
      <w:pPr>
        <w:adjustRightInd w:val="0"/>
        <w:snapToGrid w:val="0"/>
        <w:spacing w:line="560" w:lineRule="exact"/>
        <w:jc w:val="left"/>
        <w:rPr>
          <w:rFonts w:ascii="仿宋_GB2312" w:eastAsia="仿宋_GB2312"/>
          <w:sz w:val="32"/>
          <w:szCs w:val="32"/>
        </w:rPr>
      </w:pPr>
    </w:p>
    <w:p>
      <w:pPr>
        <w:adjustRightInd w:val="0"/>
        <w:snapToGrid w:val="0"/>
        <w:spacing w:line="560" w:lineRule="exact"/>
        <w:ind w:firstLine="4960" w:firstLineChars="1550"/>
        <w:jc w:val="both"/>
        <w:rPr>
          <w:rFonts w:ascii="仿宋_GB2312" w:eastAsia="仿宋_GB2312"/>
          <w:sz w:val="32"/>
          <w:szCs w:val="32"/>
        </w:rPr>
      </w:pPr>
      <w:r>
        <w:rPr>
          <w:rFonts w:hint="eastAsia" w:ascii="仿宋_GB2312" w:eastAsia="仿宋_GB2312"/>
          <w:sz w:val="32"/>
          <w:szCs w:val="32"/>
        </w:rPr>
        <w:t>广外街道办事处</w:t>
      </w:r>
    </w:p>
    <w:p>
      <w:pPr>
        <w:adjustRightInd w:val="0"/>
        <w:snapToGrid w:val="0"/>
        <w:spacing w:line="560" w:lineRule="exact"/>
        <w:ind w:firstLine="4800" w:firstLineChars="1500"/>
        <w:jc w:val="both"/>
        <w:rPr>
          <w:rFonts w:ascii="仿宋" w:hAnsi="仿宋" w:eastAsia="仿宋"/>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年12月</w:t>
      </w:r>
      <w:r>
        <w:rPr>
          <w:rFonts w:hint="eastAsia" w:ascii="仿宋_GB2312" w:eastAsia="仿宋_GB2312"/>
          <w:sz w:val="32"/>
          <w:szCs w:val="32"/>
          <w:lang w:val="en-US" w:eastAsia="zh-CN"/>
        </w:rPr>
        <w:t>17</w:t>
      </w:r>
      <w:r>
        <w:rPr>
          <w:rFonts w:hint="eastAsia" w:ascii="仿宋_GB2312" w:eastAsia="仿宋_GB2312"/>
          <w:sz w:val="32"/>
          <w:szCs w:val="32"/>
        </w:rPr>
        <w:t>日</w:t>
      </w: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ind w:firstLine="4800" w:firstLineChars="1500"/>
        <w:rPr>
          <w:rFonts w:ascii="仿宋" w:hAnsi="仿宋" w:eastAsia="仿宋"/>
          <w:sz w:val="32"/>
          <w:szCs w:val="32"/>
        </w:rPr>
      </w:pPr>
    </w:p>
    <w:p>
      <w:pPr>
        <w:adjustRightInd w:val="0"/>
        <w:snapToGrid w:val="0"/>
        <w:spacing w:line="560" w:lineRule="exact"/>
        <w:rPr>
          <w:rFonts w:ascii="仿宋" w:hAnsi="仿宋" w:eastAsia="仿宋"/>
          <w:sz w:val="32"/>
          <w:szCs w:val="32"/>
        </w:rPr>
      </w:pPr>
    </w:p>
    <w:p>
      <w:pPr>
        <w:snapToGrid w:val="0"/>
        <w:spacing w:line="500" w:lineRule="atLeast"/>
        <w:ind w:firstLine="280" w:firstLineChars="100"/>
        <w:rPr>
          <w:rFonts w:ascii="仿宋" w:hAnsi="仿宋" w:eastAsia="仿宋"/>
          <w:sz w:val="28"/>
          <w:szCs w:val="28"/>
        </w:rPr>
      </w:pPr>
      <w:r>
        <w:rPr>
          <w:rFonts w:hint="eastAsia" w:ascii="仿宋" w:hAnsi="仿宋" w:eastAsia="仿宋"/>
          <w:sz w:val="28"/>
          <w:szCs w:val="28"/>
        </w:rPr>
        <w:t>抄送：区委全面依法治区委员会办公室</w:t>
      </w:r>
    </w:p>
    <w:p>
      <w:pPr>
        <w:snapToGrid w:val="0"/>
        <w:spacing w:line="500" w:lineRule="atLeast"/>
        <w:ind w:firstLine="210" w:firstLineChars="100"/>
        <w:rPr>
          <w:rFonts w:ascii="仿宋" w:hAnsi="仿宋" w:eastAsia="仿宋"/>
          <w:sz w:val="32"/>
          <w:szCs w:val="32"/>
        </w:rPr>
      </w:pPr>
      <w:r>
        <mc:AlternateContent>
          <mc:Choice Requires="wps">
            <w:drawing>
              <wp:anchor distT="0" distB="0" distL="114300" distR="114300" simplePos="0" relativeHeight="251672576" behindDoc="0" locked="0" layoutInCell="1" allowOverlap="1">
                <wp:simplePos x="0" y="0"/>
                <wp:positionH relativeFrom="column">
                  <wp:posOffset>12065</wp:posOffset>
                </wp:positionH>
                <wp:positionV relativeFrom="paragraph">
                  <wp:posOffset>376555</wp:posOffset>
                </wp:positionV>
                <wp:extent cx="5605780" cy="0"/>
                <wp:effectExtent l="0" t="0" r="0" b="0"/>
                <wp:wrapNone/>
                <wp:docPr id="1"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605780" cy="0"/>
                        </a:xfrm>
                        <a:prstGeom prst="line">
                          <a:avLst/>
                        </a:prstGeom>
                        <a:noFill/>
                        <a:ln w="9525">
                          <a:solidFill>
                            <a:srgbClr val="000000"/>
                          </a:solidFill>
                          <a:round/>
                        </a:ln>
                        <a:effectLst/>
                      </wps:spPr>
                      <wps:bodyPr/>
                    </wps:wsp>
                  </a:graphicData>
                </a:graphic>
              </wp:anchor>
            </w:drawing>
          </mc:Choice>
          <mc:Fallback>
            <w:pict>
              <v:line id="直接连接符 15" o:spid="_x0000_s1026" o:spt="20" style="position:absolute;left:0pt;margin-left:0.95pt;margin-top:29.65pt;height:0pt;width:441.4pt;z-index:251672576;mso-width-relative:page;mso-height-relative:page;" filled="f" stroked="t" coordsize="21600,21600" o:gfxdata="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ng+dbTAAAABwEAAA8AAAAAAAAAAQAgAAAAIgAAAGRycy9k&#10;b3ducmV2LnhtbFBLAQIUABQAAAAIAIdO4kAkTaj8zgEAAGsDAAAOAAAAAAAAAAEAIAAAACI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29845</wp:posOffset>
                </wp:positionV>
                <wp:extent cx="560578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60578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35pt;height:0pt;width:441.4pt;z-index:251665408;mso-width-relative:page;mso-height-relative:page;" filled="f" stroked="t" coordsize="21600,21600" o:gfxdata="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6PY39IAAAAEAQAADwAAAAAAAAABACAAAAAiAAAAZHJzL2Rv&#10;d25yZXYueG1sUEsBAhQAFAAAAAgAh07iQPhduW7OAQAAbAMAAA4AAAAAAAAAAQAgAAAAIQEAAGRy&#10;cy9lMm9Eb2MueG1sUEsFBgAAAAAGAAYAWQEAAGEFAAAAAA==&#10;">
                <v:fill on="f" focussize="0,0"/>
                <v:stroke color="#000000" joinstyle="round"/>
                <v:imagedata o:title=""/>
                <o:lock v:ext="edit" aspectratio="f"/>
              </v:line>
            </w:pict>
          </mc:Fallback>
        </mc:AlternateContent>
      </w:r>
      <w:r>
        <w:rPr>
          <w:rFonts w:hint="eastAsia" w:ascii="仿宋" w:hAnsi="仿宋" w:eastAsia="仿宋"/>
          <w:sz w:val="28"/>
          <w:szCs w:val="28"/>
        </w:rPr>
        <w:t>西城区人民政府广外街道综合办公室        202</w:t>
      </w:r>
      <w:r>
        <w:rPr>
          <w:rFonts w:hint="eastAsia" w:ascii="仿宋" w:hAnsi="仿宋" w:eastAsia="仿宋"/>
          <w:sz w:val="28"/>
          <w:szCs w:val="28"/>
          <w:lang w:val="en-US" w:eastAsia="zh-CN"/>
        </w:rPr>
        <w:t>1</w:t>
      </w:r>
      <w:r>
        <w:rPr>
          <w:rFonts w:hint="eastAsia" w:ascii="仿宋" w:hAnsi="仿宋" w:eastAsia="仿宋"/>
          <w:sz w:val="28"/>
          <w:szCs w:val="28"/>
        </w:rPr>
        <w:t>年12月</w:t>
      </w:r>
      <w:r>
        <w:rPr>
          <w:rFonts w:hint="eastAsia" w:ascii="仿宋" w:hAnsi="仿宋" w:eastAsia="仿宋"/>
          <w:sz w:val="28"/>
          <w:szCs w:val="28"/>
          <w:lang w:val="en-US" w:eastAsia="zh-CN"/>
        </w:rPr>
        <w:t>17</w:t>
      </w:r>
      <w:r>
        <w:rPr>
          <w:rFonts w:hint="eastAsia" w:ascii="仿宋" w:hAnsi="仿宋" w:eastAsia="仿宋"/>
          <w:sz w:val="28"/>
          <w:szCs w:val="28"/>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-43180</wp:posOffset>
              </wp:positionV>
              <wp:extent cx="71501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15010" cy="1828800"/>
                      </a:xfrm>
                      <a:prstGeom prst="rect">
                        <a:avLst/>
                      </a:prstGeom>
                      <a:noFill/>
                      <a:ln>
                        <a:noFill/>
                      </a:ln>
                    </wps:spPr>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top:-3.4pt;height:144pt;width:56.3pt;mso-position-horizontal:outside;mso-position-horizontal-relative:margin;z-index:251658240;mso-width-relative:page;mso-height-relative:page;" filled="f" stroked="f" coordsize="21600,21600" o:gfxdata="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THjv0wAAAAcBAAAP&#10;AAAAAAAAAAEAIAAAACIAAABkcnMvZG93bnJldi54bWxQSwECFAAUAAAACACHTuJALvyfv6sBAAA+&#10;AwAADgAAAAAAAAABACAAAAAiAQAAZHJzL2Uyb0RvYy54bWxQSwUGAAAAAAYABgBZAQAAPwUAAAAA&#10;">
              <v:fill on="f" focussize="0,0"/>
              <v:stroke on="f"/>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0A4A"/>
    <w:multiLevelType w:val="singleLevel"/>
    <w:tmpl w:val="32640A4A"/>
    <w:lvl w:ilvl="0" w:tentative="0">
      <w:start w:val="1"/>
      <w:numFmt w:val="chineseCounting"/>
      <w:suff w:val="nothing"/>
      <w:lvlText w:val="（%1）"/>
      <w:lvlJc w:val="left"/>
      <w:pPr>
        <w:ind w:left="-10"/>
      </w:pPr>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D2"/>
    <w:rsid w:val="00004D8A"/>
    <w:rsid w:val="0002600B"/>
    <w:rsid w:val="00036A4A"/>
    <w:rsid w:val="00044E72"/>
    <w:rsid w:val="00082573"/>
    <w:rsid w:val="000D764B"/>
    <w:rsid w:val="00103FAB"/>
    <w:rsid w:val="0011588B"/>
    <w:rsid w:val="00121844"/>
    <w:rsid w:val="00124008"/>
    <w:rsid w:val="001278B8"/>
    <w:rsid w:val="0016641A"/>
    <w:rsid w:val="00176A1E"/>
    <w:rsid w:val="00194985"/>
    <w:rsid w:val="001A713C"/>
    <w:rsid w:val="002175C9"/>
    <w:rsid w:val="00255B48"/>
    <w:rsid w:val="00281431"/>
    <w:rsid w:val="00282EC7"/>
    <w:rsid w:val="00296B33"/>
    <w:rsid w:val="002D68EB"/>
    <w:rsid w:val="002E566B"/>
    <w:rsid w:val="00306E34"/>
    <w:rsid w:val="00310474"/>
    <w:rsid w:val="00352B5A"/>
    <w:rsid w:val="00357DAB"/>
    <w:rsid w:val="00372BDE"/>
    <w:rsid w:val="003A5A7D"/>
    <w:rsid w:val="003B3568"/>
    <w:rsid w:val="003D18CD"/>
    <w:rsid w:val="003D4735"/>
    <w:rsid w:val="003F245F"/>
    <w:rsid w:val="00415828"/>
    <w:rsid w:val="004424F4"/>
    <w:rsid w:val="00467439"/>
    <w:rsid w:val="004B3FF6"/>
    <w:rsid w:val="004B630D"/>
    <w:rsid w:val="004D4993"/>
    <w:rsid w:val="004E1F64"/>
    <w:rsid w:val="004F2AA6"/>
    <w:rsid w:val="004F7E16"/>
    <w:rsid w:val="0053576E"/>
    <w:rsid w:val="0055268F"/>
    <w:rsid w:val="005723E1"/>
    <w:rsid w:val="00572A93"/>
    <w:rsid w:val="00580D26"/>
    <w:rsid w:val="005C5062"/>
    <w:rsid w:val="005D450B"/>
    <w:rsid w:val="00602871"/>
    <w:rsid w:val="00652970"/>
    <w:rsid w:val="0065352A"/>
    <w:rsid w:val="006B0637"/>
    <w:rsid w:val="006D5DDD"/>
    <w:rsid w:val="00701104"/>
    <w:rsid w:val="007018F3"/>
    <w:rsid w:val="00702A7A"/>
    <w:rsid w:val="007134B4"/>
    <w:rsid w:val="007158DF"/>
    <w:rsid w:val="007A387B"/>
    <w:rsid w:val="0081322C"/>
    <w:rsid w:val="00820892"/>
    <w:rsid w:val="00835B77"/>
    <w:rsid w:val="008504E2"/>
    <w:rsid w:val="00880913"/>
    <w:rsid w:val="00894236"/>
    <w:rsid w:val="00894549"/>
    <w:rsid w:val="008A64E8"/>
    <w:rsid w:val="008D1C15"/>
    <w:rsid w:val="008F20E7"/>
    <w:rsid w:val="008F793C"/>
    <w:rsid w:val="00915203"/>
    <w:rsid w:val="00926FCB"/>
    <w:rsid w:val="00934FC6"/>
    <w:rsid w:val="009744DA"/>
    <w:rsid w:val="009C171D"/>
    <w:rsid w:val="009D0F26"/>
    <w:rsid w:val="009D309E"/>
    <w:rsid w:val="00A01CD2"/>
    <w:rsid w:val="00A1098F"/>
    <w:rsid w:val="00AA23E9"/>
    <w:rsid w:val="00AB0D66"/>
    <w:rsid w:val="00AB31A2"/>
    <w:rsid w:val="00AC31A8"/>
    <w:rsid w:val="00AF2107"/>
    <w:rsid w:val="00B06BB7"/>
    <w:rsid w:val="00B12910"/>
    <w:rsid w:val="00B34A8C"/>
    <w:rsid w:val="00B36910"/>
    <w:rsid w:val="00B41BBC"/>
    <w:rsid w:val="00B44693"/>
    <w:rsid w:val="00B5563D"/>
    <w:rsid w:val="00B61165"/>
    <w:rsid w:val="00B706B6"/>
    <w:rsid w:val="00B8790E"/>
    <w:rsid w:val="00BF287B"/>
    <w:rsid w:val="00BF2C2E"/>
    <w:rsid w:val="00C16581"/>
    <w:rsid w:val="00C57E0E"/>
    <w:rsid w:val="00C97DF3"/>
    <w:rsid w:val="00CB2E8D"/>
    <w:rsid w:val="00CD1E7A"/>
    <w:rsid w:val="00CE0420"/>
    <w:rsid w:val="00D168EA"/>
    <w:rsid w:val="00D34B1F"/>
    <w:rsid w:val="00DA71AD"/>
    <w:rsid w:val="00DB5E5B"/>
    <w:rsid w:val="00DF6FF4"/>
    <w:rsid w:val="00E20C9D"/>
    <w:rsid w:val="00E71EB4"/>
    <w:rsid w:val="00EA3547"/>
    <w:rsid w:val="00EA4C19"/>
    <w:rsid w:val="00EC3DBE"/>
    <w:rsid w:val="00F17A06"/>
    <w:rsid w:val="00F24EB3"/>
    <w:rsid w:val="00F661A9"/>
    <w:rsid w:val="00FC57E6"/>
    <w:rsid w:val="00FD1E55"/>
    <w:rsid w:val="00FE49D9"/>
    <w:rsid w:val="05B7389F"/>
    <w:rsid w:val="1B98786B"/>
    <w:rsid w:val="230949CD"/>
    <w:rsid w:val="4BE86705"/>
    <w:rsid w:val="4CC27E1F"/>
    <w:rsid w:val="4D9D6C29"/>
    <w:rsid w:val="4DF94EB2"/>
    <w:rsid w:val="53136B2A"/>
    <w:rsid w:val="538245CE"/>
    <w:rsid w:val="56A21737"/>
    <w:rsid w:val="66DA4278"/>
    <w:rsid w:val="68EC04C7"/>
    <w:rsid w:val="6F304FAF"/>
    <w:rsid w:val="761B48F7"/>
    <w:rsid w:val="77A76AB5"/>
    <w:rsid w:val="7A34058C"/>
    <w:rsid w:val="7BC4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568</Words>
  <Characters>3244</Characters>
  <Lines>27</Lines>
  <Paragraphs>7</Paragraphs>
  <TotalTime>10</TotalTime>
  <ScaleCrop>false</ScaleCrop>
  <LinksUpToDate>false</LinksUpToDate>
  <CharactersWithSpaces>3805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2020-01-17T09:05:00Z</dcterms:created>
  <dc:creator>xcajqxy</dc:creator>
  <cp:lastModifiedBy>狮子结带滚绣球</cp:lastModifiedBy>
  <cp:lastPrinted>2021-12-17T01:28:00Z</cp:lastPrinted>
  <dcterms:modified xsi:type="dcterms:W3CDTF">2025-03-24T03:28:31Z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