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2A894">
      <w:pPr>
        <w:spacing w:beforeLines="50" w:afterLines="50" w:line="560" w:lineRule="exact"/>
        <w:ind w:firstLine="883" w:firstLineChars="200"/>
        <w:jc w:val="center"/>
        <w:rPr>
          <w:rFonts w:asciiTheme="minorEastAsia" w:hAnsiTheme="minorEastAsia" w:eastAsiaTheme="minorEastAsia"/>
          <w:b/>
          <w:sz w:val="44"/>
          <w:szCs w:val="44"/>
        </w:rPr>
      </w:pPr>
      <w:bookmarkStart w:id="0" w:name="RiseOffice_body"/>
      <w:r>
        <w:rPr>
          <w:rFonts w:hint="eastAsia" w:asciiTheme="minorEastAsia" w:hAnsiTheme="minorEastAsia" w:eastAsiaTheme="minorEastAsia"/>
          <w:b/>
          <w:sz w:val="44"/>
          <w:szCs w:val="44"/>
        </w:rPr>
        <w:t>西城区教育委员会部门决算及“三公”经费决算公开</w:t>
      </w:r>
      <w:r>
        <w:rPr>
          <w:rFonts w:asciiTheme="minorEastAsia" w:hAnsiTheme="minorEastAsia" w:eastAsiaTheme="minorEastAsia"/>
          <w:b/>
          <w:sz w:val="44"/>
          <w:szCs w:val="44"/>
        </w:rPr>
        <w:t>目录</w:t>
      </w:r>
    </w:p>
    <w:p w14:paraId="0B9EB66F">
      <w:pPr>
        <w:adjustRightInd w:val="0"/>
        <w:snapToGrid w:val="0"/>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 xml:space="preserve">  </w:t>
      </w:r>
    </w:p>
    <w:p w14:paraId="30C6B52B">
      <w:pPr>
        <w:adjustRightInd w:val="0"/>
        <w:snapToGrid w:val="0"/>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 xml:space="preserve">第一部分 </w:t>
      </w:r>
      <w:r>
        <w:rPr>
          <w:rFonts w:hint="eastAsia" w:ascii="仿宋_GB2312" w:eastAsia="仿宋_GB2312"/>
          <w:color w:val="000000"/>
          <w:sz w:val="32"/>
          <w:szCs w:val="32"/>
        </w:rPr>
        <w:t>部门基本情况</w:t>
      </w:r>
      <w:r>
        <w:rPr>
          <w:rFonts w:ascii="仿宋_GB2312" w:eastAsia="仿宋_GB2312"/>
          <w:color w:val="000000"/>
          <w:sz w:val="32"/>
          <w:szCs w:val="32"/>
        </w:rPr>
        <w:t xml:space="preserve"> </w:t>
      </w:r>
    </w:p>
    <w:p w14:paraId="4114B422">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sz w:val="32"/>
          <w:szCs w:val="32"/>
        </w:rPr>
        <w:t>一、部门机构设置、职责</w:t>
      </w:r>
    </w:p>
    <w:p w14:paraId="75A76529">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二、部门决算的单位构成</w:t>
      </w:r>
    </w:p>
    <w:p w14:paraId="15923177">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三、人员构成情况</w:t>
      </w:r>
    </w:p>
    <w:p w14:paraId="795E6E74">
      <w:pPr>
        <w:adjustRightInd w:val="0"/>
        <w:snapToGrid w:val="0"/>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第</w:t>
      </w:r>
      <w:r>
        <w:rPr>
          <w:rFonts w:hint="eastAsia" w:ascii="仿宋_GB2312" w:eastAsia="仿宋_GB2312"/>
          <w:color w:val="000000"/>
          <w:sz w:val="32"/>
          <w:szCs w:val="32"/>
        </w:rPr>
        <w:t>二</w:t>
      </w:r>
      <w:r>
        <w:rPr>
          <w:rFonts w:ascii="仿宋_GB2312" w:eastAsia="仿宋_GB2312"/>
          <w:color w:val="000000"/>
          <w:sz w:val="32"/>
          <w:szCs w:val="32"/>
        </w:rPr>
        <w:t xml:space="preserve">部分 2017年度部门决算情况说明 </w:t>
      </w:r>
    </w:p>
    <w:p w14:paraId="563C6B84">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一、收入决算说明</w:t>
      </w:r>
    </w:p>
    <w:p w14:paraId="436CA7DE">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二、支出决算说明</w:t>
      </w:r>
    </w:p>
    <w:p w14:paraId="69B58B87">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三、政府采购执行情况说明</w:t>
      </w:r>
    </w:p>
    <w:p w14:paraId="04860139">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四、政府购买服务说明</w:t>
      </w:r>
    </w:p>
    <w:p w14:paraId="62CD6AE6">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五、机关运行经费说明</w:t>
      </w:r>
    </w:p>
    <w:p w14:paraId="3AAD8767">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六、项目支出绩效情况说明</w:t>
      </w:r>
    </w:p>
    <w:p w14:paraId="19809844">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七、国有资本经营预算财政拨款情况说明</w:t>
      </w:r>
    </w:p>
    <w:p w14:paraId="132EA30D">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八、国有资产占用情况</w:t>
      </w:r>
    </w:p>
    <w:p w14:paraId="1DBE1ACD">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九、“三公”经费财政拨款决算情况说明</w:t>
      </w:r>
    </w:p>
    <w:p w14:paraId="233D008D">
      <w:pPr>
        <w:adjustRightInd w:val="0"/>
        <w:snapToGrid w:val="0"/>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第</w:t>
      </w:r>
      <w:r>
        <w:rPr>
          <w:rFonts w:hint="eastAsia" w:ascii="仿宋_GB2312" w:eastAsia="仿宋_GB2312"/>
          <w:color w:val="000000"/>
          <w:sz w:val="32"/>
          <w:szCs w:val="32"/>
        </w:rPr>
        <w:t>三</w:t>
      </w:r>
      <w:r>
        <w:rPr>
          <w:rFonts w:ascii="仿宋_GB2312" w:eastAsia="仿宋_GB2312"/>
          <w:color w:val="000000"/>
          <w:sz w:val="32"/>
          <w:szCs w:val="32"/>
        </w:rPr>
        <w:t xml:space="preserve">部分 名词解释 </w:t>
      </w:r>
    </w:p>
    <w:p w14:paraId="0D7CD043">
      <w:pPr>
        <w:adjustRightInd w:val="0"/>
        <w:snapToGrid w:val="0"/>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第</w:t>
      </w:r>
      <w:r>
        <w:rPr>
          <w:rFonts w:hint="eastAsia" w:ascii="仿宋_GB2312" w:eastAsia="仿宋_GB2312"/>
          <w:color w:val="000000"/>
          <w:sz w:val="32"/>
          <w:szCs w:val="32"/>
        </w:rPr>
        <w:t>四</w:t>
      </w:r>
      <w:r>
        <w:rPr>
          <w:rFonts w:ascii="仿宋_GB2312" w:eastAsia="仿宋_GB2312"/>
          <w:color w:val="000000"/>
          <w:sz w:val="32"/>
          <w:szCs w:val="32"/>
        </w:rPr>
        <w:t xml:space="preserve">部分 2017年度部门决算表 </w:t>
      </w:r>
    </w:p>
    <w:p w14:paraId="1913F672">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 xml:space="preserve">（1）部门收支总体情况表     </w:t>
      </w:r>
    </w:p>
    <w:p w14:paraId="337DEE37">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（2）部门收入总体情况表</w:t>
      </w:r>
    </w:p>
    <w:p w14:paraId="3DD482BB">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（3）部门支出总体情况表</w:t>
      </w:r>
    </w:p>
    <w:p w14:paraId="00345C40">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 xml:space="preserve">（4）财政拨款收支总体情况表        </w:t>
      </w:r>
    </w:p>
    <w:p w14:paraId="301B86F8">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（5）一般公共预算支出情况表</w:t>
      </w:r>
    </w:p>
    <w:p w14:paraId="2D0A08CF">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（6）一般公共预算基本支出情况表</w:t>
      </w:r>
    </w:p>
    <w:p w14:paraId="1AB81B1B">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（7）政府性基金预算收支决算表</w:t>
      </w:r>
    </w:p>
    <w:p w14:paraId="2577F474">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（8）</w:t>
      </w:r>
      <w:r>
        <w:rPr>
          <w:rFonts w:ascii="仿宋_GB2312" w:eastAsia="仿宋_GB2312"/>
          <w:color w:val="000000"/>
          <w:sz w:val="32"/>
          <w:szCs w:val="32"/>
        </w:rPr>
        <w:t xml:space="preserve">一般公共预算财政拨款“三公”经费支出决算表 </w:t>
      </w:r>
    </w:p>
    <w:p w14:paraId="0AE01EA4">
      <w:pPr>
        <w:adjustRightInd w:val="0"/>
        <w:snapToGrid w:val="0"/>
        <w:spacing w:line="560" w:lineRule="exact"/>
        <w:ind w:firstLine="640" w:firstLineChars="200"/>
        <w:rPr>
          <w:rFonts w:ascii="仿宋_GB2312" w:eastAsia="仿宋_GB2312"/>
          <w:color w:val="000000"/>
          <w:sz w:val="32"/>
          <w:szCs w:val="32"/>
        </w:rPr>
      </w:pPr>
    </w:p>
    <w:p w14:paraId="1F533452">
      <w:pPr>
        <w:adjustRightInd w:val="0"/>
        <w:snapToGrid w:val="0"/>
        <w:spacing w:line="560" w:lineRule="exact"/>
        <w:ind w:firstLine="640" w:firstLineChars="200"/>
        <w:rPr>
          <w:rFonts w:ascii="仿宋_GB2312" w:eastAsia="仿宋_GB2312"/>
          <w:color w:val="000000"/>
          <w:sz w:val="32"/>
          <w:szCs w:val="32"/>
        </w:rPr>
      </w:pPr>
    </w:p>
    <w:p w14:paraId="76A3C66D">
      <w:pPr>
        <w:adjustRightInd w:val="0"/>
        <w:snapToGrid w:val="0"/>
        <w:spacing w:line="560" w:lineRule="exact"/>
        <w:ind w:firstLine="640" w:firstLineChars="200"/>
        <w:rPr>
          <w:rFonts w:ascii="仿宋_GB2312" w:eastAsia="仿宋_GB2312"/>
          <w:color w:val="000000"/>
          <w:sz w:val="32"/>
          <w:szCs w:val="32"/>
        </w:rPr>
      </w:pPr>
    </w:p>
    <w:p w14:paraId="6ED79DDE">
      <w:pPr>
        <w:adjustRightInd w:val="0"/>
        <w:snapToGrid w:val="0"/>
        <w:spacing w:line="560" w:lineRule="exact"/>
        <w:rPr>
          <w:rFonts w:ascii="仿宋_GB2312" w:eastAsia="仿宋_GB2312"/>
          <w:color w:val="000000"/>
          <w:sz w:val="32"/>
          <w:szCs w:val="32"/>
        </w:rPr>
      </w:pPr>
    </w:p>
    <w:bookmarkEnd w:id="0"/>
    <w:p w14:paraId="56F3A33C">
      <w:pPr>
        <w:jc w:val="center"/>
        <w:outlineLvl w:val="0"/>
        <w:rPr>
          <w:rFonts w:ascii="仿宋_GB2312"/>
          <w:b/>
          <w:sz w:val="44"/>
          <w:szCs w:val="44"/>
        </w:rPr>
      </w:pPr>
      <w:r>
        <w:rPr>
          <w:rFonts w:hint="eastAsia" w:ascii="仿宋_GB2312"/>
          <w:b/>
          <w:sz w:val="44"/>
          <w:szCs w:val="44"/>
        </w:rPr>
        <w:t>西城区教育委员会</w:t>
      </w:r>
    </w:p>
    <w:p w14:paraId="147C2DEB">
      <w:pPr>
        <w:jc w:val="center"/>
        <w:outlineLvl w:val="0"/>
        <w:rPr>
          <w:rFonts w:ascii="仿宋_GB2312"/>
          <w:b/>
          <w:sz w:val="44"/>
          <w:szCs w:val="44"/>
        </w:rPr>
      </w:pPr>
      <w:r>
        <w:rPr>
          <w:rFonts w:hint="eastAsia" w:ascii="仿宋_GB2312"/>
          <w:b/>
          <w:sz w:val="44"/>
          <w:szCs w:val="44"/>
        </w:rPr>
        <w:t>2017年部门决算情况的说明</w:t>
      </w:r>
    </w:p>
    <w:p w14:paraId="656E045D">
      <w:pPr>
        <w:jc w:val="center"/>
        <w:outlineLvl w:val="0"/>
        <w:rPr>
          <w:rFonts w:ascii="仿宋_GB2312"/>
          <w:b/>
          <w:sz w:val="44"/>
          <w:szCs w:val="44"/>
        </w:rPr>
      </w:pPr>
    </w:p>
    <w:p w14:paraId="0F52326D">
      <w:pPr>
        <w:jc w:val="center"/>
        <w:outlineLvl w:val="0"/>
        <w:rPr>
          <w:rFonts w:ascii="仿宋_GB2312"/>
          <w:b/>
          <w:sz w:val="44"/>
          <w:szCs w:val="44"/>
        </w:rPr>
      </w:pPr>
      <w:r>
        <w:rPr>
          <w:rFonts w:ascii="仿宋_GB2312" w:eastAsia="仿宋_GB2312"/>
          <w:color w:val="000000"/>
          <w:sz w:val="32"/>
          <w:szCs w:val="32"/>
        </w:rPr>
        <w:t xml:space="preserve">第一部分 </w:t>
      </w:r>
      <w:r>
        <w:rPr>
          <w:rFonts w:hint="eastAsia" w:ascii="仿宋_GB2312" w:eastAsia="仿宋_GB2312"/>
          <w:color w:val="000000"/>
          <w:sz w:val="32"/>
          <w:szCs w:val="32"/>
        </w:rPr>
        <w:t>部门基本情况</w:t>
      </w:r>
    </w:p>
    <w:p w14:paraId="5C404258">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sz w:val="32"/>
          <w:szCs w:val="32"/>
        </w:rPr>
        <w:t>一、部门机构设置、职责</w:t>
      </w:r>
    </w:p>
    <w:p w14:paraId="2B855E21">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根据《中共北京市委办公厅北京市人民政府办公厅关于印发〈北京市西城区党政机构调整设置方案〉的通知》（京办字〔2011〕5号）精神，组建北京市西城区教育委员会（简称区教委），与中共北京市西城区委教育工作委员会（简称区委教工委）合署办公。区委教工委是负责本区教育系统党的建设、思想政治工作和干部管理工作的区委派出机构；区教委是负责本区教育事业的区政府工作部门。</w:t>
      </w:r>
    </w:p>
    <w:p w14:paraId="3A9B26CF">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区委教工委和区教委设学前教育科、中学教育科、规划科等25个内设机构：</w:t>
      </w:r>
    </w:p>
    <w:tbl>
      <w:tblPr>
        <w:tblStyle w:val="6"/>
        <w:tblW w:w="5000" w:type="pct"/>
        <w:jc w:val="center"/>
        <w:tblCellSpacing w:w="0" w:type="dxa"/>
        <w:tblLayout w:type="autofit"/>
        <w:tblCellMar>
          <w:top w:w="0" w:type="dxa"/>
          <w:left w:w="0" w:type="dxa"/>
          <w:bottom w:w="0" w:type="dxa"/>
          <w:right w:w="0" w:type="dxa"/>
        </w:tblCellMar>
      </w:tblPr>
      <w:tblGrid>
        <w:gridCol w:w="8306"/>
      </w:tblGrid>
      <w:tr w14:paraId="4C66F1C0">
        <w:tblPrEx>
          <w:tblCellMar>
            <w:top w:w="0" w:type="dxa"/>
            <w:left w:w="0" w:type="dxa"/>
            <w:bottom w:w="0" w:type="dxa"/>
            <w:right w:w="0" w:type="dxa"/>
          </w:tblCellMar>
        </w:tblPrEx>
        <w:trPr>
          <w:trHeight w:val="300" w:hRule="atLeast"/>
          <w:tblCellSpacing w:w="0" w:type="dxa"/>
          <w:jc w:val="center"/>
        </w:trPr>
        <w:tc>
          <w:tcPr>
            <w:tcW w:w="0" w:type="auto"/>
          </w:tcPr>
          <w:p w14:paraId="6F92FEF2">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北京市西城区教委是西城区政府负责教育事业的职能部门。主要职责：　　</w:t>
            </w:r>
          </w:p>
          <w:p w14:paraId="2929C713">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1.贯彻落实国家有关教育的法律、法规、规章和北京市的有关规定; 统筹规划本区教育发展的布局和结构调整及体制改革工作;制定本区教育事业发展规划、计划并组织实施。</w:t>
            </w:r>
          </w:p>
          <w:p w14:paraId="69B96511">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2.负责管理本区学前教育、基础教育、中等职业教育、成人教育、特殊教育和校外教育;负责综合管理各级各类学校及幼儿园的教育教学工作;负责协调社区教育工作;负责学习型组织创建工作。</w:t>
            </w:r>
          </w:p>
          <w:p w14:paraId="2F1DFD5C">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3.根据管理权限,负责国家举办的幼儿园、中小学设立、变更、终止的审核、审批及监督管理工作;负责全区社会力量办学、办园的审核、审批、备案及监督管理工作。</w:t>
            </w:r>
          </w:p>
          <w:p w14:paraId="604505F6">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4.负责本区除普通高校之外各类学校的德育工作;指导学校对学生开展法制、安全、民族、青春期、禁毒等专项教育;负责学校体育、卫生、科技、艺术、国防、社会实践、劳动技术教育的实施。</w:t>
            </w:r>
          </w:p>
          <w:p w14:paraId="13BB1EB4">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5.负责制定本区学前、小学、初中、高中、职高学校的招生计划并领导实施;负责领导实施本区各级各类学校的考试工作,学籍管理工作。</w:t>
            </w:r>
          </w:p>
          <w:p w14:paraId="3F49F907">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6.统筹管理本区教育系统所属单位的人事和劳动工资工作;指导所属单位内部管理体制改革;负责全区所属单位教师和管理人员的队伍建设; 负责全区教师资格认定和培训组织专业技术职务评定工作。</w:t>
            </w:r>
          </w:p>
          <w:p w14:paraId="5885EB0B">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7.负责管理全区教育经费,编制全区教育经费的预、决算; 负责本系统各单位的财务指导和内部审计监督工作。</w:t>
            </w:r>
          </w:p>
          <w:p w14:paraId="28EBE0A9">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8.管理本系统国有资产和基本建设项目。</w:t>
            </w:r>
          </w:p>
          <w:p w14:paraId="66BE4323">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9.组织规划本区教育科学研究和教育教学研究;负责本区语言文字规范化建设工作;负责本区现代教育信息技术发展工作。</w:t>
            </w:r>
          </w:p>
          <w:p w14:paraId="45A66E2B">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10.负责组织、指导本系统各单位的区内外、市内外、国内外的教育合作与交流。</w:t>
            </w:r>
          </w:p>
          <w:p w14:paraId="319AE5B5">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11. 负责区域内各级各类学校校内外社会治安综合治理工作;依法对本区教育系统的各类安全工作承担管理责任; 综合协调和处理教育系统的突发事件和重大事故。</w:t>
            </w:r>
          </w:p>
          <w:p w14:paraId="243DB096">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12. 承办区政府和上级业务指导部门交办的其它事项。</w:t>
            </w:r>
          </w:p>
        </w:tc>
      </w:tr>
    </w:tbl>
    <w:p w14:paraId="25BACAFE">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sz w:val="32"/>
          <w:szCs w:val="32"/>
        </w:rPr>
        <w:t>二、</w:t>
      </w:r>
      <w:r>
        <w:rPr>
          <w:rFonts w:hint="eastAsia" w:ascii="仿宋_GB2312" w:eastAsia="仿宋_GB2312"/>
          <w:color w:val="000000"/>
          <w:sz w:val="32"/>
          <w:szCs w:val="32"/>
        </w:rPr>
        <w:t>部门决算的单位构成</w:t>
      </w:r>
    </w:p>
    <w:p w14:paraId="03461788">
      <w:pPr>
        <w:spacing w:line="360" w:lineRule="auto"/>
        <w:ind w:firstLine="640" w:firstLineChars="200"/>
        <w:rPr>
          <w:rFonts w:ascii="仿宋_GB2312" w:hAnsi="仿宋" w:eastAsia="仿宋_GB2312"/>
          <w:color w:val="000000"/>
          <w:sz w:val="32"/>
          <w:szCs w:val="32"/>
        </w:rPr>
      </w:pPr>
      <w:r>
        <w:rPr>
          <w:rFonts w:ascii="仿宋_GB2312" w:hAnsi="仿宋" w:eastAsia="仿宋_GB2312"/>
          <w:color w:val="000000"/>
          <w:sz w:val="32"/>
          <w:szCs w:val="32"/>
        </w:rPr>
        <w:t>截至2017年底西城区教育委员会下属单位164个；其中完全中学33所，纯初中校3所，职业高中4所，小学59所，一贯制学校1所，特殊教育4所，幼儿园26所，校外教育机构12个，教师进修机构2个，其他教育单位16个，成人教育单位3个，事业本级1个。单位较上年减少一家直属单位，撤销北京市宣武区职业技术教育中心。</w:t>
      </w:r>
    </w:p>
    <w:p w14:paraId="51C33F97">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三、人员构成情况</w:t>
      </w:r>
    </w:p>
    <w:p w14:paraId="5AB7834F">
      <w:pPr>
        <w:tabs>
          <w:tab w:val="left" w:pos="1680"/>
        </w:tabs>
        <w:spacing w:line="56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北京市西城区教育委员会事业编制18733人；</w:t>
      </w:r>
      <w:r>
        <w:rPr>
          <w:rFonts w:ascii="仿宋_GB2312" w:hAnsi="仿宋" w:eastAsia="仿宋_GB2312"/>
          <w:color w:val="000000"/>
          <w:sz w:val="32"/>
          <w:szCs w:val="32"/>
        </w:rPr>
        <w:t>截至2017年底共有在册教职工16048人，离休372人，学生119299人，其中：成人本专科学生2708人，职高1383人，高中16033人，初中22911人，小学75863人，特殊教育401人。</w:t>
      </w:r>
    </w:p>
    <w:p w14:paraId="7BEDE03A">
      <w:pPr>
        <w:adjustRightInd w:val="0"/>
        <w:snapToGrid w:val="0"/>
        <w:spacing w:line="560" w:lineRule="exact"/>
        <w:ind w:firstLine="1440" w:firstLineChars="450"/>
        <w:rPr>
          <w:rFonts w:ascii="仿宋_GB2312" w:eastAsia="仿宋_GB2312"/>
          <w:color w:val="000000"/>
          <w:sz w:val="32"/>
          <w:szCs w:val="32"/>
        </w:rPr>
      </w:pPr>
    </w:p>
    <w:p w14:paraId="1ABDD335">
      <w:pPr>
        <w:adjustRightInd w:val="0"/>
        <w:snapToGrid w:val="0"/>
        <w:spacing w:line="560" w:lineRule="exact"/>
        <w:ind w:firstLine="1440" w:firstLineChars="450"/>
        <w:rPr>
          <w:rFonts w:ascii="仿宋_GB2312" w:eastAsia="仿宋_GB2312"/>
          <w:color w:val="000000"/>
          <w:sz w:val="32"/>
          <w:szCs w:val="32"/>
        </w:rPr>
      </w:pPr>
    </w:p>
    <w:p w14:paraId="109AA179">
      <w:pPr>
        <w:adjustRightInd w:val="0"/>
        <w:snapToGrid w:val="0"/>
        <w:spacing w:line="560" w:lineRule="exact"/>
        <w:ind w:firstLine="1440" w:firstLineChars="450"/>
        <w:rPr>
          <w:rFonts w:ascii="仿宋_GB2312" w:eastAsia="仿宋_GB2312"/>
          <w:color w:val="000000"/>
          <w:sz w:val="32"/>
          <w:szCs w:val="32"/>
        </w:rPr>
      </w:pPr>
    </w:p>
    <w:p w14:paraId="35B66C1C">
      <w:pPr>
        <w:adjustRightInd w:val="0"/>
        <w:snapToGrid w:val="0"/>
        <w:spacing w:line="560" w:lineRule="exact"/>
        <w:ind w:firstLine="1440" w:firstLineChars="450"/>
        <w:rPr>
          <w:rFonts w:ascii="仿宋_GB2312" w:eastAsia="仿宋_GB2312"/>
          <w:color w:val="000000"/>
          <w:sz w:val="32"/>
          <w:szCs w:val="32"/>
        </w:rPr>
      </w:pPr>
      <w:r>
        <w:rPr>
          <w:rFonts w:ascii="仿宋_GB2312" w:eastAsia="仿宋_GB2312"/>
          <w:color w:val="000000"/>
          <w:sz w:val="32"/>
          <w:szCs w:val="32"/>
        </w:rPr>
        <w:t>第</w:t>
      </w:r>
      <w:r>
        <w:rPr>
          <w:rFonts w:hint="eastAsia" w:ascii="仿宋_GB2312" w:eastAsia="仿宋_GB2312"/>
          <w:color w:val="000000"/>
          <w:sz w:val="32"/>
          <w:szCs w:val="32"/>
        </w:rPr>
        <w:t>二</w:t>
      </w:r>
      <w:r>
        <w:rPr>
          <w:rFonts w:ascii="仿宋_GB2312" w:eastAsia="仿宋_GB2312"/>
          <w:color w:val="000000"/>
          <w:sz w:val="32"/>
          <w:szCs w:val="32"/>
        </w:rPr>
        <w:t xml:space="preserve">部分 2017年度部门决算情况说明 </w:t>
      </w:r>
    </w:p>
    <w:p w14:paraId="1285AF6F">
      <w:pPr>
        <w:tabs>
          <w:tab w:val="left" w:pos="1680"/>
        </w:tabs>
        <w:spacing w:line="560" w:lineRule="exact"/>
        <w:ind w:firstLine="640" w:firstLineChars="200"/>
        <w:rPr>
          <w:rFonts w:ascii="仿宋_GB2312" w:eastAsia="仿宋_GB2312"/>
          <w:sz w:val="32"/>
          <w:szCs w:val="32"/>
        </w:rPr>
      </w:pPr>
      <w:r>
        <w:rPr>
          <w:rFonts w:hint="eastAsia" w:ascii="仿宋_GB2312" w:eastAsia="仿宋_GB2312"/>
          <w:sz w:val="32"/>
          <w:szCs w:val="32"/>
        </w:rPr>
        <w:t>一、收入决算说明</w:t>
      </w:r>
    </w:p>
    <w:p w14:paraId="61D0489B">
      <w:pPr>
        <w:spacing w:line="560" w:lineRule="exact"/>
        <w:ind w:firstLine="640" w:firstLineChars="200"/>
        <w:rPr>
          <w:rFonts w:ascii="仿宋_GB2312" w:hAnsi="仿宋" w:eastAsia="仿宋_GB2312"/>
          <w:color w:val="000000"/>
          <w:sz w:val="32"/>
          <w:szCs w:val="32"/>
        </w:rPr>
      </w:pPr>
      <w:r>
        <w:rPr>
          <w:rFonts w:ascii="仿宋_GB2312" w:hAnsi="仿宋" w:eastAsia="仿宋_GB2312"/>
          <w:color w:val="000000"/>
          <w:sz w:val="32"/>
          <w:szCs w:val="32"/>
        </w:rPr>
        <w:t>2017年全年完成预算收入767276万元，比去年805976万元，减少了38700万元，减少了4.8%。主要是从2016年11月后，基本退休经费由社保发放，不计入教育系统。</w:t>
      </w:r>
      <w:r>
        <w:rPr>
          <w:rFonts w:hint="eastAsia" w:ascii="仿宋_GB2312" w:hAnsi="仿宋" w:eastAsia="仿宋_GB2312"/>
          <w:color w:val="000000"/>
          <w:sz w:val="32"/>
          <w:szCs w:val="32"/>
        </w:rPr>
        <w:t>部分</w:t>
      </w:r>
      <w:r>
        <w:rPr>
          <w:rFonts w:ascii="仿宋_GB2312" w:hAnsi="仿宋" w:eastAsia="仿宋_GB2312"/>
          <w:color w:val="000000"/>
          <w:sz w:val="32"/>
          <w:szCs w:val="32"/>
        </w:rPr>
        <w:t>基建工程因为手续和环保等因素未施工。</w:t>
      </w:r>
      <w:r>
        <w:rPr>
          <w:rFonts w:hint="eastAsia" w:ascii="仿宋_GB2312" w:hAnsi="仿宋" w:eastAsia="仿宋_GB2312"/>
          <w:color w:val="000000"/>
          <w:sz w:val="32"/>
          <w:szCs w:val="32"/>
        </w:rPr>
        <w:t>其中：财政拨款</w:t>
      </w:r>
      <w:r>
        <w:rPr>
          <w:rFonts w:ascii="仿宋_GB2312" w:hAnsi="仿宋" w:eastAsia="仿宋_GB2312"/>
          <w:color w:val="000000"/>
          <w:sz w:val="32"/>
          <w:szCs w:val="32"/>
        </w:rPr>
        <w:t>755357</w:t>
      </w:r>
      <w:r>
        <w:rPr>
          <w:rFonts w:hint="eastAsia" w:ascii="仿宋_GB2312" w:hAnsi="仿宋" w:eastAsia="仿宋_GB2312"/>
          <w:color w:val="000000"/>
          <w:sz w:val="32"/>
          <w:szCs w:val="32"/>
        </w:rPr>
        <w:t>万元（含基建收入</w:t>
      </w:r>
      <w:r>
        <w:rPr>
          <w:rFonts w:ascii="仿宋_GB2312" w:hAnsi="仿宋" w:eastAsia="仿宋_GB2312"/>
          <w:color w:val="000000"/>
          <w:sz w:val="32"/>
          <w:szCs w:val="32"/>
        </w:rPr>
        <w:t>44240</w:t>
      </w:r>
      <w:r>
        <w:rPr>
          <w:rFonts w:hint="eastAsia" w:ascii="仿宋_GB2312" w:hAnsi="仿宋" w:eastAsia="仿宋_GB2312"/>
          <w:color w:val="000000"/>
          <w:sz w:val="32"/>
          <w:szCs w:val="32"/>
        </w:rPr>
        <w:t>万元），事业收入2597万元，经营收入7710万元，附属单位缴款543万元，其他收入1069万元。</w:t>
      </w:r>
    </w:p>
    <w:p w14:paraId="4FD4A396">
      <w:pPr>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二、支出决算说明</w:t>
      </w:r>
    </w:p>
    <w:p w14:paraId="788BA8A6">
      <w:pPr>
        <w:ind w:firstLine="640" w:firstLineChars="200"/>
        <w:rPr>
          <w:rFonts w:ascii="仿宋_GB2312" w:hAnsi="仿宋" w:eastAsia="仿宋_GB2312"/>
          <w:color w:val="000000"/>
          <w:sz w:val="32"/>
          <w:szCs w:val="32"/>
        </w:rPr>
      </w:pPr>
      <w:r>
        <w:rPr>
          <w:rFonts w:ascii="仿宋_GB2312" w:hAnsi="仿宋" w:eastAsia="仿宋_GB2312"/>
          <w:color w:val="000000"/>
          <w:sz w:val="32"/>
          <w:szCs w:val="32"/>
        </w:rPr>
        <w:t xml:space="preserve">全部教育经费支出756308万元，比去年806249万元减少49942万元，减少6.19％，其中个人部分支出463289万元，占总支出的61％，公用部分支出293019万元，占总支出的39%。          </w:t>
      </w:r>
    </w:p>
    <w:p w14:paraId="1F7173AB">
      <w:pPr>
        <w:ind w:firstLine="640" w:firstLineChars="200"/>
        <w:rPr>
          <w:rFonts w:ascii="仿宋_GB2312" w:hAnsi="仿宋" w:eastAsia="仿宋_GB2312"/>
          <w:color w:val="000000"/>
          <w:sz w:val="32"/>
          <w:szCs w:val="32"/>
        </w:rPr>
      </w:pPr>
      <w:r>
        <w:rPr>
          <w:rFonts w:ascii="仿宋_GB2312" w:hAnsi="仿宋" w:eastAsia="仿宋_GB2312"/>
          <w:color w:val="000000"/>
          <w:sz w:val="32"/>
          <w:szCs w:val="32"/>
        </w:rPr>
        <w:t>个人部分支出463289万元，比上年510589万元减少47300万元，减少9.26%。减少支出的主要原因是：主要是从2016年11月后，基本退休经费由社保发放，不计入教育系统范围。</w:t>
      </w:r>
    </w:p>
    <w:p w14:paraId="2E1BA375">
      <w:pPr>
        <w:ind w:firstLine="640" w:firstLineChars="200"/>
        <w:rPr>
          <w:rFonts w:ascii="仿宋_GB2312" w:hAnsi="仿宋" w:eastAsia="仿宋_GB2312"/>
          <w:color w:val="000000"/>
          <w:sz w:val="32"/>
          <w:szCs w:val="32"/>
        </w:rPr>
      </w:pPr>
      <w:r>
        <w:rPr>
          <w:rFonts w:ascii="仿宋_GB2312" w:hAnsi="仿宋" w:eastAsia="仿宋_GB2312"/>
          <w:color w:val="000000"/>
          <w:sz w:val="32"/>
          <w:szCs w:val="32"/>
        </w:rPr>
        <w:t>公用部分支出293019万元，比上年295660万元减少2641万元，减少0.89％。减少支出的主要原因是：按政府要求严控一般性支出，勤俭办学，</w:t>
      </w:r>
      <w:r>
        <w:rPr>
          <w:rFonts w:hint="eastAsia" w:ascii="仿宋_GB2312" w:hAnsi="仿宋" w:eastAsia="仿宋_GB2312"/>
          <w:color w:val="000000"/>
          <w:sz w:val="32"/>
          <w:szCs w:val="32"/>
        </w:rPr>
        <w:t>降低公务运行成本</w:t>
      </w:r>
      <w:r>
        <w:rPr>
          <w:rFonts w:ascii="仿宋_GB2312" w:hAnsi="仿宋" w:eastAsia="仿宋_GB2312"/>
          <w:color w:val="000000"/>
          <w:sz w:val="32"/>
          <w:szCs w:val="32"/>
        </w:rPr>
        <w:t>。</w:t>
      </w:r>
    </w:p>
    <w:p w14:paraId="0B6685CB">
      <w:pPr>
        <w:ind w:firstLine="640" w:firstLineChars="200"/>
        <w:rPr>
          <w:rFonts w:ascii="仿宋_GB2312" w:hAnsi="仿宋" w:eastAsia="仿宋_GB2312"/>
          <w:color w:val="000000"/>
          <w:sz w:val="32"/>
          <w:szCs w:val="32"/>
        </w:rPr>
      </w:pPr>
      <w:r>
        <w:rPr>
          <w:rFonts w:ascii="仿宋_GB2312" w:hAnsi="仿宋" w:eastAsia="仿宋_GB2312"/>
          <w:color w:val="000000"/>
          <w:sz w:val="32"/>
          <w:szCs w:val="32"/>
        </w:rPr>
        <w:t>2017年本年支出756308万元，其中基本支出514759万元，主要是为保障预算单位人员经费、正常运转经费，教育教学、科研等基本业务活动经费以及医疗保障经费；项目支出234650万元，主要用于办学条件达标、实验室建设、实训基地建设、信息化建设、基础设施改造、校舍修缮、设备购置、学生资助、学前教育三年行动计划和中小学建设三年行动计划以及校舍新建改扩建等。经营支出6899万元，主要用于校外单位的日常公用经费支出和部分改善教育教学条件等支出。</w:t>
      </w:r>
    </w:p>
    <w:p w14:paraId="47F92DD0">
      <w:pPr>
        <w:ind w:firstLine="480" w:firstLineChars="150"/>
        <w:rPr>
          <w:rFonts w:ascii="仿宋_GB2312" w:hAnsi="仿宋" w:eastAsia="仿宋_GB2312"/>
          <w:color w:val="000000"/>
          <w:sz w:val="32"/>
          <w:szCs w:val="32"/>
        </w:rPr>
      </w:pPr>
      <w:r>
        <w:rPr>
          <w:rFonts w:hint="eastAsia" w:ascii="仿宋_GB2312" w:hAnsi="仿宋" w:eastAsia="仿宋_GB2312"/>
          <w:color w:val="000000"/>
          <w:sz w:val="32"/>
          <w:szCs w:val="32"/>
        </w:rPr>
        <w:t>其中公共预算财政拨款744159.97 万元（1）基本支出金额514551.98 万元。（2）项目支出金额229607.99 万元。</w:t>
      </w:r>
    </w:p>
    <w:p w14:paraId="64905556">
      <w:pPr>
        <w:ind w:firstLine="480" w:firstLineChars="150"/>
        <w:rPr>
          <w:rFonts w:ascii="仿宋_GB2312" w:eastAsia="仿宋_GB2312"/>
          <w:sz w:val="32"/>
          <w:szCs w:val="32"/>
        </w:rPr>
      </w:pPr>
      <w:r>
        <w:rPr>
          <w:rFonts w:hint="eastAsia" w:ascii="仿宋_GB2312" w:eastAsia="仿宋_GB2312"/>
          <w:sz w:val="32"/>
          <w:szCs w:val="32"/>
        </w:rPr>
        <w:t>政府性基金预算财政拨款158.87万元（1）基本支出决算0元。（2）项目支出决算158.87万元。</w:t>
      </w:r>
    </w:p>
    <w:p w14:paraId="09DE094D">
      <w:pPr>
        <w:ind w:firstLine="480" w:firstLineChars="150"/>
        <w:rPr>
          <w:rFonts w:ascii="仿宋_GB2312" w:eastAsia="仿宋_GB2312"/>
          <w:sz w:val="32"/>
          <w:szCs w:val="32"/>
        </w:rPr>
      </w:pPr>
      <w:r>
        <w:rPr>
          <w:rFonts w:hint="eastAsia" w:ascii="仿宋_GB2312" w:eastAsia="仿宋_GB2312"/>
          <w:sz w:val="32"/>
          <w:szCs w:val="32"/>
        </w:rPr>
        <w:t>预决算的收支变化情况，2017年年初预算数为798948万元，</w:t>
      </w:r>
      <w:r>
        <w:rPr>
          <w:rFonts w:ascii="仿宋_GB2312" w:hAnsi="仿宋" w:eastAsia="仿宋_GB2312"/>
          <w:color w:val="000000"/>
          <w:sz w:val="32"/>
          <w:szCs w:val="32"/>
        </w:rPr>
        <w:t>全部教育经费支出756308万元</w:t>
      </w:r>
      <w:r>
        <w:rPr>
          <w:rFonts w:hint="eastAsia" w:ascii="仿宋_GB2312" w:hAnsi="仿宋" w:eastAsia="仿宋_GB2312"/>
          <w:color w:val="000000"/>
          <w:sz w:val="32"/>
          <w:szCs w:val="32"/>
        </w:rPr>
        <w:t>，相差42640万元。主要原因是年初下达的部分市级预算资金未支出完，结转下一年继续使用。</w:t>
      </w:r>
    </w:p>
    <w:p w14:paraId="7361DDA2">
      <w:pPr>
        <w:widowControl/>
        <w:shd w:val="clear" w:color="auto" w:fill="FFFFFF"/>
        <w:spacing w:line="513" w:lineRule="auto"/>
        <w:ind w:firstLine="480" w:firstLineChars="150"/>
        <w:rPr>
          <w:rFonts w:ascii="仿宋_GB2312" w:eastAsia="仿宋_GB2312"/>
          <w:sz w:val="32"/>
          <w:szCs w:val="32"/>
        </w:rPr>
      </w:pPr>
      <w:r>
        <w:rPr>
          <w:rFonts w:hint="eastAsia" w:ascii="仿宋_GB2312" w:eastAsia="仿宋_GB2312"/>
          <w:sz w:val="32"/>
          <w:szCs w:val="32"/>
        </w:rPr>
        <w:t>三、政府采购执行说明</w:t>
      </w:r>
    </w:p>
    <w:p w14:paraId="13F99CAD">
      <w:pPr>
        <w:ind w:firstLine="480" w:firstLineChars="150"/>
        <w:rPr>
          <w:rFonts w:ascii="宋体" w:hAnsi="宋体" w:cs="宋体"/>
          <w:color w:val="000000"/>
          <w:kern w:val="0"/>
          <w:sz w:val="22"/>
        </w:rPr>
      </w:pPr>
      <w:r>
        <w:rPr>
          <w:rFonts w:hint="eastAsia" w:ascii="仿宋_GB2312" w:eastAsia="仿宋_GB2312"/>
          <w:sz w:val="32"/>
          <w:szCs w:val="32"/>
        </w:rPr>
        <w:t>2017年采购计划金额62714.66 万</w:t>
      </w:r>
      <w:r>
        <w:rPr>
          <w:rFonts w:hint="eastAsia" w:ascii="仿宋_GB2312" w:hAnsi="仿宋" w:eastAsia="仿宋_GB2312"/>
          <w:color w:val="000000"/>
          <w:sz w:val="32"/>
          <w:szCs w:val="32"/>
        </w:rPr>
        <w:t>元，实际采购金额60498.81 万元。其中：政府采购货物预算20872.31 万元，政府采购工程预算34320.94 万元，政府采购服务预算5305.56 万元。</w:t>
      </w:r>
    </w:p>
    <w:p w14:paraId="1950ED61">
      <w:pPr>
        <w:ind w:firstLine="640" w:firstLineChars="200"/>
        <w:rPr>
          <w:rFonts w:ascii="仿宋_GB2312" w:eastAsia="仿宋_GB2312"/>
          <w:sz w:val="32"/>
          <w:szCs w:val="32"/>
        </w:rPr>
      </w:pPr>
      <w:r>
        <w:rPr>
          <w:rFonts w:hint="eastAsia" w:ascii="仿宋_GB2312" w:eastAsia="仿宋_GB2312"/>
          <w:sz w:val="32"/>
          <w:szCs w:val="32"/>
        </w:rPr>
        <w:t>四、政府购买服务说明</w:t>
      </w:r>
    </w:p>
    <w:p w14:paraId="14529914">
      <w:pPr>
        <w:ind w:firstLine="640" w:firstLineChars="200"/>
        <w:rPr>
          <w:rFonts w:ascii="仿宋_GB2312" w:eastAsia="仿宋_GB2312"/>
          <w:sz w:val="32"/>
          <w:szCs w:val="32"/>
        </w:rPr>
      </w:pPr>
      <w:r>
        <w:rPr>
          <w:rFonts w:hint="eastAsia" w:ascii="仿宋_GB2312" w:eastAsia="仿宋_GB2312"/>
          <w:sz w:val="32"/>
          <w:szCs w:val="32"/>
        </w:rPr>
        <w:t>2017年涉及政府购买服务项目无。（教委所属各单位为事业单位）</w:t>
      </w:r>
    </w:p>
    <w:p w14:paraId="7A2F7353">
      <w:pPr>
        <w:widowControl/>
        <w:shd w:val="clear" w:color="auto" w:fill="FFFFFF"/>
        <w:spacing w:after="150" w:line="513" w:lineRule="auto"/>
        <w:ind w:firstLine="640" w:firstLineChars="200"/>
        <w:rPr>
          <w:rFonts w:ascii="仿宋_GB2312" w:eastAsia="仿宋_GB2312"/>
          <w:sz w:val="32"/>
          <w:szCs w:val="32"/>
        </w:rPr>
      </w:pPr>
      <w:r>
        <w:rPr>
          <w:rFonts w:hint="eastAsia" w:ascii="仿宋_GB2312" w:eastAsia="仿宋_GB2312"/>
          <w:sz w:val="32"/>
          <w:szCs w:val="32"/>
        </w:rPr>
        <w:t>五、机关运行经费说明</w:t>
      </w:r>
    </w:p>
    <w:p w14:paraId="00F51C03">
      <w:pPr>
        <w:ind w:firstLine="640" w:firstLineChars="200"/>
        <w:rPr>
          <w:rFonts w:ascii="仿宋_GB2312" w:eastAsia="仿宋_GB2312"/>
          <w:sz w:val="32"/>
          <w:szCs w:val="32"/>
        </w:rPr>
      </w:pPr>
      <w:r>
        <w:rPr>
          <w:rFonts w:hint="eastAsia" w:ascii="仿宋_GB2312" w:eastAsia="仿宋_GB2312"/>
          <w:sz w:val="32"/>
          <w:szCs w:val="32"/>
        </w:rPr>
        <w:t>2017年无机关运行经费（教委所属各单位为事业单位）</w:t>
      </w:r>
    </w:p>
    <w:p w14:paraId="39DBEBC3">
      <w:pPr>
        <w:widowControl/>
        <w:shd w:val="clear" w:color="auto" w:fill="FFFFFF"/>
        <w:spacing w:line="513" w:lineRule="auto"/>
        <w:ind w:firstLine="640" w:firstLineChars="200"/>
        <w:rPr>
          <w:rFonts w:ascii="仿宋_GB2312" w:eastAsia="仿宋_GB2312"/>
          <w:sz w:val="32"/>
          <w:szCs w:val="32"/>
        </w:rPr>
      </w:pPr>
      <w:r>
        <w:rPr>
          <w:rFonts w:hint="eastAsia" w:ascii="仿宋_GB2312" w:eastAsia="仿宋_GB2312"/>
          <w:sz w:val="32"/>
          <w:szCs w:val="32"/>
        </w:rPr>
        <w:t>六、项目支出绩效情况说明</w:t>
      </w:r>
    </w:p>
    <w:p w14:paraId="1594F564">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2017年各单位按规定填报绩效目标材料。2017年度财政绩效评价（部门预算）涉及北京市西城区奋斗小学等5家单位，评价级别皆为良好。</w:t>
      </w:r>
    </w:p>
    <w:p w14:paraId="2B336017">
      <w:pPr>
        <w:widowControl/>
        <w:shd w:val="clear" w:color="auto" w:fill="FFFFFF"/>
        <w:spacing w:line="514" w:lineRule="auto"/>
        <w:rPr>
          <w:rFonts w:ascii="仿宋_GB2312" w:eastAsia="仿宋_GB2312"/>
          <w:sz w:val="32"/>
          <w:szCs w:val="32"/>
        </w:rPr>
      </w:pPr>
      <w:r>
        <w:rPr>
          <w:rFonts w:hint="eastAsia" w:ascii="仿宋_GB2312" w:eastAsia="仿宋_GB2312"/>
          <w:sz w:val="32"/>
          <w:szCs w:val="32"/>
        </w:rPr>
        <w:t>　　七、国有资本经营预算财政拨款情况说明</w:t>
      </w:r>
    </w:p>
    <w:p w14:paraId="66D5B4B8">
      <w:pPr>
        <w:widowControl/>
        <w:shd w:val="clear" w:color="auto" w:fill="FFFFFF"/>
        <w:spacing w:line="514" w:lineRule="auto"/>
        <w:ind w:firstLine="640" w:firstLineChars="200"/>
        <w:rPr>
          <w:rFonts w:ascii="仿宋_GB2312" w:eastAsia="仿宋_GB2312"/>
          <w:sz w:val="32"/>
          <w:szCs w:val="32"/>
        </w:rPr>
      </w:pPr>
      <w:r>
        <w:rPr>
          <w:rFonts w:hint="eastAsia" w:ascii="仿宋_GB2312" w:eastAsia="仿宋_GB2312"/>
          <w:sz w:val="32"/>
          <w:szCs w:val="32"/>
        </w:rPr>
        <w:t>本部门2017年无国有资本经营预算财政拨款安排的预算。</w:t>
      </w:r>
    </w:p>
    <w:p w14:paraId="3A94830A">
      <w:pPr>
        <w:widowControl/>
        <w:shd w:val="clear" w:color="auto" w:fill="FFFFFF"/>
        <w:spacing w:line="514" w:lineRule="auto"/>
        <w:ind w:firstLine="640" w:firstLineChars="200"/>
        <w:rPr>
          <w:rFonts w:ascii="仿宋_GB2312" w:eastAsia="仿宋_GB2312"/>
          <w:sz w:val="32"/>
          <w:szCs w:val="32"/>
        </w:rPr>
      </w:pPr>
      <w:r>
        <w:rPr>
          <w:rFonts w:hint="eastAsia" w:ascii="仿宋_GB2312" w:eastAsia="仿宋_GB2312"/>
          <w:sz w:val="32"/>
          <w:szCs w:val="32"/>
        </w:rPr>
        <w:t>八、国有资产占用情况</w:t>
      </w:r>
    </w:p>
    <w:p w14:paraId="47C38D88">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一般公务车106辆，单价50万元以上通用设备99（台，套）,单价100万元以上专用设备13（台，套）。</w:t>
      </w:r>
    </w:p>
    <w:p w14:paraId="7E79E10C">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九、 “三公”经费财政拨款决算情况说明</w:t>
      </w:r>
    </w:p>
    <w:p w14:paraId="55923F85">
      <w:pPr>
        <w:adjustRightInd w:val="0"/>
        <w:snapToGrid w:val="0"/>
        <w:spacing w:line="560" w:lineRule="exact"/>
        <w:ind w:firstLine="640" w:firstLineChars="200"/>
        <w:rPr>
          <w:rFonts w:ascii="仿宋_GB2312" w:eastAsia="仿宋_GB2312"/>
          <w:color w:val="000000"/>
          <w:sz w:val="32"/>
          <w:szCs w:val="32"/>
        </w:rPr>
      </w:pPr>
      <w:bookmarkStart w:id="1" w:name="_GoBack"/>
      <w:bookmarkEnd w:id="1"/>
      <w:r>
        <w:rPr>
          <w:rFonts w:hint="eastAsia" w:ascii="仿宋_GB2312" w:eastAsia="仿宋_GB2312"/>
          <w:color w:val="000000"/>
          <w:sz w:val="32"/>
          <w:szCs w:val="32"/>
          <w:lang w:eastAsia="zh-CN"/>
        </w:rPr>
        <w:t>“三公”经费</w:t>
      </w:r>
      <w:r>
        <w:rPr>
          <w:rFonts w:hint="eastAsia" w:ascii="仿宋_GB2312" w:eastAsia="仿宋_GB2312"/>
          <w:color w:val="000000"/>
          <w:sz w:val="32"/>
          <w:szCs w:val="32"/>
        </w:rPr>
        <w:t xml:space="preserve">是指本部门通过财政拨款资金安排的因公出国（境）费、公务用车购置及运行费和公务接待费。其中，因公出国（境）费指单位工作人员公务出国（境）的住宿费、旅费、伙食补助费、培训费等支出；公务用车购置及运行费指单位公务用车购置费及租用费、燃料费、维修费、过路过桥费、保险费等支出；公务接待费指单位按规定开支的各类公务接待（含外宾接待）支出。 </w:t>
      </w:r>
    </w:p>
    <w:p w14:paraId="4EE2A0C1">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2017年严格控制</w:t>
      </w:r>
      <w:r>
        <w:rPr>
          <w:rFonts w:hint="eastAsia" w:ascii="仿宋_GB2312" w:eastAsia="仿宋_GB2312"/>
          <w:color w:val="000000"/>
          <w:sz w:val="32"/>
          <w:szCs w:val="32"/>
          <w:lang w:eastAsia="zh-CN"/>
        </w:rPr>
        <w:t>“三公”经费</w:t>
      </w:r>
      <w:r>
        <w:rPr>
          <w:rFonts w:hint="eastAsia" w:ascii="仿宋_GB2312" w:eastAsia="仿宋_GB2312"/>
          <w:color w:val="000000"/>
          <w:sz w:val="32"/>
          <w:szCs w:val="32"/>
        </w:rPr>
        <w:t>等一般性支出，教委总体支出确保了</w:t>
      </w:r>
      <w:r>
        <w:rPr>
          <w:rFonts w:hint="eastAsia" w:ascii="仿宋_GB2312" w:eastAsia="仿宋_GB2312"/>
          <w:color w:val="000000"/>
          <w:sz w:val="32"/>
          <w:szCs w:val="32"/>
          <w:lang w:eastAsia="zh-CN"/>
        </w:rPr>
        <w:t>“三公”经费</w:t>
      </w:r>
      <w:r>
        <w:rPr>
          <w:rFonts w:hint="eastAsia" w:ascii="仿宋_GB2312" w:eastAsia="仿宋_GB2312"/>
          <w:color w:val="000000"/>
          <w:sz w:val="32"/>
          <w:szCs w:val="32"/>
        </w:rPr>
        <w:t>支出（扣除更新不达标车辆）不突破上年数。</w:t>
      </w:r>
      <w:r>
        <w:rPr>
          <w:rFonts w:ascii="仿宋_GB2312" w:eastAsia="仿宋_GB2312"/>
          <w:color w:val="000000"/>
          <w:sz w:val="32"/>
          <w:szCs w:val="32"/>
        </w:rPr>
        <w:t xml:space="preserve"> </w:t>
      </w:r>
      <w:r>
        <w:rPr>
          <w:rFonts w:hint="eastAsia" w:ascii="仿宋_GB2312" w:eastAsia="仿宋_GB2312"/>
          <w:color w:val="000000"/>
          <w:sz w:val="32"/>
          <w:szCs w:val="32"/>
        </w:rPr>
        <w:t>具体情况如下：</w:t>
      </w:r>
    </w:p>
    <w:p w14:paraId="50EB288C">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（1）财政拨款因公出国（境）费用2017年4052976.92元较2016年的4102076.15元减少了49099.23 元，主要原因是按国家相关文件精神减少公务出国审批。</w:t>
      </w:r>
    </w:p>
    <w:p w14:paraId="58A14318">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公务接待费。财政拨款2017年决算数245813.78元，比2016年262283.80元减少16470.02元。主要原因是进一步落实中央、北京市的有关厉行节约、压缩财政成本等规定，加强管理，严格控制公务接待规模和标准。2017年公务接待费主要用于教学科研管理、学校交流等方面的公务接待、外宾接待。</w:t>
      </w:r>
    </w:p>
    <w:p w14:paraId="35EE3279">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（3）公务用车购置费2016年决算数0元，2017年11952239.16元，主要原因是按照全市统一要求，在核定单位车辆编制的基础上，更新国I国II车辆。财政拨款公务用车运行维护费2017年决算数</w:t>
      </w:r>
      <w:r>
        <w:rPr>
          <w:rFonts w:ascii="仿宋_GB2312" w:eastAsia="仿宋_GB2312"/>
          <w:color w:val="000000"/>
          <w:sz w:val="32"/>
          <w:szCs w:val="32"/>
        </w:rPr>
        <w:t>1257942.1</w:t>
      </w:r>
      <w:r>
        <w:rPr>
          <w:rFonts w:hint="eastAsia" w:ascii="仿宋_GB2312" w:eastAsia="仿宋_GB2312"/>
          <w:color w:val="000000"/>
          <w:sz w:val="32"/>
          <w:szCs w:val="32"/>
        </w:rPr>
        <w:t>元，比2016年决算数1913761.01元减少655818.91 元，主要是公务用车总量减少和公务活动减少。</w:t>
      </w:r>
    </w:p>
    <w:p w14:paraId="3D20435E">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“三公”经费补充资料：</w:t>
      </w:r>
    </w:p>
    <w:p w14:paraId="38DD649C">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1.因公出国（境）团组数51个，累计人次179人。</w:t>
      </w:r>
    </w:p>
    <w:p w14:paraId="4906E1F6">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2.公务用车购置54辆，公务用车保有量（财政资金供养车辆）106辆。</w:t>
      </w:r>
    </w:p>
    <w:p w14:paraId="1EF18CFC">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3.公务接待费支出</w:t>
      </w:r>
      <w:r>
        <w:rPr>
          <w:rFonts w:ascii="仿宋_GB2312" w:eastAsia="仿宋_GB2312"/>
          <w:color w:val="000000"/>
          <w:sz w:val="32"/>
          <w:szCs w:val="32"/>
        </w:rPr>
        <w:t>245813.78</w:t>
      </w:r>
      <w:r>
        <w:rPr>
          <w:rFonts w:hint="eastAsia" w:ascii="仿宋_GB2312" w:eastAsia="仿宋_GB2312"/>
          <w:color w:val="000000"/>
          <w:sz w:val="32"/>
          <w:szCs w:val="32"/>
        </w:rPr>
        <w:t>元，包括：（1）国内公务接待费</w:t>
      </w:r>
      <w:r>
        <w:rPr>
          <w:rFonts w:ascii="仿宋_GB2312" w:eastAsia="仿宋_GB2312"/>
          <w:color w:val="000000"/>
          <w:sz w:val="32"/>
          <w:szCs w:val="32"/>
        </w:rPr>
        <w:t>245813.78</w:t>
      </w:r>
      <w:r>
        <w:rPr>
          <w:rFonts w:hint="eastAsia" w:ascii="仿宋_GB2312" w:eastAsia="仿宋_GB2312"/>
          <w:color w:val="000000"/>
          <w:sz w:val="32"/>
          <w:szCs w:val="32"/>
        </w:rPr>
        <w:tab/>
      </w:r>
      <w:r>
        <w:rPr>
          <w:rFonts w:hint="eastAsia" w:ascii="仿宋_GB2312" w:eastAsia="仿宋_GB2312"/>
          <w:color w:val="000000"/>
          <w:sz w:val="32"/>
          <w:szCs w:val="32"/>
        </w:rPr>
        <w:t>元，接待批次69批、733人次。其中：国内外事接待费</w:t>
      </w:r>
      <w:r>
        <w:rPr>
          <w:rFonts w:hint="eastAsia" w:ascii="仿宋_GB2312" w:eastAsia="仿宋_GB2312"/>
          <w:color w:val="000000"/>
          <w:sz w:val="32"/>
          <w:szCs w:val="32"/>
        </w:rPr>
        <w:tab/>
      </w:r>
      <w:r>
        <w:rPr>
          <w:rFonts w:ascii="仿宋_GB2312" w:eastAsia="仿宋_GB2312"/>
          <w:color w:val="000000"/>
          <w:sz w:val="32"/>
          <w:szCs w:val="32"/>
        </w:rPr>
        <w:t>214653.96</w:t>
      </w:r>
      <w:r>
        <w:rPr>
          <w:rFonts w:hint="eastAsia" w:ascii="仿宋_GB2312" w:eastAsia="仿宋_GB2312"/>
          <w:color w:val="000000"/>
          <w:sz w:val="32"/>
          <w:szCs w:val="32"/>
        </w:rPr>
        <w:tab/>
      </w:r>
      <w:r>
        <w:rPr>
          <w:rFonts w:hint="eastAsia" w:ascii="仿宋_GB2312" w:eastAsia="仿宋_GB2312"/>
          <w:color w:val="000000"/>
          <w:sz w:val="32"/>
          <w:szCs w:val="32"/>
        </w:rPr>
        <w:t>元，外事接待批次10批、335人次。（2）国（境）外公务接待费无。</w:t>
      </w:r>
    </w:p>
    <w:p w14:paraId="1612E590">
      <w:pPr>
        <w:adjustRightInd w:val="0"/>
        <w:snapToGrid w:val="0"/>
        <w:spacing w:line="560" w:lineRule="exact"/>
        <w:ind w:firstLine="640" w:firstLineChars="200"/>
        <w:jc w:val="center"/>
        <w:rPr>
          <w:rFonts w:ascii="仿宋_GB2312" w:eastAsia="仿宋_GB2312"/>
          <w:color w:val="000000"/>
          <w:sz w:val="32"/>
          <w:szCs w:val="32"/>
        </w:rPr>
      </w:pPr>
      <w:r>
        <w:rPr>
          <w:rFonts w:ascii="仿宋_GB2312" w:eastAsia="仿宋_GB2312"/>
          <w:color w:val="000000"/>
          <w:sz w:val="32"/>
          <w:szCs w:val="32"/>
        </w:rPr>
        <w:t>第</w:t>
      </w:r>
      <w:r>
        <w:rPr>
          <w:rFonts w:hint="eastAsia" w:ascii="仿宋_GB2312" w:eastAsia="仿宋_GB2312"/>
          <w:color w:val="000000"/>
          <w:sz w:val="32"/>
          <w:szCs w:val="32"/>
        </w:rPr>
        <w:t>三</w:t>
      </w:r>
      <w:r>
        <w:rPr>
          <w:rFonts w:ascii="仿宋_GB2312" w:eastAsia="仿宋_GB2312"/>
          <w:color w:val="000000"/>
          <w:sz w:val="32"/>
          <w:szCs w:val="32"/>
        </w:rPr>
        <w:t>部分 名词解释</w:t>
      </w:r>
    </w:p>
    <w:p w14:paraId="355B6DE6">
      <w:pPr>
        <w:adjustRightInd w:val="0"/>
        <w:snapToGrid w:val="0"/>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 xml:space="preserve">一、财政拨款收入：指单位本年度从财政部门取得的财政拨款。 </w:t>
      </w:r>
    </w:p>
    <w:p w14:paraId="03926E14">
      <w:pPr>
        <w:adjustRightInd w:val="0"/>
        <w:snapToGrid w:val="0"/>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 xml:space="preserve">二、上级补助收入：指事业单位从主管部门和上级单位取得的非财政补助收入。 </w:t>
      </w:r>
    </w:p>
    <w:p w14:paraId="11766B34">
      <w:pPr>
        <w:adjustRightInd w:val="0"/>
        <w:snapToGrid w:val="0"/>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 xml:space="preserve">三、事业收入：指事业单位开展专业业务活动及其辅助活动取得的收入，事业单位收到的财政专户实际核拨的教育收费等资金在此反映。 </w:t>
      </w:r>
    </w:p>
    <w:p w14:paraId="1EDA7DD8">
      <w:pPr>
        <w:adjustRightInd w:val="0"/>
        <w:snapToGrid w:val="0"/>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 xml:space="preserve">四、经营收入：指事业单位在专业业务活动及其辅助活动之外开展非独立核算经营活动取得的收入。 </w:t>
      </w:r>
    </w:p>
    <w:p w14:paraId="6DAF1C2D">
      <w:pPr>
        <w:adjustRightInd w:val="0"/>
        <w:snapToGrid w:val="0"/>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 xml:space="preserve">五、附属单位缴款：指事业单位附属独立核算单位按照有关规定上缴的收入。 </w:t>
      </w:r>
    </w:p>
    <w:p w14:paraId="729E94DA">
      <w:pPr>
        <w:adjustRightInd w:val="0"/>
        <w:snapToGrid w:val="0"/>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 xml:space="preserve">六、其他收入：指单位取得的除上述“财政拨款收入”、“事业收入”、“经营收入”等以外的各项收入。 </w:t>
      </w:r>
    </w:p>
    <w:p w14:paraId="4D2008E0">
      <w:pPr>
        <w:adjustRightInd w:val="0"/>
        <w:snapToGrid w:val="0"/>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 xml:space="preserve">七、用事业基金弥补收支差额：指事业单位用事业基金弥补当年收支差额的数额。 </w:t>
      </w:r>
    </w:p>
    <w:p w14:paraId="6F2D2ABC">
      <w:pPr>
        <w:adjustRightInd w:val="0"/>
        <w:snapToGrid w:val="0"/>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 xml:space="preserve">八、年初结转和结余：指单位上年结转本年使用的基本支出结转、项目支出结转和结余和经营结余。 </w:t>
      </w:r>
    </w:p>
    <w:p w14:paraId="1B032BB1">
      <w:pPr>
        <w:adjustRightInd w:val="0"/>
        <w:snapToGrid w:val="0"/>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 xml:space="preserve">九、结余分配：指事业单位按规定对非财政补助结余资金提取的职工福利基金、事业基金和缴纳的所得税，以及减少单位按规定应缴回的基本建设竣工项目结余资金。 </w:t>
      </w:r>
    </w:p>
    <w:p w14:paraId="1FE2BA53">
      <w:pPr>
        <w:adjustRightInd w:val="0"/>
        <w:snapToGrid w:val="0"/>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 xml:space="preserve">十、年末结转和结余资金：指本年度或以前年度预算安排、因客观条件发生变化无法按原计划实施，需要延迟到以后年度按有关规定继续使用的资金。 </w:t>
      </w:r>
    </w:p>
    <w:p w14:paraId="5C627C0C">
      <w:pPr>
        <w:adjustRightInd w:val="0"/>
        <w:snapToGrid w:val="0"/>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 xml:space="preserve">十一、基本支出：指为保障机构正常运转、完成日常工作任务而发生的人员支出和公用支出。 </w:t>
      </w:r>
    </w:p>
    <w:p w14:paraId="06E00827">
      <w:pPr>
        <w:adjustRightInd w:val="0"/>
        <w:snapToGrid w:val="0"/>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 xml:space="preserve">十二、项目支出：指在基本支出之外为完成特定的行政任务或事业发展目标所发生的支出。 </w:t>
      </w:r>
    </w:p>
    <w:p w14:paraId="6A9D9F5E">
      <w:pPr>
        <w:adjustRightInd w:val="0"/>
        <w:snapToGrid w:val="0"/>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 xml:space="preserve">十三、上缴上级支出：指事业单位按照财政部门和主管部门的规定上缴上级单位的支出。 </w:t>
      </w:r>
    </w:p>
    <w:p w14:paraId="37362691">
      <w:pPr>
        <w:adjustRightInd w:val="0"/>
        <w:snapToGrid w:val="0"/>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 xml:space="preserve">十四、经营支出：指事业单位在专业业务活动及其辅助活动之外开展非独立核算经营活动发生的支出。 </w:t>
      </w:r>
    </w:p>
    <w:p w14:paraId="6C75DB1A">
      <w:pPr>
        <w:adjustRightInd w:val="0"/>
        <w:snapToGrid w:val="0"/>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 xml:space="preserve">十五、对附属单位补助支出：指事业单位用财政补助收入之外的收入对附属单位补助发生的支出。 </w:t>
      </w:r>
    </w:p>
    <w:p w14:paraId="692498AA">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十六、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4291FC9">
      <w:pPr>
        <w:adjustRightInd w:val="0"/>
        <w:snapToGrid w:val="0"/>
        <w:spacing w:line="560" w:lineRule="exact"/>
        <w:ind w:firstLine="640" w:firstLineChars="200"/>
        <w:rPr>
          <w:rFonts w:ascii="仿宋_GB2312" w:eastAsia="仿宋_GB2312"/>
          <w:color w:val="000000"/>
          <w:sz w:val="32"/>
          <w:szCs w:val="32"/>
        </w:rPr>
      </w:pPr>
    </w:p>
    <w:p w14:paraId="4035C836">
      <w:pPr>
        <w:adjustRightInd w:val="0"/>
        <w:snapToGrid w:val="0"/>
        <w:spacing w:line="560" w:lineRule="exact"/>
        <w:ind w:firstLine="640" w:firstLineChars="200"/>
        <w:jc w:val="center"/>
        <w:rPr>
          <w:rFonts w:ascii="仿宋_GB2312" w:eastAsia="仿宋_GB2312"/>
          <w:color w:val="000000"/>
          <w:sz w:val="32"/>
          <w:szCs w:val="32"/>
        </w:rPr>
      </w:pPr>
      <w:r>
        <w:rPr>
          <w:rFonts w:ascii="仿宋_GB2312" w:eastAsia="仿宋_GB2312"/>
          <w:color w:val="000000"/>
          <w:sz w:val="32"/>
          <w:szCs w:val="32"/>
        </w:rPr>
        <w:t>第</w:t>
      </w:r>
      <w:r>
        <w:rPr>
          <w:rFonts w:hint="eastAsia" w:ascii="仿宋_GB2312" w:eastAsia="仿宋_GB2312"/>
          <w:color w:val="000000"/>
          <w:sz w:val="32"/>
          <w:szCs w:val="32"/>
        </w:rPr>
        <w:t>四</w:t>
      </w:r>
      <w:r>
        <w:rPr>
          <w:rFonts w:ascii="仿宋_GB2312" w:eastAsia="仿宋_GB2312"/>
          <w:color w:val="000000"/>
          <w:sz w:val="32"/>
          <w:szCs w:val="32"/>
        </w:rPr>
        <w:t>部分 2017年度部门决算表</w:t>
      </w:r>
    </w:p>
    <w:p w14:paraId="520787F0">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明细见附件</w:t>
      </w:r>
    </w:p>
    <w:p w14:paraId="65E48BAA">
      <w:pPr>
        <w:adjustRightInd w:val="0"/>
        <w:snapToGrid w:val="0"/>
        <w:spacing w:line="560" w:lineRule="exact"/>
        <w:ind w:firstLine="640" w:firstLineChars="200"/>
        <w:rPr>
          <w:rFonts w:ascii="仿宋_GB2312" w:eastAsia="仿宋_GB2312"/>
          <w:color w:val="000000"/>
          <w:sz w:val="32"/>
          <w:szCs w:val="32"/>
        </w:rPr>
      </w:pPr>
    </w:p>
    <w:p w14:paraId="69B1C82B">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附件：</w:t>
      </w:r>
      <w:r>
        <w:rPr>
          <w:rFonts w:ascii="仿宋_GB2312" w:eastAsia="仿宋_GB2312"/>
          <w:color w:val="000000"/>
          <w:sz w:val="32"/>
          <w:szCs w:val="32"/>
        </w:rPr>
        <w:t xml:space="preserve">2017年度部门决算表 </w:t>
      </w:r>
      <w:r>
        <w:rPr>
          <w:rFonts w:hint="eastAsia" w:ascii="仿宋_GB2312" w:eastAsia="仿宋_GB2312"/>
          <w:color w:val="000000"/>
          <w:sz w:val="32"/>
          <w:szCs w:val="32"/>
        </w:rPr>
        <w:t xml:space="preserve">         </w:t>
      </w:r>
    </w:p>
    <w:p w14:paraId="528B96A3">
      <w:pPr>
        <w:adjustRightInd w:val="0"/>
        <w:snapToGrid w:val="0"/>
        <w:spacing w:line="560" w:lineRule="exact"/>
        <w:ind w:firstLine="640" w:firstLineChars="200"/>
        <w:rPr>
          <w:rFonts w:ascii="仿宋_GB2312" w:eastAsia="仿宋_GB2312"/>
          <w:color w:val="000000"/>
          <w:sz w:val="32"/>
          <w:szCs w:val="32"/>
        </w:rPr>
      </w:pPr>
    </w:p>
    <w:p w14:paraId="74C2B8FC">
      <w:pPr>
        <w:adjustRightInd w:val="0"/>
        <w:snapToGrid w:val="0"/>
        <w:spacing w:line="560" w:lineRule="exact"/>
        <w:ind w:firstLine="3040" w:firstLineChars="950"/>
        <w:rPr>
          <w:rFonts w:ascii="仿宋_GB2312" w:eastAsia="仿宋_GB2312"/>
          <w:color w:val="000000"/>
          <w:sz w:val="32"/>
          <w:szCs w:val="32"/>
        </w:rPr>
      </w:pPr>
      <w:r>
        <w:rPr>
          <w:rFonts w:hint="eastAsia" w:ascii="仿宋_GB2312" w:eastAsia="仿宋_GB2312"/>
          <w:color w:val="000000"/>
          <w:sz w:val="32"/>
          <w:szCs w:val="32"/>
        </w:rPr>
        <w:t>北京市西城区教育委员会</w:t>
      </w:r>
    </w:p>
    <w:p w14:paraId="25B48A30">
      <w:pPr>
        <w:adjustRightInd w:val="0"/>
        <w:snapToGrid w:val="0"/>
        <w:spacing w:line="560" w:lineRule="exact"/>
        <w:ind w:firstLine="3520" w:firstLineChars="1100"/>
        <w:rPr>
          <w:rFonts w:ascii="仿宋_GB2312" w:eastAsia="仿宋_GB2312"/>
          <w:color w:val="000000"/>
          <w:sz w:val="32"/>
          <w:szCs w:val="32"/>
        </w:rPr>
      </w:pPr>
      <w:r>
        <w:rPr>
          <w:rFonts w:hint="eastAsia" w:ascii="仿宋_GB2312" w:eastAsia="仿宋_GB2312"/>
          <w:color w:val="000000"/>
          <w:sz w:val="32"/>
          <w:szCs w:val="32"/>
        </w:rPr>
        <w:t>2018年8月21日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diOTUxODQ5NTAzN2IyZTI5ZmYxYzNjOWU1NTU2ZTgifQ=="/>
  </w:docVars>
  <w:rsids>
    <w:rsidRoot w:val="00661BCA"/>
    <w:rsid w:val="000008FF"/>
    <w:rsid w:val="00004B34"/>
    <w:rsid w:val="00024130"/>
    <w:rsid w:val="00024412"/>
    <w:rsid w:val="00036A3F"/>
    <w:rsid w:val="00050570"/>
    <w:rsid w:val="0005297F"/>
    <w:rsid w:val="00054A3D"/>
    <w:rsid w:val="000562E7"/>
    <w:rsid w:val="000623AA"/>
    <w:rsid w:val="00063DA7"/>
    <w:rsid w:val="000679A0"/>
    <w:rsid w:val="00075282"/>
    <w:rsid w:val="00075624"/>
    <w:rsid w:val="00090F1E"/>
    <w:rsid w:val="000B4E7B"/>
    <w:rsid w:val="000B6815"/>
    <w:rsid w:val="000B7364"/>
    <w:rsid w:val="000E1C59"/>
    <w:rsid w:val="000E2BC1"/>
    <w:rsid w:val="000F3CB0"/>
    <w:rsid w:val="000F5704"/>
    <w:rsid w:val="000F6270"/>
    <w:rsid w:val="001038D2"/>
    <w:rsid w:val="0011116B"/>
    <w:rsid w:val="001209C1"/>
    <w:rsid w:val="0012124B"/>
    <w:rsid w:val="0012413E"/>
    <w:rsid w:val="00131D79"/>
    <w:rsid w:val="00132449"/>
    <w:rsid w:val="00143AED"/>
    <w:rsid w:val="00151B73"/>
    <w:rsid w:val="00160E74"/>
    <w:rsid w:val="0016112A"/>
    <w:rsid w:val="0016594F"/>
    <w:rsid w:val="00167CDC"/>
    <w:rsid w:val="00186E0C"/>
    <w:rsid w:val="00196171"/>
    <w:rsid w:val="001964EA"/>
    <w:rsid w:val="00197EB1"/>
    <w:rsid w:val="001A1DD4"/>
    <w:rsid w:val="001A4982"/>
    <w:rsid w:val="001A57E1"/>
    <w:rsid w:val="001A63F4"/>
    <w:rsid w:val="001C2207"/>
    <w:rsid w:val="001C420A"/>
    <w:rsid w:val="001D1D97"/>
    <w:rsid w:val="001D5746"/>
    <w:rsid w:val="001D6E98"/>
    <w:rsid w:val="001E112D"/>
    <w:rsid w:val="001F0040"/>
    <w:rsid w:val="0020342E"/>
    <w:rsid w:val="00205228"/>
    <w:rsid w:val="00205398"/>
    <w:rsid w:val="002078D1"/>
    <w:rsid w:val="00210CC7"/>
    <w:rsid w:val="00210E20"/>
    <w:rsid w:val="002117A5"/>
    <w:rsid w:val="00212115"/>
    <w:rsid w:val="00213336"/>
    <w:rsid w:val="00214836"/>
    <w:rsid w:val="002212B5"/>
    <w:rsid w:val="00221E8F"/>
    <w:rsid w:val="002270AB"/>
    <w:rsid w:val="00232C57"/>
    <w:rsid w:val="00233664"/>
    <w:rsid w:val="00234298"/>
    <w:rsid w:val="00236DB8"/>
    <w:rsid w:val="002420DA"/>
    <w:rsid w:val="002456C8"/>
    <w:rsid w:val="00247E50"/>
    <w:rsid w:val="00254C41"/>
    <w:rsid w:val="002550DA"/>
    <w:rsid w:val="0025686A"/>
    <w:rsid w:val="0026159C"/>
    <w:rsid w:val="002617FC"/>
    <w:rsid w:val="00261DEE"/>
    <w:rsid w:val="002643F7"/>
    <w:rsid w:val="00281C53"/>
    <w:rsid w:val="00283CD1"/>
    <w:rsid w:val="0028765E"/>
    <w:rsid w:val="002A12C0"/>
    <w:rsid w:val="002A1BF6"/>
    <w:rsid w:val="002B7A36"/>
    <w:rsid w:val="002C45AD"/>
    <w:rsid w:val="002D2A8E"/>
    <w:rsid w:val="002D61C6"/>
    <w:rsid w:val="002E2C59"/>
    <w:rsid w:val="002E6357"/>
    <w:rsid w:val="002F1A3D"/>
    <w:rsid w:val="00302F26"/>
    <w:rsid w:val="003107F4"/>
    <w:rsid w:val="00322A5F"/>
    <w:rsid w:val="00326225"/>
    <w:rsid w:val="00331127"/>
    <w:rsid w:val="00335276"/>
    <w:rsid w:val="0033629F"/>
    <w:rsid w:val="0034161E"/>
    <w:rsid w:val="0034468E"/>
    <w:rsid w:val="0034494E"/>
    <w:rsid w:val="0034618E"/>
    <w:rsid w:val="00346CB9"/>
    <w:rsid w:val="00347671"/>
    <w:rsid w:val="00347888"/>
    <w:rsid w:val="00347F2A"/>
    <w:rsid w:val="00351653"/>
    <w:rsid w:val="00352321"/>
    <w:rsid w:val="00352F47"/>
    <w:rsid w:val="003546A8"/>
    <w:rsid w:val="0036184F"/>
    <w:rsid w:val="00370C8F"/>
    <w:rsid w:val="003752D8"/>
    <w:rsid w:val="00376977"/>
    <w:rsid w:val="00395679"/>
    <w:rsid w:val="003B2EF7"/>
    <w:rsid w:val="003B6441"/>
    <w:rsid w:val="003C6F23"/>
    <w:rsid w:val="003C7388"/>
    <w:rsid w:val="003D128A"/>
    <w:rsid w:val="003D2204"/>
    <w:rsid w:val="003D3600"/>
    <w:rsid w:val="003D5103"/>
    <w:rsid w:val="003D5493"/>
    <w:rsid w:val="003D77CE"/>
    <w:rsid w:val="003E203B"/>
    <w:rsid w:val="003E360D"/>
    <w:rsid w:val="003E3644"/>
    <w:rsid w:val="003E4EBC"/>
    <w:rsid w:val="003E703C"/>
    <w:rsid w:val="003F46BE"/>
    <w:rsid w:val="00404C91"/>
    <w:rsid w:val="00415EF1"/>
    <w:rsid w:val="0042180E"/>
    <w:rsid w:val="00430E3B"/>
    <w:rsid w:val="00437564"/>
    <w:rsid w:val="00437730"/>
    <w:rsid w:val="0045518F"/>
    <w:rsid w:val="00456520"/>
    <w:rsid w:val="00463251"/>
    <w:rsid w:val="00467907"/>
    <w:rsid w:val="004751C3"/>
    <w:rsid w:val="00476947"/>
    <w:rsid w:val="00477372"/>
    <w:rsid w:val="00482AC0"/>
    <w:rsid w:val="00484B34"/>
    <w:rsid w:val="00486C6B"/>
    <w:rsid w:val="00494350"/>
    <w:rsid w:val="004946A9"/>
    <w:rsid w:val="004A304E"/>
    <w:rsid w:val="004A78B9"/>
    <w:rsid w:val="004B0F49"/>
    <w:rsid w:val="004B6195"/>
    <w:rsid w:val="004C4946"/>
    <w:rsid w:val="004D1146"/>
    <w:rsid w:val="004D187E"/>
    <w:rsid w:val="004D717C"/>
    <w:rsid w:val="004D71EE"/>
    <w:rsid w:val="004E0AA0"/>
    <w:rsid w:val="004E6194"/>
    <w:rsid w:val="004E649A"/>
    <w:rsid w:val="004E6787"/>
    <w:rsid w:val="004E77F4"/>
    <w:rsid w:val="004F3625"/>
    <w:rsid w:val="004F63AC"/>
    <w:rsid w:val="005229D0"/>
    <w:rsid w:val="0052471D"/>
    <w:rsid w:val="00524FD3"/>
    <w:rsid w:val="00525940"/>
    <w:rsid w:val="0053056E"/>
    <w:rsid w:val="0053262B"/>
    <w:rsid w:val="0054348F"/>
    <w:rsid w:val="0054590E"/>
    <w:rsid w:val="005460A6"/>
    <w:rsid w:val="00553C6D"/>
    <w:rsid w:val="00555A1A"/>
    <w:rsid w:val="005674FF"/>
    <w:rsid w:val="00575452"/>
    <w:rsid w:val="00576F43"/>
    <w:rsid w:val="00577018"/>
    <w:rsid w:val="00581FC1"/>
    <w:rsid w:val="005869CB"/>
    <w:rsid w:val="0058760F"/>
    <w:rsid w:val="005A3B1E"/>
    <w:rsid w:val="005B58D7"/>
    <w:rsid w:val="005C123B"/>
    <w:rsid w:val="005C5064"/>
    <w:rsid w:val="005C6F21"/>
    <w:rsid w:val="005D188E"/>
    <w:rsid w:val="005D580F"/>
    <w:rsid w:val="005D6ED0"/>
    <w:rsid w:val="005E19BD"/>
    <w:rsid w:val="005E68E0"/>
    <w:rsid w:val="005E76B5"/>
    <w:rsid w:val="00601795"/>
    <w:rsid w:val="00604215"/>
    <w:rsid w:val="00607F13"/>
    <w:rsid w:val="00626DF1"/>
    <w:rsid w:val="006305BE"/>
    <w:rsid w:val="00630999"/>
    <w:rsid w:val="00631BDD"/>
    <w:rsid w:val="006353AC"/>
    <w:rsid w:val="00635C54"/>
    <w:rsid w:val="00635E15"/>
    <w:rsid w:val="006378F1"/>
    <w:rsid w:val="0064071B"/>
    <w:rsid w:val="00645CD8"/>
    <w:rsid w:val="00652312"/>
    <w:rsid w:val="00653169"/>
    <w:rsid w:val="00657A5B"/>
    <w:rsid w:val="00661BCA"/>
    <w:rsid w:val="00663A57"/>
    <w:rsid w:val="00665DD1"/>
    <w:rsid w:val="006678BE"/>
    <w:rsid w:val="00671885"/>
    <w:rsid w:val="00673D2B"/>
    <w:rsid w:val="006763B0"/>
    <w:rsid w:val="0068293B"/>
    <w:rsid w:val="006A0768"/>
    <w:rsid w:val="006A2575"/>
    <w:rsid w:val="006A64E1"/>
    <w:rsid w:val="006B001D"/>
    <w:rsid w:val="006B1B03"/>
    <w:rsid w:val="006B30C7"/>
    <w:rsid w:val="006B66A0"/>
    <w:rsid w:val="006C1F18"/>
    <w:rsid w:val="006C47C6"/>
    <w:rsid w:val="006C78E1"/>
    <w:rsid w:val="006C7B67"/>
    <w:rsid w:val="006E0E53"/>
    <w:rsid w:val="006E498B"/>
    <w:rsid w:val="006E66EA"/>
    <w:rsid w:val="006F3073"/>
    <w:rsid w:val="006F63F6"/>
    <w:rsid w:val="00701613"/>
    <w:rsid w:val="00704DD9"/>
    <w:rsid w:val="00706A39"/>
    <w:rsid w:val="00734EDC"/>
    <w:rsid w:val="0074389E"/>
    <w:rsid w:val="007452F2"/>
    <w:rsid w:val="00753AB6"/>
    <w:rsid w:val="007562AE"/>
    <w:rsid w:val="007665A5"/>
    <w:rsid w:val="00766D28"/>
    <w:rsid w:val="00776761"/>
    <w:rsid w:val="0078514E"/>
    <w:rsid w:val="007900F5"/>
    <w:rsid w:val="0079128D"/>
    <w:rsid w:val="007A5B66"/>
    <w:rsid w:val="007A7EDF"/>
    <w:rsid w:val="007B1E1F"/>
    <w:rsid w:val="007B243E"/>
    <w:rsid w:val="007B6694"/>
    <w:rsid w:val="007B6CE0"/>
    <w:rsid w:val="007C1710"/>
    <w:rsid w:val="007C1E07"/>
    <w:rsid w:val="007C2550"/>
    <w:rsid w:val="007D3872"/>
    <w:rsid w:val="007D482D"/>
    <w:rsid w:val="007E3AB6"/>
    <w:rsid w:val="007E3CB9"/>
    <w:rsid w:val="007E743F"/>
    <w:rsid w:val="007F6940"/>
    <w:rsid w:val="007F7D65"/>
    <w:rsid w:val="00813C3A"/>
    <w:rsid w:val="00835963"/>
    <w:rsid w:val="00841CC3"/>
    <w:rsid w:val="00843054"/>
    <w:rsid w:val="0084693A"/>
    <w:rsid w:val="00853D59"/>
    <w:rsid w:val="00853F6E"/>
    <w:rsid w:val="008578A5"/>
    <w:rsid w:val="008604CA"/>
    <w:rsid w:val="008613AB"/>
    <w:rsid w:val="008643C8"/>
    <w:rsid w:val="008653AE"/>
    <w:rsid w:val="008737B3"/>
    <w:rsid w:val="00875AB9"/>
    <w:rsid w:val="008836BF"/>
    <w:rsid w:val="00894EF7"/>
    <w:rsid w:val="00897012"/>
    <w:rsid w:val="00897964"/>
    <w:rsid w:val="008A5EB6"/>
    <w:rsid w:val="008B3CBE"/>
    <w:rsid w:val="008C7D7E"/>
    <w:rsid w:val="008D3957"/>
    <w:rsid w:val="008D7C10"/>
    <w:rsid w:val="008E11E2"/>
    <w:rsid w:val="008E330A"/>
    <w:rsid w:val="008E4547"/>
    <w:rsid w:val="008E6B5B"/>
    <w:rsid w:val="008E73E5"/>
    <w:rsid w:val="008E7CE4"/>
    <w:rsid w:val="008F0FB7"/>
    <w:rsid w:val="00901CF0"/>
    <w:rsid w:val="00902D4B"/>
    <w:rsid w:val="009232FC"/>
    <w:rsid w:val="00924E53"/>
    <w:rsid w:val="0092677F"/>
    <w:rsid w:val="009267DE"/>
    <w:rsid w:val="00927619"/>
    <w:rsid w:val="00930EB8"/>
    <w:rsid w:val="00941851"/>
    <w:rsid w:val="00943442"/>
    <w:rsid w:val="0094749D"/>
    <w:rsid w:val="00962DB2"/>
    <w:rsid w:val="00964FA9"/>
    <w:rsid w:val="00967095"/>
    <w:rsid w:val="00967EE5"/>
    <w:rsid w:val="009704A5"/>
    <w:rsid w:val="00972722"/>
    <w:rsid w:val="00972D31"/>
    <w:rsid w:val="00977EB1"/>
    <w:rsid w:val="00985756"/>
    <w:rsid w:val="00987B7B"/>
    <w:rsid w:val="0099226A"/>
    <w:rsid w:val="00995FC5"/>
    <w:rsid w:val="00996A0E"/>
    <w:rsid w:val="009B493D"/>
    <w:rsid w:val="009C1606"/>
    <w:rsid w:val="009C21D3"/>
    <w:rsid w:val="009C5CBF"/>
    <w:rsid w:val="009D1333"/>
    <w:rsid w:val="009E1CE9"/>
    <w:rsid w:val="009F0747"/>
    <w:rsid w:val="009F0D03"/>
    <w:rsid w:val="009F4CD2"/>
    <w:rsid w:val="009F5E06"/>
    <w:rsid w:val="00A02B75"/>
    <w:rsid w:val="00A0311D"/>
    <w:rsid w:val="00A044EC"/>
    <w:rsid w:val="00A057FE"/>
    <w:rsid w:val="00A160FD"/>
    <w:rsid w:val="00A16C40"/>
    <w:rsid w:val="00A1761D"/>
    <w:rsid w:val="00A267B3"/>
    <w:rsid w:val="00A2725D"/>
    <w:rsid w:val="00A32D85"/>
    <w:rsid w:val="00A43346"/>
    <w:rsid w:val="00A5234D"/>
    <w:rsid w:val="00A5619D"/>
    <w:rsid w:val="00A56AE4"/>
    <w:rsid w:val="00A63BD2"/>
    <w:rsid w:val="00A65ADA"/>
    <w:rsid w:val="00A7571C"/>
    <w:rsid w:val="00A75B42"/>
    <w:rsid w:val="00A83CB9"/>
    <w:rsid w:val="00A94476"/>
    <w:rsid w:val="00A95F33"/>
    <w:rsid w:val="00AA19A3"/>
    <w:rsid w:val="00AA278B"/>
    <w:rsid w:val="00AB032B"/>
    <w:rsid w:val="00AB1726"/>
    <w:rsid w:val="00AB7905"/>
    <w:rsid w:val="00AC0803"/>
    <w:rsid w:val="00AC413D"/>
    <w:rsid w:val="00AC68F4"/>
    <w:rsid w:val="00AC70FE"/>
    <w:rsid w:val="00AD116F"/>
    <w:rsid w:val="00AD36F2"/>
    <w:rsid w:val="00AD6AD6"/>
    <w:rsid w:val="00AE1606"/>
    <w:rsid w:val="00AF31DA"/>
    <w:rsid w:val="00B038F4"/>
    <w:rsid w:val="00B05D70"/>
    <w:rsid w:val="00B06E64"/>
    <w:rsid w:val="00B12109"/>
    <w:rsid w:val="00B2098B"/>
    <w:rsid w:val="00B25304"/>
    <w:rsid w:val="00B307E5"/>
    <w:rsid w:val="00B40602"/>
    <w:rsid w:val="00B41350"/>
    <w:rsid w:val="00B4181E"/>
    <w:rsid w:val="00B4268D"/>
    <w:rsid w:val="00B465DF"/>
    <w:rsid w:val="00B50EFD"/>
    <w:rsid w:val="00B55675"/>
    <w:rsid w:val="00B62DA7"/>
    <w:rsid w:val="00B7020D"/>
    <w:rsid w:val="00B81160"/>
    <w:rsid w:val="00B825F3"/>
    <w:rsid w:val="00B8418C"/>
    <w:rsid w:val="00B90DD9"/>
    <w:rsid w:val="00B93E90"/>
    <w:rsid w:val="00BA17B7"/>
    <w:rsid w:val="00BB5454"/>
    <w:rsid w:val="00BB6ED8"/>
    <w:rsid w:val="00BC14F5"/>
    <w:rsid w:val="00BC247A"/>
    <w:rsid w:val="00BD121D"/>
    <w:rsid w:val="00BD2BB4"/>
    <w:rsid w:val="00BD3479"/>
    <w:rsid w:val="00BD5172"/>
    <w:rsid w:val="00BF1BE2"/>
    <w:rsid w:val="00BF1F05"/>
    <w:rsid w:val="00BF7528"/>
    <w:rsid w:val="00C12E9D"/>
    <w:rsid w:val="00C16D3F"/>
    <w:rsid w:val="00C16F9E"/>
    <w:rsid w:val="00C20173"/>
    <w:rsid w:val="00C202C0"/>
    <w:rsid w:val="00C27269"/>
    <w:rsid w:val="00C36810"/>
    <w:rsid w:val="00C36C2D"/>
    <w:rsid w:val="00C42DCD"/>
    <w:rsid w:val="00C43A38"/>
    <w:rsid w:val="00C44C4A"/>
    <w:rsid w:val="00C742DE"/>
    <w:rsid w:val="00C74468"/>
    <w:rsid w:val="00C74AA3"/>
    <w:rsid w:val="00C80456"/>
    <w:rsid w:val="00C81B70"/>
    <w:rsid w:val="00C9156A"/>
    <w:rsid w:val="00CA6672"/>
    <w:rsid w:val="00CB0321"/>
    <w:rsid w:val="00CB28AD"/>
    <w:rsid w:val="00CB2DBB"/>
    <w:rsid w:val="00CC3830"/>
    <w:rsid w:val="00CC7627"/>
    <w:rsid w:val="00CD01AD"/>
    <w:rsid w:val="00CD53DD"/>
    <w:rsid w:val="00CE19FD"/>
    <w:rsid w:val="00CE303E"/>
    <w:rsid w:val="00CE3D03"/>
    <w:rsid w:val="00CF6817"/>
    <w:rsid w:val="00D1199A"/>
    <w:rsid w:val="00D14CB0"/>
    <w:rsid w:val="00D21364"/>
    <w:rsid w:val="00D34119"/>
    <w:rsid w:val="00D404BE"/>
    <w:rsid w:val="00D42D57"/>
    <w:rsid w:val="00D47347"/>
    <w:rsid w:val="00D52A16"/>
    <w:rsid w:val="00D6036F"/>
    <w:rsid w:val="00D647A9"/>
    <w:rsid w:val="00D6574B"/>
    <w:rsid w:val="00D77266"/>
    <w:rsid w:val="00D80D46"/>
    <w:rsid w:val="00D87A8A"/>
    <w:rsid w:val="00D914CF"/>
    <w:rsid w:val="00D953AC"/>
    <w:rsid w:val="00DA0558"/>
    <w:rsid w:val="00DA1B39"/>
    <w:rsid w:val="00DA3C1F"/>
    <w:rsid w:val="00DA4FF6"/>
    <w:rsid w:val="00DD2763"/>
    <w:rsid w:val="00DD3F73"/>
    <w:rsid w:val="00DD55AE"/>
    <w:rsid w:val="00DD5D8C"/>
    <w:rsid w:val="00DF2078"/>
    <w:rsid w:val="00DF354C"/>
    <w:rsid w:val="00DF5752"/>
    <w:rsid w:val="00DF75F9"/>
    <w:rsid w:val="00E008F2"/>
    <w:rsid w:val="00E01D88"/>
    <w:rsid w:val="00E147DA"/>
    <w:rsid w:val="00E15BDB"/>
    <w:rsid w:val="00E21C0B"/>
    <w:rsid w:val="00E35838"/>
    <w:rsid w:val="00E4451B"/>
    <w:rsid w:val="00E51419"/>
    <w:rsid w:val="00E5530D"/>
    <w:rsid w:val="00E6257F"/>
    <w:rsid w:val="00E6338A"/>
    <w:rsid w:val="00E6712D"/>
    <w:rsid w:val="00E6763A"/>
    <w:rsid w:val="00E776BE"/>
    <w:rsid w:val="00E80027"/>
    <w:rsid w:val="00E827B9"/>
    <w:rsid w:val="00E87B72"/>
    <w:rsid w:val="00E9464E"/>
    <w:rsid w:val="00E95A44"/>
    <w:rsid w:val="00EB04C0"/>
    <w:rsid w:val="00EB3CFD"/>
    <w:rsid w:val="00EC02C7"/>
    <w:rsid w:val="00EC1106"/>
    <w:rsid w:val="00EC2ECA"/>
    <w:rsid w:val="00EC6A03"/>
    <w:rsid w:val="00EC6A9E"/>
    <w:rsid w:val="00EC7A5B"/>
    <w:rsid w:val="00ED1065"/>
    <w:rsid w:val="00ED3FF1"/>
    <w:rsid w:val="00ED5411"/>
    <w:rsid w:val="00EE2E84"/>
    <w:rsid w:val="00EE46D2"/>
    <w:rsid w:val="00EF309A"/>
    <w:rsid w:val="00EF5F66"/>
    <w:rsid w:val="00EF68E3"/>
    <w:rsid w:val="00F004AE"/>
    <w:rsid w:val="00F01881"/>
    <w:rsid w:val="00F02A39"/>
    <w:rsid w:val="00F04C7C"/>
    <w:rsid w:val="00F07F04"/>
    <w:rsid w:val="00F21498"/>
    <w:rsid w:val="00F21FEA"/>
    <w:rsid w:val="00F22002"/>
    <w:rsid w:val="00F23214"/>
    <w:rsid w:val="00F23C01"/>
    <w:rsid w:val="00F24C94"/>
    <w:rsid w:val="00F445B6"/>
    <w:rsid w:val="00F45BC2"/>
    <w:rsid w:val="00F51D62"/>
    <w:rsid w:val="00F52D8D"/>
    <w:rsid w:val="00F71852"/>
    <w:rsid w:val="00F71EE6"/>
    <w:rsid w:val="00F74452"/>
    <w:rsid w:val="00F8357E"/>
    <w:rsid w:val="00F878B2"/>
    <w:rsid w:val="00F90E1F"/>
    <w:rsid w:val="00F9457E"/>
    <w:rsid w:val="00FA1B74"/>
    <w:rsid w:val="00FA2ABA"/>
    <w:rsid w:val="00FA77CC"/>
    <w:rsid w:val="00FA7A49"/>
    <w:rsid w:val="00FB1DFE"/>
    <w:rsid w:val="00FB7857"/>
    <w:rsid w:val="00FC079A"/>
    <w:rsid w:val="00FC32BB"/>
    <w:rsid w:val="00FC3BB7"/>
    <w:rsid w:val="00FE1FC9"/>
    <w:rsid w:val="00FF161A"/>
    <w:rsid w:val="00FF38CA"/>
    <w:rsid w:val="00FF5CD5"/>
    <w:rsid w:val="41A53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uiPriority w:val="0"/>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qFormat/>
    <w:uiPriority w:val="0"/>
    <w:rPr>
      <w:sz w:val="21"/>
      <w:szCs w:val="21"/>
    </w:rPr>
  </w:style>
  <w:style w:type="character" w:customStyle="1" w:styleId="9">
    <w:name w:val="页眉 Char"/>
    <w:basedOn w:val="7"/>
    <w:link w:val="5"/>
    <w:qFormat/>
    <w:uiPriority w:val="99"/>
    <w:rPr>
      <w:rFonts w:ascii="Times New Roman" w:hAnsi="Times New Roman" w:eastAsia="宋体" w:cs="Times New Roman"/>
      <w:sz w:val="18"/>
      <w:szCs w:val="18"/>
    </w:rPr>
  </w:style>
  <w:style w:type="character" w:customStyle="1" w:styleId="10">
    <w:name w:val="页脚 Char"/>
    <w:basedOn w:val="7"/>
    <w:link w:val="4"/>
    <w:qFormat/>
    <w:uiPriority w:val="99"/>
    <w:rPr>
      <w:rFonts w:ascii="Times New Roman" w:hAnsi="Times New Roman" w:eastAsia="宋体" w:cs="Times New Roman"/>
      <w:sz w:val="18"/>
      <w:szCs w:val="18"/>
    </w:rPr>
  </w:style>
  <w:style w:type="character" w:customStyle="1" w:styleId="11">
    <w:name w:val="批注文字 Char"/>
    <w:basedOn w:val="7"/>
    <w:link w:val="2"/>
    <w:qFormat/>
    <w:uiPriority w:val="0"/>
    <w:rPr>
      <w:rFonts w:ascii="Times New Roman" w:hAnsi="Times New Roman" w:eastAsia="宋体" w:cs="Times New Roman"/>
      <w:szCs w:val="24"/>
    </w:rPr>
  </w:style>
  <w:style w:type="character" w:customStyle="1" w:styleId="12">
    <w:name w:val="批注框文本 Char"/>
    <w:basedOn w:val="7"/>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2C617-1BD5-4E96-9B37-2479B2F51A9F}">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4143</Words>
  <Characters>4628</Characters>
  <Lines>34</Lines>
  <Paragraphs>9</Paragraphs>
  <TotalTime>85</TotalTime>
  <ScaleCrop>false</ScaleCrop>
  <LinksUpToDate>false</LinksUpToDate>
  <CharactersWithSpaces>4717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2018-08-07T08:15:00Z</dcterms:created>
  <dc:creator>丁娜</dc:creator>
  <cp:lastModifiedBy>臧璐</cp:lastModifiedBy>
  <cp:lastPrinted>2018-08-08T07:31:00Z</cp:lastPrinted>
  <dcterms:modified xsi:type="dcterms:W3CDTF">2025-03-24T01:39:34Z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53E3D201264C4C0FA48ED87CFBD3E0BD_12</vt:lpwstr>
  </property>
</Properties>
</file>