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北京市西城区信访办公室</w:t>
      </w:r>
    </w:p>
    <w:p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宋体" w:eastAsia="方正小标宋简体"/>
          <w:sz w:val="44"/>
          <w:szCs w:val="44"/>
        </w:rPr>
        <w:t>年部门预算公开目录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1" w:firstLineChars="1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第一部分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年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年部门预算收支及增减变化情况说明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（一）收入预算说明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（二）支出预算说明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560" w:lineRule="exact"/>
        <w:ind w:firstLine="321" w:firstLineChars="1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第二部分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年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部门预算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表十二、专项转移支付预算表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表十四、部门整体支出绩效目标申报表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77A5D"/>
    <w:rsid w:val="0ED27F49"/>
    <w:rsid w:val="1157122D"/>
    <w:rsid w:val="19F52E3D"/>
    <w:rsid w:val="4CEA304E"/>
    <w:rsid w:val="4EC77A5D"/>
    <w:rsid w:val="677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2024-02-02T09:19:00Z</dcterms:created>
  <dc:creator>葛东金</dc:creator>
  <cp:lastModifiedBy>葛东金</cp:lastModifiedBy>
  <cp:lastPrinted>2025-01-26T04:46:00Z</cp:lastPrinted>
  <dcterms:modified xsi:type="dcterms:W3CDTF">2025-01-26T07:01:09Z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8ECADF4652AA4119B2024EE052A8FE7C</vt:lpwstr>
  </property>
</Properties>
</file>