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501640" cy="990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color w:val="FF0000"/>
                                <w:spacing w:val="-11"/>
                                <w:w w:val="70"/>
                                <w:sz w:val="68"/>
                                <w:szCs w:val="7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11"/>
                                <w:w w:val="70"/>
                                <w:sz w:val="76"/>
                                <w:szCs w:val="70"/>
                              </w:rPr>
                              <w:t>北京市西城区民族宗教事务办公室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5.6pt;height:78pt;width:433.2pt;z-index:251659264;mso-width-relative:page;mso-height-relative:page;" filled="f" stroked="f" coordsize="21600,21600" o:gfxdata="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FQu&#10;odUAAAAHAQAADwAAAAAAAAABACAAAAAiAAAAZHJzL2Rvd25yZXYueG1sUEsBAhQAFAAAAAgAh07i&#10;QIjcUOGzAQAAQQMAAA4AAAAAAAAAAQAgAAAAJ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color w:val="FF0000"/>
                          <w:spacing w:val="-11"/>
                          <w:w w:val="70"/>
                          <w:sz w:val="68"/>
                          <w:szCs w:val="7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11"/>
                          <w:w w:val="70"/>
                          <w:sz w:val="76"/>
                          <w:szCs w:val="70"/>
                        </w:rPr>
                        <w:t>北京市西城区民族宗教事务办公室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302895</wp:posOffset>
                </wp:positionV>
                <wp:extent cx="5082540" cy="7620"/>
                <wp:effectExtent l="0" t="22225" r="7620" b="311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2540" cy="762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8pt;margin-top:23.85pt;height:0.6pt;width:400.2pt;z-index:251660288;mso-width-relative:page;mso-height-relative:page;" filled="f" stroked="t" coordsize="21600,21600" o:gfxdata="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UHIJ1wAA&#10;AAgBAAAPAAAAAAAAAAEAIAAAACIAAABkcnMvZG93bnJldi54bWxQSwECFAAUAAAACACHTuJAoyDz&#10;k+YBAACoAwAADgAAAAAAAAABACAAAAAmAQAAZHJzL2Uyb0RvYy54bWxQSwUGAAAAAAYABgBZAQAA&#10;fgUAAAAA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方正小标宋简体"/>
          <w:szCs w:val="32"/>
          <w:lang w:eastAsia="zh-CN"/>
        </w:rPr>
      </w:pPr>
      <w:bookmarkStart w:id="1" w:name="_GoBack"/>
      <w:bookmarkEnd w:id="1"/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/>
          <w:sz w:val="44"/>
          <w:szCs w:val="44"/>
        </w:rPr>
        <w:t>年度行政执法统计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民族宗教事务办公室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作为执法主体，依法具有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行政许可权、行政给付权、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行政检查权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、行政确认权和其他行政权力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5项行政权力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，相关业务由北京市西城区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民族宗教事务办公室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民族科（行政审批科）、宗教科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一、岗位设置情况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民族宗教办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年共设置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个行政执法岗位，分别是</w:t>
      </w:r>
      <w:r>
        <w:rPr>
          <w:rFonts w:hint="eastAsia" w:ascii="仿宋_GB2312" w:hAnsi="仿宋_GB2312" w:eastAsia="仿宋_GB2312" w:cs="仿宋_GB2312"/>
          <w:sz w:val="32"/>
          <w:szCs w:val="32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民族事务处理业务承办</w:t>
      </w:r>
      <w:r>
        <w:rPr>
          <w:rFonts w:hint="eastAsia" w:ascii="仿宋_GB2312" w:hAnsi="仿宋_GB2312" w:eastAsia="仿宋_GB2312" w:cs="仿宋_GB2312"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、区级宗教事务业务承办岗、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民族行政许可业务承办岗、区级宗教事务行政确认业务承办岗、区级民族事务处理审查决定岗、区级宗教事务处理审查决定岗、区级民族行政许可审查决定岗、区级宗教事务行政确认审查决定岗，每个岗位设人员1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年，北京市西城区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人员在岗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民族宗教领域执法情况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西城区民族宗教办按照依法行政有关要求，定期开展全区民族宗教领域执法工作。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是积极做好春节、开斋节、古尔邦节、圣诞节等重要民族宗教节日，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中国佛教协会佛诞庆祝活动、丁香诗会等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的服务保障工作，及时制定、有效应对各类风险隐患，为各族人民群众、各宗教信众提供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平稳有序、安全祥和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的庆祝环境。二是立足“平安西城”职责任务，结合民族宗教工作实际，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制定宗教活动场所安全管理工作“一图一表”，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充分运用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“企安安”开展风险隐患排查工作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推进区民族宗教领域安全生产治本攻坚三年行动实施方案落实落地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严厉打击非法宗教活动，加强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联合执法检查力度，及时发现、稳妥处置各类渉宗教违法违规行为，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处置非法宗教渗透案件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10余起，始终保持基督教非法聚会点“动态清零”的高压态势，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有力守护民族宗教领域的全面安全。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政务服务事项办理情况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val="en-US" w:eastAsia="zh-CN" w:bidi="ar"/>
        </w:rPr>
        <w:t>一是</w:t>
      </w:r>
      <w:bookmarkEnd w:id="0"/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val="en-US" w:eastAsia="zh-CN" w:bidi="ar"/>
        </w:rPr>
        <w:t>积极搭建平台，助推“民营企业进边疆”行动。今年4月，我办参与京蒙两地民族工作部门共商发展合作，开展“民营企业进边疆”行动，京、蒙两地企业12家代表进行交流，推广惠企政策，推进乡村振兴、推动各民族交往交流交融等方面发挥更大作用。二是结合工作实际，推动铸牢中华民族共同体意识进企业、进窗口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以开展“三个一”系列活动为载体，即：一次互观互学、一次深入培训、一次摸排检查，有力推进“铸牢”进企业、进窗口服务行业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val="en-US" w:eastAsia="zh-CN" w:bidi="ar"/>
        </w:rPr>
        <w:t>。三是总结实践经验，推行“一联动”“四必查”工作法和综合监管工作。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对本辖区内231家清真网点台账进行梳理、摸排，夯实基层管理基础；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探索建立清真餐厅“无事不扰”白名单，推动“放管服”改革走向纵深。四是全年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清真企业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检查200余家，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新办清真食品生产加工经营许可65家、续办52家，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为近400位穆斯林群众提供殡葬服务，中国公民民族成份确认10件。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四、执法检查计划执行情况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年，北京市西城区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民族宗教办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民族宗教年度执法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，有效开展全区民族宗教领域执法检查工作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区民族宗教办会同街道对全区清真网点开展全覆盖、定期的巡查，联合区市场监管局等单位在重要时间节点对重点区域开展专项检查，圆满完成年度执法检查各项任务，为维护区域和谐，社会稳定做出积极贡献。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年，北京市西城区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民族宗教办</w:t>
      </w:r>
      <w:r>
        <w:rPr>
          <w:rFonts w:hint="eastAsia" w:ascii="仿宋_GB2312" w:hAnsi="仿宋_GB2312" w:eastAsia="仿宋_GB2312" w:cs="仿宋_GB2312"/>
          <w:sz w:val="32"/>
          <w:szCs w:val="32"/>
        </w:rPr>
        <w:t>未接到投诉和举报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违法违规等案件。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行政处罚、行政强制等案件办理情况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投诉举报案件办理情况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其它需要公示的情况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民族宗教事务办公室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984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A657E5"/>
    <w:multiLevelType w:val="singleLevel"/>
    <w:tmpl w:val="BEA6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C50FD7"/>
    <w:multiLevelType w:val="singleLevel"/>
    <w:tmpl w:val="CBC50FD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TFkZGIzNWYyNzRjNzNmMDU3OWU1NzRiMDU3NDkifQ=="/>
  </w:docVars>
  <w:rsids>
    <w:rsidRoot w:val="00000000"/>
    <w:rsid w:val="011019CD"/>
    <w:rsid w:val="0F824048"/>
    <w:rsid w:val="107F286B"/>
    <w:rsid w:val="1FFF69FD"/>
    <w:rsid w:val="28DE72F8"/>
    <w:rsid w:val="2B5F363D"/>
    <w:rsid w:val="35765775"/>
    <w:rsid w:val="3B040379"/>
    <w:rsid w:val="3DA471CA"/>
    <w:rsid w:val="428B06F5"/>
    <w:rsid w:val="5320439D"/>
    <w:rsid w:val="637077EE"/>
    <w:rsid w:val="69244EF5"/>
    <w:rsid w:val="729709D9"/>
    <w:rsid w:val="73342747"/>
    <w:rsid w:val="78473BED"/>
    <w:rsid w:val="7CC27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1611</Words>
  <Characters>1661</Characters>
  <Lines>0</Lines>
  <Paragraphs>0</Paragraphs>
  <TotalTime>8</TotalTime>
  <ScaleCrop>false</ScaleCrop>
  <LinksUpToDate>false</LinksUpToDate>
  <CharactersWithSpaces>1728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DELL</cp:lastModifiedBy>
  <cp:lastPrinted>2020-01-15T07:19:00Z</cp:lastPrinted>
  <dcterms:modified xsi:type="dcterms:W3CDTF">2025-04-08T10:36:00Z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C37A292584BD450F85B5E98DDFFD16BC_13</vt:lpwstr>
  </property>
</Properties>
</file>