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0D101">
      <w:pPr>
        <w:pStyle w:val="2"/>
        <w:widowControl/>
        <w:shd w:val="clear" w:color="auto" w:fill="FFFFFF"/>
        <w:spacing w:before="75" w:beforeAutospacing="0" w:after="75" w:afterAutospacing="0" w:line="480" w:lineRule="atLeast"/>
        <w:ind w:firstLine="480"/>
        <w:jc w:val="center"/>
        <w:rPr>
          <w:rFonts w:hint="eastAsia" w:ascii="方正小标宋简体" w:hAnsi="微软雅黑" w:eastAsia="方正小标宋简体" w:cs="微软雅黑"/>
          <w:color w:val="000000"/>
          <w:sz w:val="44"/>
          <w:szCs w:val="44"/>
          <w:shd w:val="clear" w:color="auto" w:fill="FFFFFF"/>
        </w:rPr>
      </w:pPr>
      <w:r>
        <w:rPr>
          <w:rFonts w:hint="eastAsia" w:ascii="方正小标宋简体" w:hAnsi="微软雅黑" w:eastAsia="方正小标宋简体" w:cs="微软雅黑"/>
          <w:color w:val="000000"/>
          <w:sz w:val="44"/>
          <w:szCs w:val="44"/>
          <w:shd w:val="clear" w:color="auto" w:fill="FFFFFF"/>
        </w:rPr>
        <w:t>城市管理综合行政执法类听证标准</w:t>
      </w:r>
    </w:p>
    <w:p w14:paraId="62343CF6">
      <w:pPr>
        <w:pStyle w:val="2"/>
        <w:widowControl/>
        <w:numPr>
          <w:ilvl w:val="0"/>
          <w:numId w:val="1"/>
        </w:numPr>
        <w:spacing w:beforeAutospacing="0" w:after="300" w:afterAutospacing="0" w:line="560" w:lineRule="exact"/>
        <w:jc w:val="both"/>
        <w:textAlignment w:val="baseline"/>
        <w:rPr>
          <w:rFonts w:ascii="仿宋" w:hAnsi="仿宋" w:eastAsia="仿宋" w:cs="仿宋"/>
          <w:sz w:val="32"/>
          <w:szCs w:val="32"/>
        </w:rPr>
      </w:pPr>
      <w:r>
        <w:rPr>
          <w:rFonts w:hint="eastAsia" w:ascii="仿宋" w:hAnsi="仿宋" w:eastAsia="仿宋" w:cs="仿宋"/>
          <w:sz w:val="32"/>
          <w:szCs w:val="32"/>
        </w:rPr>
        <w:t>拟吊销营业执照或者许可证件的行政处罚决定；</w:t>
      </w:r>
    </w:p>
    <w:p w14:paraId="0DD0C3A6">
      <w:pPr>
        <w:pStyle w:val="2"/>
        <w:widowControl/>
        <w:numPr>
          <w:ilvl w:val="0"/>
          <w:numId w:val="1"/>
        </w:numPr>
        <w:spacing w:beforeAutospacing="0" w:after="300" w:afterAutospacing="0" w:line="560" w:lineRule="exact"/>
        <w:jc w:val="both"/>
        <w:textAlignment w:val="baseline"/>
        <w:rPr>
          <w:rFonts w:ascii="仿宋" w:hAnsi="仿宋" w:eastAsia="仿宋" w:cs="仿宋"/>
          <w:sz w:val="32"/>
          <w:szCs w:val="32"/>
        </w:rPr>
      </w:pPr>
      <w:r>
        <w:rPr>
          <w:rFonts w:hint="eastAsia" w:ascii="仿宋" w:hAnsi="仿宋" w:eastAsia="仿宋" w:cs="仿宋"/>
          <w:sz w:val="32"/>
          <w:szCs w:val="32"/>
        </w:rPr>
        <w:t>拟责令停产停业的行政处罚决定；</w:t>
      </w:r>
    </w:p>
    <w:p w14:paraId="51EE6DA4">
      <w:pPr>
        <w:pStyle w:val="2"/>
        <w:widowControl/>
        <w:spacing w:beforeAutospacing="0" w:after="300" w:afterAutospacing="0" w:line="560" w:lineRule="exact"/>
        <w:jc w:val="both"/>
        <w:textAlignment w:val="baseline"/>
        <w:rPr>
          <w:rFonts w:ascii="仿宋" w:hAnsi="仿宋" w:eastAsia="仿宋" w:cs="仿宋"/>
          <w:color w:val="auto"/>
          <w:sz w:val="32"/>
          <w:szCs w:val="32"/>
        </w:rPr>
      </w:pPr>
      <w:r>
        <w:rPr>
          <w:rFonts w:hint="eastAsia" w:ascii="仿宋" w:hAnsi="仿宋" w:eastAsia="仿宋" w:cs="仿宋"/>
          <w:sz w:val="32"/>
          <w:szCs w:val="32"/>
        </w:rPr>
        <w:t>　</w:t>
      </w:r>
      <w:r>
        <w:rPr>
          <w:rFonts w:hint="eastAsia" w:ascii="仿宋" w:hAnsi="仿宋" w:eastAsia="仿宋" w:cs="仿宋"/>
          <w:color w:val="FF0000"/>
          <w:sz w:val="32"/>
          <w:szCs w:val="32"/>
        </w:rPr>
        <w:t>　</w:t>
      </w:r>
      <w:r>
        <w:rPr>
          <w:rFonts w:hint="eastAsia" w:ascii="仿宋" w:hAnsi="仿宋" w:eastAsia="仿宋" w:cs="仿宋"/>
          <w:color w:val="auto"/>
          <w:sz w:val="32"/>
          <w:szCs w:val="32"/>
        </w:rPr>
        <w:t>(三) 拟责令关闭的行政处罚决定；（参考北京市城管执法部门重大行政执法决定法制审核目录清单新增的）</w:t>
      </w:r>
    </w:p>
    <w:p w14:paraId="4024634B">
      <w:pPr>
        <w:pStyle w:val="2"/>
        <w:widowControl/>
        <w:spacing w:beforeAutospacing="0" w:after="300" w:afterAutospacing="0" w:line="560" w:lineRule="exact"/>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　　(四) 拟对公民或个体工商户处以超过5000元、对法人或其他组织处以超过5万元的较大数额罚款符合听证条件的行政处罚决定；</w:t>
      </w:r>
    </w:p>
    <w:p w14:paraId="41B8426A">
      <w:pPr>
        <w:pStyle w:val="2"/>
        <w:widowControl/>
        <w:spacing w:beforeAutospacing="0" w:after="300" w:afterAutospacing="0" w:line="560" w:lineRule="exact"/>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　　(五)</w:t>
      </w:r>
      <w:r>
        <w:rPr>
          <w:rFonts w:hint="eastAsia"/>
          <w:color w:val="auto"/>
        </w:rPr>
        <w:t xml:space="preserve"> </w:t>
      </w:r>
      <w:r>
        <w:rPr>
          <w:rFonts w:hint="eastAsia" w:ascii="仿宋" w:hAnsi="仿宋" w:eastAsia="仿宋" w:cs="仿宋"/>
          <w:color w:val="auto"/>
          <w:sz w:val="32"/>
          <w:szCs w:val="32"/>
        </w:rPr>
        <w:t>拟没收较大数额违法所得的行政处罚决定（参照较大数额罚款的额度执行）；</w:t>
      </w:r>
    </w:p>
    <w:p w14:paraId="51CBB0F3">
      <w:pPr>
        <w:pStyle w:val="2"/>
        <w:widowControl/>
        <w:spacing w:beforeAutospacing="0" w:after="300" w:afterAutospacing="0" w:line="560" w:lineRule="exact"/>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　　(六)</w:t>
      </w:r>
      <w:r>
        <w:rPr>
          <w:rFonts w:hint="eastAsia"/>
          <w:color w:val="auto"/>
        </w:rPr>
        <w:t xml:space="preserve"> </w:t>
      </w:r>
      <w:r>
        <w:rPr>
          <w:rFonts w:hint="eastAsia" w:ascii="仿宋" w:hAnsi="仿宋" w:eastAsia="仿宋" w:cs="仿宋"/>
          <w:color w:val="auto"/>
          <w:sz w:val="32"/>
          <w:szCs w:val="32"/>
        </w:rPr>
        <w:t>拟没收无证违法建设的行政处罚决定；</w:t>
      </w:r>
    </w:p>
    <w:p w14:paraId="6FC5B1D4">
      <w:pPr>
        <w:pStyle w:val="2"/>
        <w:widowControl/>
        <w:spacing w:beforeAutospacing="0" w:after="300" w:afterAutospacing="0" w:line="560" w:lineRule="exact"/>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　　(七)</w:t>
      </w:r>
      <w:r>
        <w:rPr>
          <w:rFonts w:hint="eastAsia"/>
          <w:color w:val="auto"/>
        </w:rPr>
        <w:t xml:space="preserve"> </w:t>
      </w:r>
      <w:r>
        <w:rPr>
          <w:rFonts w:hint="eastAsia" w:ascii="仿宋" w:hAnsi="仿宋" w:eastAsia="仿宋" w:cs="仿宋"/>
          <w:color w:val="auto"/>
          <w:sz w:val="32"/>
          <w:szCs w:val="32"/>
        </w:rPr>
        <w:t>法律、法规规定应当进行法制审核的其他行政处罚决定；</w:t>
      </w:r>
    </w:p>
    <w:p w14:paraId="1E5D9D1D">
      <w:pPr>
        <w:pStyle w:val="2"/>
        <w:widowControl/>
        <w:spacing w:beforeAutospacing="0" w:after="300" w:afterAutospacing="0" w:line="560" w:lineRule="exact"/>
        <w:ind w:firstLine="645"/>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(八) 拟对违法建设、户外广告、牌匾标识等作出的拆除决定（在施违法建设除外）；</w:t>
      </w:r>
    </w:p>
    <w:p w14:paraId="0B0CEB2C">
      <w:pPr>
        <w:pStyle w:val="2"/>
        <w:widowControl/>
        <w:spacing w:beforeAutospacing="0" w:after="300" w:afterAutospacing="0" w:line="560" w:lineRule="exact"/>
        <w:ind w:firstLine="645"/>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(九)</w:t>
      </w:r>
      <w:r>
        <w:rPr>
          <w:rFonts w:hint="eastAsia"/>
          <w:color w:val="auto"/>
        </w:rPr>
        <w:t xml:space="preserve"> </w:t>
      </w:r>
      <w:r>
        <w:rPr>
          <w:rFonts w:hint="eastAsia" w:ascii="仿宋" w:hAnsi="仿宋" w:eastAsia="仿宋" w:cs="仿宋"/>
          <w:color w:val="auto"/>
          <w:sz w:val="32"/>
          <w:szCs w:val="32"/>
        </w:rPr>
        <w:t>拟拍卖或变卖当事人合法财物用以抵缴罚款的行政强制执行决定；</w:t>
      </w:r>
    </w:p>
    <w:p w14:paraId="03152FD0">
      <w:pPr>
        <w:pStyle w:val="2"/>
        <w:widowControl/>
        <w:spacing w:beforeAutospacing="0" w:after="300" w:afterAutospacing="0" w:line="560" w:lineRule="exact"/>
        <w:ind w:firstLine="645"/>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(十)</w:t>
      </w:r>
      <w:r>
        <w:rPr>
          <w:rFonts w:hint="eastAsia"/>
          <w:color w:val="auto"/>
        </w:rPr>
        <w:t xml:space="preserve"> </w:t>
      </w:r>
      <w:r>
        <w:rPr>
          <w:rFonts w:hint="eastAsia" w:ascii="仿宋" w:hAnsi="仿宋" w:eastAsia="仿宋" w:cs="仿宋"/>
          <w:color w:val="auto"/>
          <w:sz w:val="32"/>
          <w:szCs w:val="32"/>
        </w:rPr>
        <w:t>涉及重大公共利益的执法决定；</w:t>
      </w:r>
    </w:p>
    <w:p w14:paraId="533AB9AB">
      <w:pPr>
        <w:pStyle w:val="2"/>
        <w:widowControl/>
        <w:spacing w:beforeAutospacing="0" w:after="300" w:afterAutospacing="0" w:line="560" w:lineRule="exact"/>
        <w:ind w:firstLine="480" w:firstLineChars="150"/>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（十一）可能造成重大社会影响或引发社会风险的执法决定；</w:t>
      </w:r>
    </w:p>
    <w:p w14:paraId="139F69A3">
      <w:pPr>
        <w:pStyle w:val="2"/>
        <w:widowControl/>
        <w:spacing w:beforeAutospacing="0" w:after="300" w:afterAutospacing="0" w:line="560" w:lineRule="exact"/>
        <w:ind w:firstLine="640" w:firstLineChars="200"/>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(十二) 直接关系当事人或第三人重大权益的执法决定；</w:t>
      </w:r>
    </w:p>
    <w:p w14:paraId="289F73A6">
      <w:pPr>
        <w:pStyle w:val="2"/>
        <w:widowControl/>
        <w:spacing w:beforeAutospacing="0" w:after="300" w:afterAutospacing="0" w:line="560" w:lineRule="exact"/>
        <w:ind w:firstLine="645"/>
        <w:jc w:val="both"/>
        <w:textAlignment w:val="baseline"/>
        <w:rPr>
          <w:rFonts w:ascii="仿宋" w:hAnsi="仿宋" w:eastAsia="仿宋" w:cs="仿宋"/>
          <w:color w:val="auto"/>
          <w:sz w:val="32"/>
          <w:szCs w:val="32"/>
        </w:rPr>
      </w:pPr>
      <w:r>
        <w:rPr>
          <w:rFonts w:hint="eastAsia" w:ascii="仿宋" w:hAnsi="仿宋" w:eastAsia="仿宋" w:cs="仿宋"/>
          <w:color w:val="auto"/>
          <w:sz w:val="32"/>
          <w:szCs w:val="32"/>
        </w:rPr>
        <w:t>(十三)</w:t>
      </w:r>
      <w:r>
        <w:rPr>
          <w:rFonts w:hint="eastAsia"/>
          <w:color w:val="auto"/>
        </w:rPr>
        <w:t xml:space="preserve"> </w:t>
      </w:r>
      <w:r>
        <w:rPr>
          <w:rFonts w:hint="eastAsia" w:ascii="仿宋" w:hAnsi="仿宋" w:eastAsia="仿宋" w:cs="仿宋"/>
          <w:color w:val="auto"/>
          <w:sz w:val="32"/>
          <w:szCs w:val="32"/>
        </w:rPr>
        <w:t>案件情况疑难复杂、涉及多个法律关系的执法决定；</w:t>
      </w:r>
    </w:p>
    <w:p w14:paraId="6E599DD6">
      <w:pPr>
        <w:pStyle w:val="2"/>
        <w:widowControl/>
        <w:spacing w:beforeAutospacing="0" w:after="300" w:afterAutospacing="0" w:line="560" w:lineRule="exact"/>
        <w:ind w:firstLine="645"/>
        <w:jc w:val="both"/>
        <w:textAlignment w:val="baseline"/>
        <w:rPr>
          <w:rFonts w:ascii="仿宋" w:hAnsi="仿宋" w:eastAsia="仿宋" w:cs="仿宋"/>
          <w:sz w:val="32"/>
          <w:szCs w:val="32"/>
        </w:rPr>
      </w:pPr>
      <w:r>
        <w:rPr>
          <w:rFonts w:hint="eastAsia" w:ascii="仿宋" w:hAnsi="仿宋" w:eastAsia="仿宋" w:cs="仿宋"/>
          <w:sz w:val="32"/>
          <w:szCs w:val="32"/>
        </w:rPr>
        <w:t>(十四)</w:t>
      </w:r>
      <w:r>
        <w:rPr>
          <w:rFonts w:hint="eastAsia"/>
        </w:rPr>
        <w:t xml:space="preserve"> </w:t>
      </w:r>
      <w:r>
        <w:rPr>
          <w:rFonts w:hint="eastAsia" w:ascii="仿宋" w:hAnsi="仿宋" w:eastAsia="仿宋" w:cs="仿宋"/>
          <w:sz w:val="32"/>
          <w:szCs w:val="32"/>
        </w:rPr>
        <w:t>向公安机关移送涉嫌犯罪案件或者向监察机关移送涉嫌职务违法、职务犯罪案件的决定；</w:t>
      </w:r>
    </w:p>
    <w:p w14:paraId="66AA51AA">
      <w:pPr>
        <w:pStyle w:val="2"/>
        <w:widowControl/>
        <w:spacing w:beforeAutospacing="0" w:after="300" w:afterAutospacing="0" w:line="560" w:lineRule="exact"/>
        <w:ind w:firstLine="645"/>
        <w:jc w:val="both"/>
        <w:textAlignment w:val="baseline"/>
        <w:rPr>
          <w:rFonts w:ascii="仿宋" w:hAnsi="仿宋" w:eastAsia="仿宋" w:cs="仿宋"/>
          <w:sz w:val="32"/>
          <w:szCs w:val="32"/>
        </w:rPr>
      </w:pPr>
      <w:r>
        <w:rPr>
          <w:rFonts w:hint="eastAsia" w:ascii="仿宋" w:hAnsi="仿宋" w:eastAsia="仿宋" w:cs="仿宋"/>
          <w:sz w:val="32"/>
          <w:szCs w:val="32"/>
        </w:rPr>
        <w:t>(十五) 街道认为重大的其他行政处罚决定、行政强制决定、需要法制审</w:t>
      </w:r>
      <w:bookmarkStart w:id="0" w:name="_GoBack"/>
      <w:bookmarkEnd w:id="0"/>
      <w:r>
        <w:rPr>
          <w:rFonts w:hint="eastAsia" w:ascii="仿宋" w:hAnsi="仿宋" w:eastAsia="仿宋" w:cs="仿宋"/>
          <w:sz w:val="32"/>
          <w:szCs w:val="32"/>
        </w:rPr>
        <w:t>核的执法决定。</w:t>
      </w:r>
    </w:p>
    <w:p w14:paraId="601AB0AE">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01953"/>
    <w:multiLevelType w:val="multilevel"/>
    <w:tmpl w:val="25001953"/>
    <w:lvl w:ilvl="0" w:tentative="0">
      <w:start w:val="1"/>
      <w:numFmt w:val="japaneseCounting"/>
      <w:lvlText w:val="(%1)"/>
      <w:lvlJc w:val="left"/>
      <w:pPr>
        <w:ind w:left="1440" w:hanging="7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F78E8"/>
    <w:rsid w:val="00141955"/>
    <w:rsid w:val="007641BE"/>
    <w:rsid w:val="00B260F8"/>
    <w:rsid w:val="043F3E68"/>
    <w:rsid w:val="77CF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Words>
  <Characters>67</Characters>
  <Lines>1</Lines>
  <Paragraphs>1</Paragraphs>
  <TotalTime>0</TotalTime>
  <ScaleCrop>false</ScaleCrop>
  <LinksUpToDate>false</LinksUpToDate>
  <CharactersWithSpaces>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2020-05-21T03:08:00Z</dcterms:created>
  <dc:creator>高川</dc:creator>
  <cp:lastModifiedBy>MYQLQ</cp:lastModifiedBy>
  <dcterms:modified xsi:type="dcterms:W3CDTF">2025-04-10T02:17:59Z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eyJoZGlkIjoiZmIyM2E2ZjNhM2RkYzUyMTkyNzc3ZWY0NDhlZmIyODYiLCJ1c2VySWQiOiI0MzQ0MjcwNTQifQ==</vt:lpwstr>
  </property>
  <property fmtid="{D5CDD505-2E9C-101B-9397-08002B2CF9AE}" pid="4" name="ICV">
    <vt:lpwstr>3FEEC84129CB41C3BC996494D5C4A73C_13</vt:lpwstr>
  </property>
</Properties>
</file>