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baseline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 1.法律法规规章：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"https://kw.beijing.gov.cn/zwgk/xzzfgs/jbxx/zfyj/201912/P020240909003227279461.pdf"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《北京市技术市场条例》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 2.行政处罚裁量基准：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"https://www.beijing.gov.cn/zhengce/zhengcefagui/202310/t20231025_3286274.html" \t "https://kw.beijing.gov.cn/zwgk/xzzfgs/jbxx/zfyj/201912/_self"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《北京市科技行政处罚裁量权适用规定》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"https://kw.beijing.gov.cn/zwgk/zcwj/202409/t20240918_3894363.html" \t "https://kw.beijing.gov.cn/zwgk/xzzfgs/jbxx/zfyj/201912/_self"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关于行政处罚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依申请缩短公示期限标准和流程的通知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》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"https://kw.beijing.gov.cn/zwgk/xzzfgs/jbxx/zfyj/201912/P020240909003227327074.pdf" </w:instrTex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3.行政处罚听证标准：吊销许可证或者对公民处以三千元以上的罚款，对法人或者其它组织处以一万元以上的罚款的行政处罚。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  <w:vertAlign w:val="baseline"/>
        </w:rPr>
        <w:t>4.重大行政执法决定法核目录：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"https://kw.beijing.gov.cn/zwgk/xzzfgs/jbxx/zfyj/201912/P020240909003227378655.doc"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重大行政执法决定法核目录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4220"/>
    <w:rsid w:val="09652407"/>
    <w:rsid w:val="6EE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2025-04-01T01:21:00Z</dcterms:created>
  <dc:creator>Administrator</dc:creator>
  <cp:lastModifiedBy>Administrator</cp:lastModifiedBy>
  <dcterms:modified xsi:type="dcterms:W3CDTF">2025-04-02T07:17:41Z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