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atLeast"/>
        <w:jc w:val="center"/>
        <w:rPr>
          <w:rFonts w:ascii="方正小标宋简体" w:eastAsia="方正小标宋简体"/>
          <w:color w:val="FF0000"/>
          <w:spacing w:val="-20"/>
          <w:w w:val="90"/>
          <w:sz w:val="32"/>
          <w:szCs w:val="32"/>
        </w:rPr>
      </w:pPr>
      <w:r>
        <w:rPr>
          <w:rFonts w:ascii="仿宋_GB2312" w:eastAsia="仿宋_GB2312"/>
          <w:sz w:val="32"/>
          <w:szCs w:val="32"/>
        </w:rPr>
        <w:pict>
          <v:line id="_x0000_s1026" o:spid="_x0000_s1026" o:spt="20" style="position:absolute;left:0pt;margin-left:0pt;margin-top:45.1pt;height:0pt;width:442.2pt;z-index:251660288;mso-width-relative:page;mso-height-relative:page;" stroked="t" coordsize="21600,21600" o:gfxdata="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yWt0eNMAAAAGAQAADwAAAAAAAAABACAAAAAiAAAA&#10;ZHJzL2Rvd25yZXYueG1sUEsBAhQAFAAAAAgAh07iQKqwrzTTAQAAlAMAAA4AAAAAAAAAAQAgAAAA&#10;IgEAAGRycy9lMm9Eb2MueG1sUEsFBgAAAAAGAAYAWQEAAGcFAAAAAA==&#10;">
            <v:path arrowok="t"/>
            <v:fill focussize="0,0"/>
            <v:stroke weight="4.5pt" color="#FF0000" linestyle="thickThin"/>
            <v:imagedata o:title=""/>
            <o:lock v:ext="edit"/>
          </v:line>
        </w:pict>
      </w:r>
      <w:r>
        <w:rPr>
          <w:rFonts w:hint="eastAsia" w:ascii="方正小标宋简体" w:eastAsia="方正小标宋简体"/>
          <w:color w:val="FF0000"/>
          <w:spacing w:val="-20"/>
          <w:w w:val="90"/>
          <w:sz w:val="60"/>
          <w:szCs w:val="60"/>
        </w:rPr>
        <w:t>北京市西城区人民政府椿树街道办事处</w:t>
      </w:r>
    </w:p>
    <w:p>
      <w:pPr>
        <w:spacing w:line="560" w:lineRule="exact"/>
        <w:jc w:val="center"/>
        <w:rPr>
          <w:rFonts w:ascii="方正小标宋简体" w:eastAsia="方正小标宋简体"/>
          <w:sz w:val="32"/>
          <w:szCs w:val="44"/>
        </w:rPr>
      </w:pPr>
    </w:p>
    <w:p>
      <w:pPr>
        <w:widowControl/>
        <w:spacing w:after="136" w:line="560" w:lineRule="exact"/>
        <w:jc w:val="center"/>
        <w:rPr>
          <w:rFonts w:hint="eastAsia" w:ascii="方正小标宋简体" w:hAnsi="ˎ̥" w:eastAsia="方正小标宋简体" w:cs="宋体"/>
          <w:kern w:val="0"/>
          <w:sz w:val="44"/>
          <w:szCs w:val="44"/>
        </w:rPr>
      </w:pPr>
      <w:r>
        <w:rPr>
          <w:rFonts w:hint="eastAsia" w:ascii="方正小标宋简体" w:hAnsi="ˎ̥" w:eastAsia="方正小标宋简体" w:cs="宋体"/>
          <w:kern w:val="0"/>
          <w:sz w:val="44"/>
          <w:szCs w:val="44"/>
        </w:rPr>
        <w:t>北京市西城区人民政府椿树街道办事处</w:t>
      </w:r>
    </w:p>
    <w:p>
      <w:pPr>
        <w:widowControl/>
        <w:spacing w:after="136" w:line="560" w:lineRule="exact"/>
        <w:jc w:val="center"/>
        <w:rPr>
          <w:rFonts w:hint="eastAsia" w:ascii="方正小标宋简体" w:hAnsi="ˎ̥" w:eastAsia="方正小标宋简体" w:cs="宋体"/>
          <w:kern w:val="0"/>
          <w:sz w:val="44"/>
          <w:szCs w:val="44"/>
        </w:rPr>
      </w:pPr>
      <w:r>
        <w:rPr>
          <w:rFonts w:hint="eastAsia" w:ascii="方正小标宋简体" w:hAnsi="ˎ̥" w:eastAsia="方正小标宋简体" w:cs="宋体"/>
          <w:kern w:val="0"/>
          <w:sz w:val="44"/>
          <w:szCs w:val="44"/>
        </w:rPr>
        <w:t>2022年法治政府建设年度情况报告</w:t>
      </w:r>
    </w:p>
    <w:p>
      <w:pPr>
        <w:pStyle w:val="3"/>
        <w:ind w:firstLine="0" w:firstLineChars="0"/>
        <w:rPr>
          <w:rFonts w:ascii="仿宋_GB2312" w:hAnsi="仿宋_GB2312" w:cs="仿宋_GB2312"/>
          <w:kern w:val="0"/>
          <w:szCs w:val="32"/>
        </w:rPr>
      </w:pPr>
      <w:r>
        <w:rPr>
          <w:rFonts w:hint="eastAsia" w:ascii="仿宋_GB2312" w:hAnsi="仿宋_GB2312" w:cs="仿宋_GB2312"/>
          <w:kern w:val="0"/>
          <w:szCs w:val="32"/>
        </w:rPr>
        <w:t xml:space="preserve">区委、区政府： </w:t>
      </w:r>
    </w:p>
    <w:p>
      <w:pPr>
        <w:widowControl/>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2022年，</w:t>
      </w:r>
      <w:r>
        <w:rPr>
          <w:rFonts w:hint="eastAsia" w:ascii="仿宋_GB2312" w:hAnsi="仿宋_GB2312" w:eastAsia="仿宋_GB2312" w:cs="仿宋_GB2312"/>
          <w:color w:val="333333"/>
          <w:sz w:val="32"/>
          <w:szCs w:val="32"/>
          <w:shd w:val="clear" w:color="auto" w:fill="FFFFFF"/>
        </w:rPr>
        <w:t>椿树街道在区委区政府的正确领导下，</w:t>
      </w:r>
      <w:r>
        <w:rPr>
          <w:rFonts w:hint="eastAsia" w:ascii="仿宋_GB2312" w:hAnsi="仿宋_GB2312" w:eastAsia="仿宋_GB2312" w:cs="仿宋_GB2312"/>
          <w:sz w:val="32"/>
          <w:szCs w:val="32"/>
        </w:rPr>
        <w:t>坚持以习近平新时代中国特色社会主义思想为指导</w:t>
      </w:r>
      <w:r>
        <w:rPr>
          <w:rFonts w:hint="eastAsia" w:ascii="仿宋_GB2312" w:hAnsi="仿宋_GB2312" w:eastAsia="仿宋_GB2312" w:cs="仿宋_GB2312"/>
          <w:color w:val="333333"/>
          <w:sz w:val="32"/>
          <w:szCs w:val="32"/>
          <w:shd w:val="clear" w:color="auto" w:fill="FFFFFF"/>
        </w:rPr>
        <w:t>，全面贯彻落实党的十九大、二十大精神，深入学习习近平法治思想，增强“四个意识”，坚定“四个自信”，做到“两个维护”，践行“首善示范标准”，坚守“红墙意识”，充分发挥街道在法治西城建设中的基础性作用，全面提升基层治理体系</w:t>
      </w:r>
      <w:r>
        <w:rPr>
          <w:rFonts w:hint="eastAsia" w:ascii="仿宋_GB2312" w:hAnsi="仿宋_GB2312" w:eastAsia="仿宋_GB2312" w:cs="仿宋_GB2312"/>
          <w:sz w:val="32"/>
          <w:szCs w:val="32"/>
        </w:rPr>
        <w:t>和治理能力法治化水平。</w:t>
      </w:r>
      <w:r>
        <w:rPr>
          <w:rFonts w:hint="eastAsia" w:ascii="仿宋_GB2312" w:hAnsi="仿宋_GB2312" w:eastAsia="仿宋_GB2312" w:cs="仿宋_GB2312"/>
          <w:kern w:val="0"/>
          <w:sz w:val="32"/>
          <w:szCs w:val="32"/>
        </w:rPr>
        <w:t>现将2022年法治政府建设工作报告如下：</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一、2022年度推进法治政府建设的主要举措和成效</w:t>
      </w:r>
    </w:p>
    <w:p>
      <w:pPr>
        <w:pStyle w:val="5"/>
        <w:shd w:val="clear" w:color="auto" w:fill="FFFFFF"/>
        <w:spacing w:before="0" w:beforeAutospacing="0" w:after="120" w:afterAutospacing="0" w:line="384" w:lineRule="atLeast"/>
        <w:ind w:firstLine="516"/>
        <w:rPr>
          <w:rFonts w:ascii="楷体_GB2312" w:hAnsi="黑体" w:eastAsia="楷体_GB2312" w:cs="Times New Roman"/>
          <w:color w:val="000000"/>
          <w:kern w:val="2"/>
          <w:sz w:val="32"/>
          <w:szCs w:val="32"/>
        </w:rPr>
      </w:pPr>
      <w:r>
        <w:rPr>
          <w:rFonts w:hint="eastAsia" w:ascii="楷体_GB2312" w:hAnsi="黑体" w:eastAsia="楷体_GB2312" w:cs="Times New Roman"/>
          <w:color w:val="000000"/>
          <w:kern w:val="2"/>
          <w:sz w:val="32"/>
          <w:szCs w:val="32"/>
        </w:rPr>
        <w:t>（一）提高政治站位，依法全面履行政府职能</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1.强化组织领导。认真落实法治政府建设组织保障，严格</w:t>
      </w:r>
      <w:r>
        <w:rPr>
          <w:rFonts w:hint="eastAsia" w:ascii="仿宋_GB2312" w:hAnsi="仿宋_GB2312" w:eastAsia="仿宋_GB2312" w:cs="仿宋_GB2312"/>
          <w:sz w:val="32"/>
          <w:szCs w:val="32"/>
        </w:rPr>
        <w:t>按照街道法治建设工作实施方案</w:t>
      </w:r>
      <w:r>
        <w:rPr>
          <w:rFonts w:hint="eastAsia" w:ascii="仿宋_GB2312" w:hAnsi="仿宋_GB2312" w:eastAsia="仿宋_GB2312" w:cs="仿宋_GB2312"/>
          <w:bCs/>
          <w:sz w:val="32"/>
          <w:szCs w:val="32"/>
        </w:rPr>
        <w:t>，认真执行党政主要负责人推进法治建设第一责任人职责的规定，坚持在街道党工委统一领导下,定期召开专题会议，及时研究解决法治建设中的各类问题，重大问题随时研究解决。创建主要领导负责抓，分管领导具体抓，相关部门、社区配合抓的工作局面，形成一级抓一级，逐级抓落实的层级工作体系，确保法治政府建设各项</w:t>
      </w:r>
      <w:r>
        <w:rPr>
          <w:rFonts w:hint="eastAsia" w:ascii="仿宋_GB2312" w:hAnsi="仿宋_GB2312" w:eastAsia="仿宋_GB2312" w:cs="仿宋_GB2312"/>
          <w:sz w:val="32"/>
          <w:szCs w:val="32"/>
        </w:rPr>
        <w:t>工作落到实处。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强化学法用法。我街道始终坚持用习近平新时代中国特色社会主义思想统领法治建设工作。加强领导干部学法用法制度，坚持和完善党工委中心组学法制度和领导干部集中学法制度，将习近平法治思想、法治政府建设实施纲要、市区法治建设规划等重要理论政策文件纳入理论中心组学习计划，健全并落实领导干部学法制度，确保办公会会前学法每年不少于4次，组织法治讲座不少于2次；积极参加全区组织的依法行政相关培训，全面提高领导干部运用法治思维和法治方式抓改革、谋发展、促稳定的思想自觉和行动自觉，做到学法的计划、内容、时间、人员、效果“五落实”。</w:t>
      </w:r>
    </w:p>
    <w:p>
      <w:pPr>
        <w:spacing w:line="560" w:lineRule="exact"/>
        <w:ind w:firstLine="650"/>
        <w:rPr>
          <w:rFonts w:ascii="仿宋_GB2312" w:hAnsi="仿宋_GB2312" w:eastAsia="仿宋_GB2312" w:cs="仿宋_GB2312"/>
          <w:sz w:val="32"/>
          <w:szCs w:val="32"/>
        </w:rPr>
      </w:pPr>
      <w:r>
        <w:rPr>
          <w:rFonts w:hint="eastAsia" w:ascii="仿宋_GB2312" w:hAnsi="仿宋_GB2312" w:eastAsia="仿宋_GB2312" w:cs="仿宋_GB2312"/>
          <w:sz w:val="32"/>
          <w:szCs w:val="32"/>
        </w:rPr>
        <w:t>3.强化依法决策。建立健全以司法所工作人员为主体、吸收律师参加的街道法律顾问队伍，充分发挥法律顾问在街道进行重大决策、推进依法行政中的积极作用，严格落实合法性审核机制、集体讨论决定制度，确保决策科学、程序正当、过程公开、责任明确。截止目前，司法所审核重大执法案件6起，街道法律顾问参与起草、审核和修改合同、规章制度等事项共计170件。为我街道重大决策、重大民商事行为等经济社会活动提供了法律服务与支持，进一步推进各项行政决策法治化。</w:t>
      </w:r>
    </w:p>
    <w:p>
      <w:pPr>
        <w:pStyle w:val="5"/>
        <w:shd w:val="clear" w:color="auto" w:fill="FFFFFF"/>
        <w:spacing w:before="0" w:beforeAutospacing="0" w:after="0" w:afterAutospacing="0" w:line="432" w:lineRule="atLeast"/>
        <w:ind w:firstLine="420"/>
        <w:rPr>
          <w:rFonts w:ascii="楷体_GB2312" w:hAnsi="黑体" w:eastAsia="楷体_GB2312" w:cs="Times New Roman"/>
          <w:color w:val="000000"/>
          <w:kern w:val="2"/>
          <w:sz w:val="32"/>
          <w:szCs w:val="32"/>
        </w:rPr>
      </w:pPr>
      <w:r>
        <w:rPr>
          <w:rFonts w:hint="eastAsia" w:ascii="楷体_GB2312" w:hAnsi="楷体_GB2312" w:eastAsia="楷体_GB2312" w:cs="楷体_GB2312"/>
          <w:sz w:val="32"/>
          <w:szCs w:val="32"/>
        </w:rPr>
        <w:t>（二）提升街道法治水平，构建科学法治建设体系</w:t>
      </w:r>
    </w:p>
    <w:p>
      <w:pPr>
        <w:spacing w:line="56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1.</w:t>
      </w:r>
      <w:r>
        <w:rPr>
          <w:rFonts w:hint="eastAsia" w:ascii="仿宋_GB2312" w:hAnsi="仿宋_GB2312" w:eastAsia="仿宋_GB2312" w:cs="仿宋_GB2312"/>
          <w:sz w:val="32"/>
          <w:szCs w:val="32"/>
        </w:rPr>
        <w:t>规范权力运行。严格按照政务公开要求开展工作，规范编制政府信息公开目录和公开指南，公开的信息及时到位、格式规范、分类准确。进一步落实行政许可和行政处罚双公示制度，依法规范行政执法流程，按照政府权力清单的要求，公开权力运行过程和结果，进一步强化依法行政，提高政府工作透明度，以政务公开监督权力规范运行，促进政府职能转变。规范公正文明执法，督促街道执法队全面落实行政执法“三项制度”,完善行政执法操作流程,健全行政执法的记录和公示制度,规范行政处罚自由裁量权,实现规范、公正、文明执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维护司法权威。严格按照《中共中央关于全面推进依法治国若干重大问题的决定》中关于“健全行政机关依法出庭应诉、支持法院受理行政案件、尊重并执行法院生效裁判的制度”的要求，充分认识做好行政应诉工作的重要意义，严格依法行政，全面、正确、及时履行法定职责，自觉接受人民法院依照《行政诉讼法》对行政机关依法行使职权的监督，切实做好出庭应诉的各项准备工作，切实发挥政府法律顾问的积极作用，充分听取对有关案件的意见和建议，尊重并自觉履行人民法院生效裁判。截止12月12日，街道共接到行政复议案件2起、行政诉讼案件4起，由行政机关负责人出庭应诉案件4起，出庭应诉率达到100%，未发生行政复议纠错案件和行政诉讼败诉案件。</w:t>
      </w:r>
    </w:p>
    <w:p>
      <w:pPr>
        <w:pStyle w:val="11"/>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3.夯实便民服务。进一步</w:t>
      </w:r>
      <w:r>
        <w:rPr>
          <w:rFonts w:ascii="仿宋_GB2312" w:hAnsi="仿宋_GB2312" w:eastAsia="仿宋_GB2312" w:cs="仿宋_GB2312"/>
          <w:sz w:val="32"/>
          <w:szCs w:val="32"/>
        </w:rPr>
        <w:t>夯实街道层面政务服务体系建设基础，对琉璃厂地区服务站进行功能完善，在宣东地区服务站设置政务服务综窗，按照“六统一”的标准进行落实</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构建“一刻钟政务服务圈”</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 xml:space="preserve"> 推动服务事项向社区延伸，引导群众就近办。将政策性强、专业性强的服务事项融为一体，按照“应进必进”原则100%受理7 个部门的138 项业务，实行“前台综合受理，后台分类审批、综合窗口出件”的“一窗式”服务模式。确保业务受理无缝对接，有效减少办事群众往返奔波。面向基本养老服务对象及80岁以上高龄老年人安装一键呼，安装率达110.41%，数据完整率100%。1至11月，累计接办事群众15879人次，收到锦旗4面、感谢信20封、12345热线电话表扬单2件。</w:t>
      </w:r>
    </w:p>
    <w:p>
      <w:pPr>
        <w:pStyle w:val="5"/>
        <w:shd w:val="clear" w:color="auto" w:fill="FFFFFF"/>
        <w:spacing w:before="0" w:beforeAutospacing="0" w:after="0" w:afterAutospacing="0" w:line="432" w:lineRule="atLeast"/>
        <w:ind w:left="420"/>
        <w:rPr>
          <w:rFonts w:ascii="楷体_GB2312" w:hAnsi="黑体" w:eastAsia="楷体_GB2312" w:cs="Times New Roman"/>
          <w:color w:val="000000"/>
          <w:kern w:val="2"/>
          <w:sz w:val="32"/>
          <w:szCs w:val="32"/>
        </w:rPr>
      </w:pPr>
      <w:r>
        <w:rPr>
          <w:rFonts w:hint="eastAsia" w:ascii="楷体_GB2312" w:hAnsi="黑体" w:eastAsia="楷体_GB2312" w:cs="Times New Roman"/>
          <w:color w:val="000000"/>
          <w:kern w:val="2"/>
          <w:sz w:val="32"/>
          <w:szCs w:val="32"/>
        </w:rPr>
        <w:t>（三）深入推进依法治理，深化共建共治共享治理格局</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kern w:val="0"/>
          <w:sz w:val="32"/>
          <w:szCs w:val="32"/>
        </w:rPr>
        <w:t>持续优化营商环境。</w:t>
      </w:r>
      <w:r>
        <w:rPr>
          <w:rFonts w:hint="eastAsia" w:ascii="仿宋_GB2312" w:hAnsi="仿宋_GB2312" w:eastAsia="仿宋_GB2312" w:cs="仿宋_GB2312"/>
          <w:sz w:val="32"/>
          <w:szCs w:val="32"/>
        </w:rPr>
        <w:t>继续深入推行行政执法检查“双随机、一公开”工作机制，切实做到全量将行政处罚结果信息在政府网站公示，并做到公示前提示告知，充分保障当事人知情权，同时严格核对公示信息，确保信息归集的准确性，并按照市区两级对信用信息归集、公布、使用和修复的规则，统筹指导并推动执法队全量、及时、准确公示适用一般程序的处罚数据，确保行政执法基本信息、动态信息公示主动、及时、准确。</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2.完善基层治理体系。</w:t>
      </w:r>
      <w:r>
        <w:rPr>
          <w:rFonts w:hint="eastAsia" w:ascii="仿宋_GB2312" w:hAnsi="仿宋_GB2312" w:eastAsia="仿宋_GB2312" w:cs="仿宋_GB2312"/>
          <w:sz w:val="32"/>
          <w:szCs w:val="32"/>
        </w:rPr>
        <w:t>结合“我为群众办实事”实践活动，圆满完成8个服务项目。</w:t>
      </w:r>
      <w:r>
        <w:rPr>
          <w:rFonts w:hint="eastAsia" w:ascii="仿宋_GB2312" w:hAnsi="仿宋_GB2312" w:eastAsia="仿宋_GB2312" w:cs="仿宋_GB2312"/>
          <w:color w:val="000000"/>
          <w:sz w:val="32"/>
          <w:szCs w:val="32"/>
        </w:rPr>
        <w:t>巩固拓展“幸福小院”试点成果，</w:t>
      </w:r>
      <w:r>
        <w:rPr>
          <w:rFonts w:hint="eastAsia" w:ascii="仿宋_GB2312" w:hAnsi="仿宋_GB2312" w:eastAsia="仿宋_GB2312" w:cs="仿宋_GB2312"/>
          <w:sz w:val="32"/>
          <w:szCs w:val="32"/>
        </w:rPr>
        <w:t>分别在</w:t>
      </w:r>
      <w:r>
        <w:rPr>
          <w:rFonts w:ascii="仿宋_GB2312" w:hAnsi="仿宋_GB2312" w:eastAsia="仿宋_GB2312" w:cs="仿宋_GB2312"/>
          <w:sz w:val="32"/>
          <w:szCs w:val="32"/>
        </w:rPr>
        <w:t>7个社区开展“居民总动员—椿树街道‘幸福小院’陪您过好年送福到家行动”</w:t>
      </w:r>
      <w:r>
        <w:rPr>
          <w:rFonts w:hint="eastAsia" w:ascii="仿宋_GB2312" w:hAnsi="仿宋_GB2312" w:eastAsia="仿宋_GB2312" w:cs="仿宋_GB2312"/>
          <w:sz w:val="32"/>
          <w:szCs w:val="32"/>
        </w:rPr>
        <w:t>等</w:t>
      </w:r>
      <w:r>
        <w:rPr>
          <w:rFonts w:ascii="仿宋_GB2312" w:hAnsi="仿宋_GB2312" w:eastAsia="仿宋_GB2312" w:cs="仿宋_GB2312"/>
          <w:sz w:val="32"/>
          <w:szCs w:val="32"/>
        </w:rPr>
        <w:t>主题议事活动，累计完成11场次主题议事，在议事协商中充分调动居民的智慧，提升居民的公共意识和参与意识，挖掘和培养出百名社区—院落两级幸福守望者</w:t>
      </w:r>
      <w:r>
        <w:rPr>
          <w:rFonts w:hint="eastAsia" w:ascii="仿宋_GB2312" w:hAnsi="仿宋_GB2312" w:eastAsia="仿宋_GB2312" w:cs="仿宋_GB2312"/>
          <w:sz w:val="32"/>
          <w:szCs w:val="32"/>
        </w:rPr>
        <w:t>。</w:t>
      </w:r>
    </w:p>
    <w:p>
      <w:pPr>
        <w:spacing w:line="560" w:lineRule="exact"/>
        <w:ind w:firstLine="640" w:firstLineChars="200"/>
        <w:rPr>
          <w:rFonts w:ascii="楷体_GB2312" w:hAnsi="黑体" w:eastAsia="楷体_GB2312"/>
          <w:color w:val="000000"/>
          <w:sz w:val="32"/>
          <w:szCs w:val="32"/>
        </w:rPr>
      </w:pPr>
      <w:r>
        <w:rPr>
          <w:rFonts w:hint="eastAsia" w:ascii="楷体_GB2312" w:hAnsi="黑体" w:eastAsia="楷体_GB2312"/>
          <w:color w:val="000000"/>
          <w:sz w:val="32"/>
          <w:szCs w:val="32"/>
        </w:rPr>
        <w:t>(四)依法调处矛盾纠纷,有力维护地区秩序和谐稳定</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1.全方位普法。严格落实“谁执法谁普法”普法责任制，深化落实执法部门普法职责和普法内容。</w:t>
      </w:r>
      <w:r>
        <w:rPr>
          <w:rFonts w:hint="eastAsia" w:ascii="仿宋_GB2312" w:hAnsi="仿宋_GB2312" w:eastAsia="仿宋_GB2312" w:cs="仿宋_GB2312"/>
          <w:color w:val="000000"/>
          <w:kern w:val="0"/>
          <w:sz w:val="32"/>
          <w:szCs w:val="32"/>
        </w:rPr>
        <w:t>全面落实“八五普法规划”，</w:t>
      </w:r>
      <w:r>
        <w:rPr>
          <w:rFonts w:hint="eastAsia" w:ascii="仿宋_GB2312" w:hAnsi="仿宋_GB2312" w:eastAsia="仿宋_GB2312" w:cs="仿宋_GB2312"/>
          <w:sz w:val="32"/>
          <w:szCs w:val="32"/>
        </w:rPr>
        <w:t>加强社区法治宣传教育，</w:t>
      </w:r>
      <w:r>
        <w:rPr>
          <w:rFonts w:hint="eastAsia" w:ascii="仿宋_GB2312" w:hAnsi="仿宋_GB2312" w:eastAsia="仿宋_GB2312" w:cs="仿宋_GB2312"/>
          <w:color w:val="000000"/>
          <w:kern w:val="0"/>
          <w:sz w:val="32"/>
          <w:szCs w:val="32"/>
        </w:rPr>
        <w:t>采用居民微信群、嗨椿树公众号、普法小课堂、现场咨询等形式，</w:t>
      </w:r>
      <w:r>
        <w:rPr>
          <w:rFonts w:hint="eastAsia" w:ascii="仿宋_GB2312" w:hAnsi="仿宋_GB2312" w:eastAsia="仿宋_GB2312" w:cs="仿宋_GB2312"/>
          <w:sz w:val="32"/>
          <w:szCs w:val="32"/>
        </w:rPr>
        <w:t>不断拓展普法途径、平台和载体，</w:t>
      </w:r>
      <w:r>
        <w:rPr>
          <w:rFonts w:hint="eastAsia" w:ascii="仿宋_GB2312" w:hAnsi="仿宋_GB2312" w:eastAsia="仿宋_GB2312" w:cs="仿宋_GB2312"/>
          <w:color w:val="000000"/>
          <w:kern w:val="0"/>
          <w:sz w:val="32"/>
          <w:szCs w:val="32"/>
        </w:rPr>
        <w:t>开展民法典、宪法等各类普法宣传工作，今年以来，</w:t>
      </w:r>
      <w:r>
        <w:rPr>
          <w:rFonts w:hint="eastAsia" w:ascii="仿宋_GB2312" w:hAnsi="仿宋_GB2312" w:eastAsia="仿宋_GB2312" w:cs="仿宋_GB2312"/>
          <w:sz w:val="32"/>
          <w:szCs w:val="32"/>
        </w:rPr>
        <w:t>开展了国家安全日、《残疾人保障法》、《义务教育法》、《未成年人保护法》、《预防未成年人犯罪法》、《民法典》《保障农民工工资支付条例》等14次法治宣传工作，开展法治文艺汇演走基层活动1次。</w:t>
      </w:r>
    </w:p>
    <w:p>
      <w:pPr>
        <w:pStyle w:val="11"/>
        <w:ind w:firstLine="640"/>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2.多角度讲法。</w:t>
      </w:r>
      <w:r>
        <w:rPr>
          <w:rFonts w:hint="eastAsia" w:ascii="仿宋_GB2312" w:hAnsi="仿宋_GB2312" w:eastAsia="仿宋_GB2312" w:cs="仿宋_GB2312"/>
          <w:sz w:val="32"/>
          <w:szCs w:val="32"/>
        </w:rPr>
        <w:t>积极推进公共法律服务工作站的建设，在司法所设立公共法律服务中心,在7个社区分别设立公共法律服务站,保障街道和7个社区都配有专业法律顾问,定期组织社区居民开展法律知识讲座，免费提供法律咨询，</w:t>
      </w:r>
      <w:r>
        <w:rPr>
          <w:rFonts w:hint="eastAsia" w:ascii="仿宋_GB2312" w:hAnsi="仿宋_GB2312" w:eastAsia="仿宋_GB2312" w:cs="仿宋_GB2312"/>
          <w:bCs/>
          <w:color w:val="000000"/>
          <w:sz w:val="32"/>
          <w:szCs w:val="32"/>
        </w:rPr>
        <w:t>不断营造辖区居民依法理性维权、多渠道化解的良好氛围。全年</w:t>
      </w:r>
      <w:r>
        <w:rPr>
          <w:rFonts w:hint="eastAsia" w:ascii="仿宋_GB2312" w:hAnsi="仿宋_GB2312" w:eastAsia="仿宋_GB2312" w:cs="仿宋_GB2312"/>
          <w:sz w:val="32"/>
          <w:szCs w:val="32"/>
        </w:rPr>
        <w:t>通过街道及各社区公共法律服务站、聘请社区法律顾问、社区法律顾问直播间、线上法治讲座等多项措施为辖区居民提供“法援惠民生 助力农民工”、维护妇女合法权益、维护残疾人合法权益、关爱未成年人等6次公共法律服务专项维权活动。为辖区居民开展免费法律咨询126人次。</w:t>
      </w:r>
    </w:p>
    <w:p>
      <w:pPr>
        <w:pStyle w:val="11"/>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3.强化矛盾化解。以受理12345政府热线为载体，建立完善案件回访、受理申诉、接待群众举报、来信来访制度。变被动受理为主动处理，</w:t>
      </w:r>
      <w:r>
        <w:rPr>
          <w:rFonts w:hint="eastAsia" w:ascii="仿宋_GB2312" w:hAnsi="仿宋_GB2312" w:eastAsia="仿宋_GB2312" w:cs="仿宋_GB2312"/>
          <w:color w:val="000000"/>
          <w:sz w:val="32"/>
          <w:szCs w:val="32"/>
        </w:rPr>
        <w:t>落实领导干部“在岗接访、主动约访、带案下访”制度，全年接访21件、90余人次。定期召开矛盾排查调处会，评估社会风险，把矛盾化解在萌芽状态。</w:t>
      </w:r>
      <w:r>
        <w:rPr>
          <w:rFonts w:hint="eastAsia" w:ascii="仿宋_GB2312" w:hAnsi="仿宋_GB2312" w:eastAsia="仿宋_GB2312" w:cs="仿宋_GB2312"/>
          <w:sz w:val="32"/>
          <w:szCs w:val="32"/>
        </w:rPr>
        <w:t>截止目前，人民调解口头调解案件52件，化解纠纷47件。</w:t>
      </w:r>
      <w:r>
        <w:rPr>
          <w:rFonts w:hint="eastAsia" w:ascii="仿宋_GB2312" w:hAnsi="仿宋_GB2312" w:eastAsia="仿宋_GB2312" w:cs="仿宋_GB2312"/>
          <w:bCs/>
          <w:color w:val="000000"/>
          <w:sz w:val="32"/>
          <w:szCs w:val="32"/>
        </w:rPr>
        <w:t>在人民调解的基础上</w:t>
      </w:r>
      <w:r>
        <w:rPr>
          <w:rFonts w:hint="eastAsia" w:ascii="仿宋_GB2312" w:hAnsi="仿宋_GB2312" w:eastAsia="仿宋_GB2312" w:cs="仿宋_GB2312"/>
          <w:sz w:val="32"/>
          <w:szCs w:val="32"/>
        </w:rPr>
        <w:t>与派出所成立联合调解室，实现派出所与司法所资源共享、信息互通、业务协同、工作互补，今年以来，</w:t>
      </w:r>
      <w:r>
        <w:rPr>
          <w:rFonts w:hint="eastAsia" w:ascii="仿宋_GB2312" w:hAnsi="仿宋_GB2312" w:eastAsia="仿宋_GB2312" w:cs="仿宋_GB2312"/>
          <w:bCs/>
          <w:color w:val="000000"/>
          <w:sz w:val="32"/>
          <w:szCs w:val="32"/>
        </w:rPr>
        <w:t>行政调解调处案件30件</w:t>
      </w:r>
      <w:r>
        <w:rPr>
          <w:rFonts w:hint="eastAsia" w:ascii="仿宋_GB2312" w:hAnsi="仿宋_GB2312" w:eastAsia="仿宋_GB2312" w:cs="仿宋_GB2312"/>
          <w:sz w:val="32"/>
          <w:szCs w:val="32"/>
        </w:rPr>
        <w:t>。</w:t>
      </w:r>
    </w:p>
    <w:p>
      <w:pPr>
        <w:tabs>
          <w:tab w:val="left" w:pos="2160"/>
        </w:tabs>
        <w:autoSpaceDE w:val="0"/>
        <w:autoSpaceDN w:val="0"/>
        <w:adjustRightInd w:val="0"/>
        <w:spacing w:line="520" w:lineRule="exact"/>
        <w:ind w:firstLine="640" w:firstLineChars="200"/>
        <w:rPr>
          <w:rFonts w:ascii="仿宋_GB2312" w:hAnsi="仿宋_GB2312" w:cs="仿宋_GB2312"/>
          <w:szCs w:val="32"/>
        </w:rPr>
      </w:pPr>
      <w:r>
        <w:rPr>
          <w:rFonts w:hint="eastAsia" w:ascii="仿宋_GB2312" w:hAnsi="仿宋_GB2312" w:eastAsia="仿宋_GB2312" w:cs="仿宋_GB2312"/>
          <w:sz w:val="32"/>
          <w:szCs w:val="32"/>
        </w:rPr>
        <w:t>4.强化重点维稳。在落实安置帮教工作方面，辖区内</w:t>
      </w:r>
      <w:r>
        <w:rPr>
          <w:rFonts w:hint="eastAsia" w:ascii="仿宋_GB2312" w:hAnsi="仿宋_GB2312" w:eastAsia="仿宋_GB2312" w:cs="仿宋_GB2312"/>
          <w:sz w:val="32"/>
          <w:szCs w:val="32"/>
          <w:lang w:val="zh-CN"/>
        </w:rPr>
        <w:t>在册刑释解教人员</w:t>
      </w:r>
      <w:r>
        <w:rPr>
          <w:rFonts w:hint="eastAsia" w:ascii="仿宋_GB2312" w:hAnsi="仿宋_GB2312" w:eastAsia="仿宋_GB2312" w:cs="仿宋_GB2312"/>
          <w:sz w:val="32"/>
          <w:szCs w:val="32"/>
        </w:rPr>
        <w:t>50</w:t>
      </w:r>
      <w:r>
        <w:rPr>
          <w:rFonts w:hint="eastAsia" w:ascii="仿宋_GB2312" w:hAnsi="仿宋_GB2312" w:eastAsia="仿宋_GB2312" w:cs="仿宋_GB2312"/>
          <w:sz w:val="32"/>
          <w:szCs w:val="32"/>
          <w:lang w:val="zh-CN"/>
        </w:rPr>
        <w:t>名，</w:t>
      </w:r>
      <w:r>
        <w:rPr>
          <w:rFonts w:hint="eastAsia" w:ascii="仿宋_GB2312" w:hAnsi="仿宋_GB2312" w:eastAsia="仿宋_GB2312" w:cs="仿宋_GB2312"/>
          <w:sz w:val="32"/>
          <w:szCs w:val="32"/>
        </w:rPr>
        <w:t>均进行定期走访，对每一位帮教对象都留存帮教记录，定期进行跟踪了解情况，全面掌握帮教人员的工作、生活、思想动态，全年共接待上门来访和社区走访70人次，监狱视频会见2人次，未发生脱管、漏管、重特大刑事案件或影响社会稳定事件。在社区矫正工作方面，辖区内现有社区服刑人员5人。坚持对每名社区服刑人员实行一人一档，形成了一套完整、规范的基础性台账和日常监管台帐。同时注意在工作中进行管理创新，在重要会议、节日等重要时间节点，要求矫正对象签订保证书，督促其自觉遵守国家的法律法规，确保地区社会秩序的和谐稳定。</w:t>
      </w:r>
    </w:p>
    <w:p>
      <w:pPr>
        <w:pStyle w:val="3"/>
        <w:spacing w:line="580" w:lineRule="exact"/>
        <w:ind w:firstLine="640"/>
        <w:rPr>
          <w:rFonts w:hint="eastAsia" w:ascii="仿宋_GB2312" w:hAnsi="仿宋_GB2312" w:cs="仿宋_GB2312"/>
          <w:color w:val="000000"/>
          <w:szCs w:val="32"/>
          <w:lang w:val="en-US"/>
        </w:rPr>
      </w:pPr>
      <w:r>
        <w:rPr>
          <w:rFonts w:hint="eastAsia" w:ascii="仿宋_GB2312" w:hAnsi="仿宋_GB2312" w:cs="仿宋_GB2312"/>
          <w:szCs w:val="32"/>
          <w:lang w:val="en-US"/>
        </w:rPr>
        <w:t>5.</w:t>
      </w:r>
      <w:r>
        <w:rPr>
          <w:rFonts w:hint="eastAsia" w:ascii="仿宋_GB2312" w:hAnsi="仿宋_GB2312" w:cs="仿宋_GB2312"/>
          <w:szCs w:val="32"/>
        </w:rPr>
        <w:t>强化疫情控序。</w:t>
      </w:r>
      <w:r>
        <w:rPr>
          <w:rFonts w:hint="eastAsia" w:ascii="仿宋_GB2312" w:hAnsi="仿宋_GB2312" w:cs="仿宋_GB2312"/>
          <w:szCs w:val="32"/>
          <w:lang w:val="en-US"/>
        </w:rPr>
        <w:t>严格落实“科学精准有效”的社区防控要求，按照“统一指挥、密切配合、快速处置、协调作战”的工作方法，形成由机关干部、社区干部、志愿者、环卫、物业、居民等组成的疫情防控统一战线。圆满完成了5月、6月大规模核酸检测任务、椿树园疫情突发管控任务以及今冬疫情防控工作，为辖区抗疫提交了一份满意的答卷。</w:t>
      </w:r>
      <w:r>
        <w:rPr>
          <w:rFonts w:hint="eastAsia" w:ascii="仿宋_GB2312" w:hAnsi="仿宋_GB2312" w:cs="仿宋_GB2312"/>
          <w:color w:val="000000"/>
          <w:szCs w:val="32"/>
          <w:lang w:val="en-US"/>
        </w:rPr>
        <w:t>　　</w:t>
      </w:r>
    </w:p>
    <w:p>
      <w:pPr>
        <w:pStyle w:val="3"/>
        <w:spacing w:line="580" w:lineRule="exact"/>
        <w:ind w:firstLine="640"/>
        <w:rPr>
          <w:rFonts w:ascii="黑体" w:hAnsi="黑体" w:eastAsia="黑体" w:cs="黑体"/>
          <w:color w:val="000000"/>
          <w:szCs w:val="32"/>
        </w:rPr>
      </w:pPr>
      <w:r>
        <w:rPr>
          <w:rFonts w:hint="eastAsia" w:ascii="黑体" w:hAnsi="黑体" w:eastAsia="黑体" w:cs="黑体"/>
          <w:color w:val="000000"/>
          <w:szCs w:val="32"/>
          <w:lang w:val="en-US"/>
        </w:rPr>
        <w:t>二、2022年度推进法治政府建设存在的不足和原因</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2022年度,我街道在推进法治建设工作中虽然取得了一定成效,但与区委、区政府的要求还有一定差距,主要表现在:</w:t>
      </w:r>
    </w:p>
    <w:p>
      <w:pPr>
        <w:spacing w:line="560" w:lineRule="exact"/>
        <w:ind w:firstLine="640" w:firstLineChars="200"/>
        <w:rPr>
          <w:rFonts w:hint="eastAsia" w:ascii="楷体_GB2312" w:hAnsi="黑体" w:eastAsia="楷体_GB2312"/>
          <w:color w:val="000000"/>
          <w:sz w:val="32"/>
          <w:szCs w:val="32"/>
        </w:rPr>
      </w:pPr>
      <w:r>
        <w:rPr>
          <w:rFonts w:hint="eastAsia" w:ascii="楷体_GB2312" w:hAnsi="黑体" w:eastAsia="楷体_GB2312"/>
          <w:color w:val="000000"/>
          <w:sz w:val="32"/>
          <w:szCs w:val="32"/>
        </w:rPr>
        <w:t>（一）街道法治建设力量需要进一步加强</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目前，街道法治建设人员队伍整体法律素养和专业化建设存在短板，需要进一步补充专业化法律人才，并持续加强对现有人员法治专业化素养的培养和提高。</w:t>
      </w:r>
    </w:p>
    <w:p>
      <w:pPr>
        <w:spacing w:line="560" w:lineRule="exact"/>
        <w:ind w:firstLine="640" w:firstLineChars="200"/>
        <w:rPr>
          <w:rFonts w:ascii="楷体_GB2312" w:hAnsi="黑体" w:eastAsia="楷体_GB2312"/>
          <w:color w:val="000000"/>
          <w:sz w:val="32"/>
          <w:szCs w:val="32"/>
        </w:rPr>
      </w:pPr>
      <w:r>
        <w:rPr>
          <w:rFonts w:hint="eastAsia" w:ascii="楷体_GB2312" w:hAnsi="黑体" w:eastAsia="楷体_GB2312"/>
          <w:color w:val="000000"/>
          <w:sz w:val="32"/>
          <w:szCs w:val="32"/>
        </w:rPr>
        <w:t>（二）执法人员执法素质还需进一步提高</w:t>
      </w:r>
    </w:p>
    <w:p>
      <w:pPr>
        <w:spacing w:line="520" w:lineRule="exact"/>
        <w:ind w:right="-340" w:rightChars="-162" w:firstLine="640" w:firstLineChars="200"/>
        <w:rPr>
          <w:rFonts w:ascii="仿宋_GB2312" w:eastAsia="仿宋_GB2312"/>
          <w:color w:val="000000"/>
          <w:sz w:val="32"/>
          <w:szCs w:val="32"/>
        </w:rPr>
      </w:pPr>
      <w:r>
        <w:rPr>
          <w:rFonts w:hint="eastAsia" w:ascii="仿宋_GB2312" w:hAnsi="仿宋_GB2312" w:eastAsia="仿宋_GB2312" w:cs="仿宋_GB2312"/>
          <w:sz w:val="32"/>
          <w:szCs w:val="32"/>
        </w:rPr>
        <w:t>执法人员依法行政的观念、能力与水平有待进一步提升,法治培训针对性和实效性还需加强，执法人员运用法治思维、法治手段解决经济社会发展中不断出现的复杂疑难问题的能力有待提升。</w:t>
      </w:r>
    </w:p>
    <w:p>
      <w:pPr>
        <w:spacing w:line="560" w:lineRule="exact"/>
        <w:ind w:firstLine="640" w:firstLineChars="200"/>
        <w:rPr>
          <w:rFonts w:ascii="楷体_GB2312" w:hAnsi="黑体" w:eastAsia="楷体_GB2312"/>
          <w:color w:val="000000"/>
          <w:sz w:val="32"/>
          <w:szCs w:val="32"/>
        </w:rPr>
      </w:pPr>
      <w:r>
        <w:rPr>
          <w:rFonts w:hint="eastAsia" w:ascii="楷体_GB2312" w:hAnsi="黑体" w:eastAsia="楷体_GB2312"/>
          <w:color w:val="000000"/>
          <w:sz w:val="32"/>
          <w:szCs w:val="32"/>
        </w:rPr>
        <w:t>（三）法治文化活动有待进一步创新</w:t>
      </w:r>
    </w:p>
    <w:p>
      <w:pPr>
        <w:spacing w:line="5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受疫情影响，法治文化活动开展略显不足，法治文化建设有待进一步加强，需加大法治文化载体，法治文化形式的创新。</w:t>
      </w:r>
    </w:p>
    <w:p>
      <w:pPr>
        <w:rPr>
          <w:rFonts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三、党政主要负责人履行推进法治建设第一责任人职责、加强法治政府建设的有关情况</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街道党工委、办事处主要负责人,认真落实《党政主要负责人履行推进法治建设第一责任人职责规定》，在推进法治政府建设中积极履职，以上率下，有效推动各项责任落实、工作落地。</w:t>
      </w:r>
    </w:p>
    <w:p>
      <w:pPr>
        <w:ind w:left="-220"/>
        <w:rPr>
          <w:rFonts w:ascii="仿宋_GB2312" w:hAnsi="仿宋_GB2312" w:eastAsia="仿宋_GB2312" w:cs="仿宋_GB2312"/>
          <w:sz w:val="32"/>
          <w:szCs w:val="32"/>
        </w:rPr>
      </w:pPr>
      <w:r>
        <w:rPr>
          <w:rFonts w:hint="eastAsia" w:ascii="楷体_GB2312" w:hAnsi="黑体" w:eastAsia="楷体_GB2312"/>
          <w:color w:val="000000"/>
          <w:sz w:val="32"/>
          <w:szCs w:val="32"/>
        </w:rPr>
        <w:t xml:space="preserve">     （一）加强组织领导，切实发挥街道党(工)委在推进街道法治建设中的领导核心作用。</w:t>
      </w:r>
      <w:r>
        <w:rPr>
          <w:rFonts w:hint="eastAsia" w:ascii="仿宋_GB2312" w:hAnsi="仿宋_GB2312" w:eastAsia="仿宋_GB2312" w:cs="仿宋_GB2312"/>
          <w:sz w:val="32"/>
          <w:szCs w:val="32"/>
        </w:rPr>
        <w:t>街道主要负责人高度重视法治建设工作，把法治建设纳入了街道发展总体规划和年度工作计划,始终将推进法治建设与街道中心工作同研究、同部署。</w:t>
      </w:r>
      <w:r>
        <w:rPr>
          <w:rFonts w:hint="eastAsia" w:ascii="仿宋_GB2312" w:hAnsi="仿宋_GB2312" w:eastAsia="仿宋_GB2312" w:cs="仿宋_GB2312"/>
          <w:color w:val="333333"/>
          <w:sz w:val="32"/>
          <w:szCs w:val="32"/>
        </w:rPr>
        <w:t>结合我单位党政主要负责人职责特点，制订完善党政主要负责人履行推进法治建设第一责任人职责清单。</w:t>
      </w:r>
      <w:r>
        <w:rPr>
          <w:rFonts w:hint="eastAsia" w:ascii="仿宋_GB2312" w:hAnsi="仿宋_GB2312" w:eastAsia="仿宋_GB2312" w:cs="仿宋_GB2312"/>
          <w:sz w:val="32"/>
          <w:szCs w:val="32"/>
        </w:rPr>
        <w:t>加强对党员干部的教育管理，不断强化全体干部依法行政意识，真正把推进法治建设第一责任人所列职责履行好、落实好,切实把街道各项工作纳入法治化轨道。</w:t>
      </w:r>
    </w:p>
    <w:p>
      <w:pPr>
        <w:rPr>
          <w:rFonts w:ascii="仿宋_GB2312" w:hAnsi="仿宋_GB2312" w:eastAsia="仿宋_GB2312" w:cs="仿宋_GB2312"/>
          <w:sz w:val="32"/>
          <w:szCs w:val="32"/>
        </w:rPr>
      </w:pPr>
      <w:r>
        <w:rPr>
          <w:rFonts w:hint="eastAsia" w:ascii="楷体_GB2312" w:hAnsi="黑体" w:eastAsia="楷体_GB2312"/>
          <w:color w:val="000000"/>
          <w:sz w:val="32"/>
          <w:szCs w:val="32"/>
        </w:rPr>
        <w:t xml:space="preserve">  （二）带头学法，模范用法，落实法治工作责任。</w:t>
      </w:r>
      <w:r>
        <w:rPr>
          <w:rFonts w:hint="eastAsia" w:ascii="仿宋_GB2312" w:hAnsi="仿宋_GB2312" w:eastAsia="仿宋_GB2312" w:cs="仿宋_GB2312"/>
          <w:sz w:val="32"/>
          <w:szCs w:val="32"/>
        </w:rPr>
        <w:t>2022年以来，街道党政主要负责人严格落实中央、市、区关于推进法治建设的有关要求，始终坚持用习近平新时代中国特色社会主义思想统领法治建设工作。街道主要负责人坚持以上率下，带头尊法学法守法用法，狠抓会前学法工作，切实提高了广大领导干部依法行政工作能力和法治化工作水平；严格履行法治建设第一责任人的职责，充分发挥党委统揽全局、协调各方的作用,督促领导班子其他成员和科室及社区主要负责人依法办事，全体机关党员干部法治观念显著提升。</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四、下一年度推进法治政府建设的主要安排</w:t>
      </w:r>
    </w:p>
    <w:p>
      <w:pPr>
        <w:ind w:firstLine="640" w:firstLineChars="200"/>
        <w:rPr>
          <w:rFonts w:ascii="仿宋_GB2312" w:hAnsi="仿宋_GB2312" w:eastAsia="仿宋_GB2312" w:cs="仿宋_GB2312"/>
          <w:sz w:val="32"/>
          <w:szCs w:val="32"/>
        </w:rPr>
      </w:pPr>
      <w:r>
        <w:rPr>
          <w:rFonts w:hint="eastAsia" w:ascii="楷体_GB2312" w:hAnsi="黑体" w:eastAsia="楷体_GB2312"/>
          <w:color w:val="000000"/>
          <w:sz w:val="32"/>
          <w:szCs w:val="32"/>
        </w:rPr>
        <w:t>（一）在科学民主决策上下功夫。</w:t>
      </w:r>
      <w:r>
        <w:rPr>
          <w:rFonts w:hint="eastAsia" w:ascii="仿宋_GB2312" w:hAnsi="仿宋_GB2312" w:eastAsia="仿宋_GB2312" w:cs="仿宋_GB2312"/>
          <w:sz w:val="32"/>
          <w:szCs w:val="32"/>
        </w:rPr>
        <w:t>严格按照法律规定行使权力，按照议事规则研究决策，做到“法无授权不可为、法定职责必须为”，确保行政权力在阳光下运行。</w:t>
      </w:r>
      <w:r>
        <w:rPr>
          <w:rFonts w:hint="eastAsia" w:ascii="楷体_GB2312" w:hAnsi="黑体" w:eastAsia="楷体_GB2312"/>
          <w:color w:val="000000"/>
          <w:sz w:val="32"/>
          <w:szCs w:val="32"/>
        </w:rPr>
        <w:t>（二）在行政执法监督上下功夫。</w:t>
      </w:r>
      <w:r>
        <w:rPr>
          <w:rFonts w:hint="eastAsia" w:ascii="仿宋_GB2312" w:hAnsi="仿宋_GB2312" w:eastAsia="仿宋_GB2312" w:cs="仿宋_GB2312"/>
          <w:sz w:val="32"/>
          <w:szCs w:val="32"/>
        </w:rPr>
        <w:t>进一步落实行政执法三项制度,规范行政执法过程及记录归档,加强对行政执法队的监督与指导,规范行政执法案卷的记录和归档,提高适用法条的准确性,提升案件办结率。进一步严格执行法制审核制度，切实把牢“法制关口”。</w:t>
      </w:r>
      <w:r>
        <w:rPr>
          <w:rFonts w:hint="eastAsia" w:ascii="楷体_GB2312" w:hAnsi="黑体" w:eastAsia="楷体_GB2312"/>
          <w:color w:val="000000"/>
          <w:sz w:val="32"/>
          <w:szCs w:val="32"/>
        </w:rPr>
        <w:t>（三）在构建“大调解”机制上下功夫。</w:t>
      </w:r>
      <w:r>
        <w:rPr>
          <w:rFonts w:hint="eastAsia" w:ascii="仿宋_GB2312" w:hAnsi="仿宋_GB2312" w:eastAsia="仿宋_GB2312" w:cs="仿宋_GB2312"/>
          <w:sz w:val="32"/>
          <w:szCs w:val="32"/>
        </w:rPr>
        <w:t>强化党建引领，充分发挥法治联盟的作用，以公共法律服务体系建设为抓手，深化横向联合调解，统筹司法、公安、信访</w:t>
      </w:r>
      <w:bookmarkStart w:id="0" w:name="_GoBack"/>
      <w:bookmarkEnd w:id="0"/>
      <w:r>
        <w:rPr>
          <w:rFonts w:hint="eastAsia" w:ascii="仿宋_GB2312" w:hAnsi="仿宋_GB2312" w:eastAsia="仿宋_GB2312" w:cs="仿宋_GB2312"/>
          <w:sz w:val="32"/>
          <w:szCs w:val="32"/>
        </w:rPr>
        <w:t>等多部门建立多元化纠纷解决机制，探索从源头上及时高效化解各类矛盾纠纷。</w:t>
      </w:r>
      <w:r>
        <w:rPr>
          <w:rFonts w:hint="eastAsia" w:ascii="楷体_GB2312" w:hAnsi="黑体" w:eastAsia="楷体_GB2312"/>
          <w:color w:val="000000"/>
          <w:sz w:val="32"/>
          <w:szCs w:val="32"/>
        </w:rPr>
        <w:t>（四）在树牢法治观念上下功夫。</w:t>
      </w:r>
      <w:r>
        <w:rPr>
          <w:rFonts w:hint="eastAsia" w:ascii="仿宋_GB2312" w:hAnsi="仿宋_GB2312" w:eastAsia="仿宋_GB2312" w:cs="仿宋_GB2312"/>
          <w:sz w:val="32"/>
          <w:szCs w:val="32"/>
        </w:rPr>
        <w:t>通过示范创建提升普法宣传的多样性，将普法宣传教育渗透到执法全过程，利用以案说法、以案普法、以案学法等方式普及法律常识，以文明执法力促深度普法，以广泛普法力促文明执法，做到文明执法与广泛普法实施推进同步、效果提升同步。</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五、其他需要报告的情况</w:t>
      </w:r>
    </w:p>
    <w:p>
      <w:pPr>
        <w:pStyle w:val="3"/>
        <w:ind w:firstLine="640"/>
        <w:rPr>
          <w:rFonts w:ascii="仿宋_GB2312" w:hAnsi="仿宋_GB2312" w:cs="仿宋_GB2312"/>
          <w:szCs w:val="32"/>
          <w:lang w:val="en-US"/>
        </w:rPr>
      </w:pPr>
      <w:r>
        <w:rPr>
          <w:rFonts w:hint="eastAsia" w:ascii="仿宋_GB2312" w:hAnsi="仿宋_GB2312" w:cs="仿宋_GB2312"/>
          <w:szCs w:val="32"/>
          <w:lang w:val="en-US"/>
        </w:rPr>
        <w:t>无。</w:t>
      </w:r>
    </w:p>
    <w:p>
      <w:pPr>
        <w:pStyle w:val="3"/>
        <w:ind w:firstLine="640"/>
        <w:rPr>
          <w:rFonts w:ascii="仿宋_GB2312" w:hAnsi="仿宋_GB2312" w:cs="仿宋_GB2312"/>
          <w:szCs w:val="32"/>
          <w:lang w:val="en-US"/>
        </w:rPr>
      </w:pPr>
    </w:p>
    <w:p>
      <w:pPr>
        <w:pStyle w:val="5"/>
        <w:shd w:val="clear" w:color="auto" w:fill="FFFFFF"/>
        <w:spacing w:before="0" w:beforeAutospacing="0" w:after="0" w:afterAutospacing="0" w:line="432" w:lineRule="atLeast"/>
        <w:ind w:left="420"/>
        <w:rPr>
          <w:rFonts w:ascii="楷体_GB2312" w:hAnsi="黑体" w:eastAsia="楷体_GB2312" w:cs="Times New Roman"/>
          <w:color w:val="000000"/>
          <w:kern w:val="2"/>
          <w:sz w:val="32"/>
          <w:szCs w:val="32"/>
        </w:rPr>
      </w:pPr>
    </w:p>
    <w:p>
      <w:pPr>
        <w:pStyle w:val="10"/>
        <w:widowControl/>
        <w:spacing w:before="136" w:line="560" w:lineRule="exact"/>
        <w:ind w:firstLine="64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特此报告。</w:t>
      </w:r>
    </w:p>
    <w:p>
      <w:pPr>
        <w:pStyle w:val="2"/>
        <w:rPr>
          <w:rFonts w:hint="eastAsia" w:ascii="仿宋_GB2312" w:hAnsi="ˎ̥" w:eastAsia="仿宋_GB2312" w:cs="宋体"/>
          <w:sz w:val="32"/>
          <w:szCs w:val="32"/>
        </w:rPr>
      </w:pPr>
    </w:p>
    <w:p>
      <w:pPr>
        <w:spacing w:line="560" w:lineRule="exact"/>
        <w:jc w:val="right"/>
        <w:rPr>
          <w:rFonts w:hint="eastAsia" w:ascii="仿宋_GB2312" w:hAnsi="ˎ̥" w:eastAsia="仿宋_GB2312" w:cs="宋体"/>
          <w:sz w:val="32"/>
          <w:szCs w:val="32"/>
        </w:rPr>
      </w:pPr>
      <w:r>
        <w:rPr>
          <w:rFonts w:hint="eastAsia" w:ascii="仿宋_GB2312" w:hAnsi="ˎ̥" w:eastAsia="仿宋_GB2312" w:cs="宋体"/>
          <w:sz w:val="32"/>
          <w:szCs w:val="32"/>
        </w:rPr>
        <w:t>北京市西城区人民政府椿树街道办事处</w:t>
      </w:r>
    </w:p>
    <w:p>
      <w:pPr>
        <w:wordWrap w:val="0"/>
        <w:spacing w:line="560" w:lineRule="exact"/>
        <w:jc w:val="right"/>
        <w:rPr>
          <w:rFonts w:hint="eastAsia" w:ascii="仿宋_GB2312" w:hAnsi="ˎ̥" w:eastAsia="仿宋_GB2312" w:cs="宋体"/>
          <w:sz w:val="32"/>
          <w:szCs w:val="32"/>
        </w:rPr>
      </w:pPr>
      <w:r>
        <w:rPr>
          <w:rFonts w:hint="eastAsia" w:ascii="仿宋_GB2312" w:hAnsi="ˎ̥" w:eastAsia="仿宋_GB2312" w:cs="宋体"/>
          <w:sz w:val="32"/>
          <w:szCs w:val="32"/>
        </w:rPr>
        <w:t xml:space="preserve">2022年12月15日        </w:t>
      </w:r>
    </w:p>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210" w:rightChars="100"/>
    </w:pPr>
    <w:r>
      <w:pict>
        <v:shape id="_x0000_s2049" o:spid="_x0000_s2049"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path/>
          <v:fill on="f" focussize="0,0"/>
          <v:stroke on="f" weight="0.5pt" joinstyle="miter"/>
          <v:imagedata o:title=""/>
          <o:lock v:ext="edit"/>
          <v:textbox inset="0mm,0mm,0mm,0mm" style="mso-fit-shape-to-text:t;">
            <w:txbxContent>
              <w:p>
                <w:pPr>
                  <w:pStyle w:val="4"/>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- 9 -</w:t>
                </w:r>
                <w:r>
                  <w:rPr>
                    <w:rFonts w:hint="eastAsia" w:asciiTheme="minorEastAsia" w:hAnsiTheme="minorEastAsia" w:eastAsiaTheme="minorEastAsia" w:cstheme="minorEastAsia"/>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47A7F"/>
    <w:rsid w:val="00173466"/>
    <w:rsid w:val="002213D4"/>
    <w:rsid w:val="00481F7F"/>
    <w:rsid w:val="004F410A"/>
    <w:rsid w:val="005C7F22"/>
    <w:rsid w:val="007E6143"/>
    <w:rsid w:val="00826D06"/>
    <w:rsid w:val="00934A8D"/>
    <w:rsid w:val="00BD1AFE"/>
    <w:rsid w:val="00C66EF0"/>
    <w:rsid w:val="00D47A7F"/>
    <w:rsid w:val="00E06523"/>
    <w:rsid w:val="00F60CDC"/>
    <w:rsid w:val="1D044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840" w:leftChars="400"/>
    </w:pPr>
  </w:style>
  <w:style w:type="paragraph" w:styleId="3">
    <w:name w:val="Plain Text"/>
    <w:basedOn w:val="1"/>
    <w:link w:val="8"/>
    <w:qFormat/>
    <w:uiPriority w:val="0"/>
    <w:pPr>
      <w:overflowPunct w:val="0"/>
      <w:spacing w:line="560" w:lineRule="exact"/>
      <w:ind w:firstLine="880" w:firstLineChars="200"/>
    </w:pPr>
    <w:rPr>
      <w:rFonts w:ascii="宋体" w:hAnsi="宋体" w:eastAsia="仿宋_GB2312"/>
      <w:sz w:val="32"/>
      <w:szCs w:val="20"/>
      <w:lang w:val="zh-CN"/>
    </w:rPr>
  </w:style>
  <w:style w:type="paragraph" w:styleId="4">
    <w:name w:val="footer"/>
    <w:basedOn w:val="1"/>
    <w:link w:val="9"/>
    <w:qFormat/>
    <w:uiPriority w:val="99"/>
    <w:pPr>
      <w:tabs>
        <w:tab w:val="center" w:pos="4153"/>
        <w:tab w:val="right" w:pos="8306"/>
      </w:tabs>
      <w:snapToGrid w:val="0"/>
      <w:jc w:val="left"/>
    </w:pPr>
    <w:rPr>
      <w:sz w:val="18"/>
      <w:szCs w:val="18"/>
    </w:rPr>
  </w:style>
  <w:style w:type="paragraph" w:styleId="5">
    <w:name w:val="Normal (Web)"/>
    <w:basedOn w:val="1"/>
    <w:uiPriority w:val="99"/>
    <w:pPr>
      <w:widowControl/>
      <w:spacing w:before="100" w:beforeAutospacing="1" w:after="100" w:afterAutospacing="1"/>
      <w:jc w:val="left"/>
    </w:pPr>
    <w:rPr>
      <w:rFonts w:ascii="宋体" w:hAnsi="宋体" w:cs="宋体"/>
      <w:kern w:val="0"/>
      <w:sz w:val="24"/>
    </w:rPr>
  </w:style>
  <w:style w:type="character" w:customStyle="1" w:styleId="8">
    <w:name w:val="纯文本 Char"/>
    <w:basedOn w:val="7"/>
    <w:link w:val="3"/>
    <w:uiPriority w:val="0"/>
    <w:rPr>
      <w:rFonts w:ascii="宋体" w:hAnsi="宋体" w:eastAsia="仿宋_GB2312" w:cs="Times New Roman"/>
      <w:sz w:val="32"/>
      <w:szCs w:val="20"/>
      <w:lang w:val="zh-CN"/>
    </w:rPr>
  </w:style>
  <w:style w:type="character" w:customStyle="1" w:styleId="9">
    <w:name w:val="页脚 Char"/>
    <w:basedOn w:val="7"/>
    <w:link w:val="4"/>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paragraph" w:customStyle="1" w:styleId="11">
    <w:name w:val="Normal Indent1"/>
    <w:qFormat/>
    <w:uiPriority w:val="99"/>
    <w:pPr>
      <w:widowControl w:val="0"/>
      <w:ind w:firstLine="420" w:firstLineChars="20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724</Words>
  <Characters>4129</Characters>
  <Lines>34</Lines>
  <Paragraphs>9</Paragraphs>
  <TotalTime>43</TotalTime>
  <ScaleCrop>false</ScaleCrop>
  <LinksUpToDate>false</LinksUpToDate>
  <CharactersWithSpaces>4844</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2022-12-16T06:40:00Z</dcterms:created>
  <dc:creator>user</dc:creator>
  <cp:lastModifiedBy>王伟</cp:lastModifiedBy>
  <dcterms:modified xsi:type="dcterms:W3CDTF">2025-04-28T06:53:13Z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