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jc w:val="center"/>
        <w:rPr>
          <w:rFonts w:ascii="微软雅黑" w:hAnsi="微软雅黑" w:eastAsia="微软雅黑"/>
          <w:color w:val="404040"/>
          <w:sz w:val="44"/>
          <w:szCs w:val="44"/>
        </w:rPr>
      </w:pPr>
      <w:r>
        <w:rPr>
          <w:rFonts w:hint="eastAsia" w:ascii="方正小标宋简体" w:hAnsi="微软雅黑" w:eastAsia="方正小标宋简体"/>
          <w:color w:val="404040"/>
          <w:sz w:val="44"/>
          <w:szCs w:val="44"/>
          <w:lang w:eastAsia="zh-CN"/>
        </w:rPr>
        <w:t>北京市西</w:t>
      </w:r>
      <w:r>
        <w:rPr>
          <w:rFonts w:hint="eastAsia" w:ascii="方正小标宋简体" w:hAnsi="微软雅黑" w:eastAsia="方正小标宋简体"/>
          <w:color w:val="404040"/>
          <w:sz w:val="44"/>
          <w:szCs w:val="44"/>
        </w:rPr>
        <w:t>城区档案局行政职权运行责任清单</w:t>
      </w:r>
    </w:p>
    <w:p>
      <w:pPr>
        <w:pStyle w:val="2"/>
        <w:shd w:val="clear" w:color="auto" w:fill="FFFFFF"/>
        <w:spacing w:before="0" w:beforeAutospacing="0" w:after="0" w:afterAutospacing="0" w:line="600" w:lineRule="exact"/>
        <w:jc w:val="center"/>
        <w:rPr>
          <w:rFonts w:hint="eastAsia" w:ascii="仿宋_GB2312" w:hAnsi="微软雅黑" w:eastAsia="仿宋_GB2312"/>
          <w:color w:val="404040"/>
          <w:sz w:val="32"/>
          <w:szCs w:val="32"/>
        </w:rPr>
      </w:pPr>
      <w:r>
        <w:rPr>
          <w:rFonts w:hint="eastAsia" w:ascii="仿宋_GB2312" w:hAnsi="微软雅黑" w:eastAsia="仿宋_GB2312"/>
          <w:color w:val="404040"/>
          <w:sz w:val="32"/>
          <w:szCs w:val="32"/>
        </w:rPr>
        <w:t>（</w:t>
      </w:r>
      <w:r>
        <w:rPr>
          <w:rFonts w:hint="eastAsia" w:ascii="仿宋_GB2312" w:hAnsi="微软雅黑" w:eastAsia="仿宋_GB2312"/>
          <w:color w:val="000000"/>
          <w:sz w:val="32"/>
          <w:szCs w:val="32"/>
        </w:rPr>
        <w:t>通用责任清单</w:t>
      </w:r>
      <w:r>
        <w:rPr>
          <w:rFonts w:hint="eastAsia" w:ascii="仿宋_GB2312" w:hAnsi="微软雅黑" w:eastAsia="仿宋_GB2312"/>
          <w:color w:val="404040"/>
          <w:sz w:val="32"/>
          <w:szCs w:val="32"/>
        </w:rPr>
        <w:t>）</w:t>
      </w:r>
    </w:p>
    <w:p>
      <w:pPr>
        <w:spacing w:before="156" w:beforeLines="50" w:after="156" w:afterLines="50" w:line="600" w:lineRule="exact"/>
        <w:ind w:firstLine="640" w:firstLineChars="200"/>
        <w:rPr>
          <w:rFonts w:hint="eastAsia" w:ascii="黑体" w:hAnsi="黑体" w:eastAsia="黑体"/>
          <w:color w:val="282828"/>
          <w:sz w:val="32"/>
          <w:szCs w:val="32"/>
          <w:shd w:val="clear" w:color="auto" w:fill="FFFFFF"/>
        </w:rPr>
      </w:pPr>
      <w:r>
        <w:rPr>
          <w:rFonts w:ascii="黑体" w:hAnsi="黑体" w:eastAsia="黑体"/>
          <w:color w:val="282828"/>
          <w:sz w:val="32"/>
          <w:szCs w:val="32"/>
          <w:shd w:val="clear" w:color="auto" w:fill="FFFFFF"/>
        </w:rPr>
        <w:t>一、行政许可类行政职权运行通用责</w:t>
      </w:r>
      <w:bookmarkStart w:id="0" w:name="_GoBack"/>
      <w:bookmarkEnd w:id="0"/>
      <w:r>
        <w:rPr>
          <w:rFonts w:ascii="黑体" w:hAnsi="黑体" w:eastAsia="黑体"/>
          <w:color w:val="282828"/>
          <w:sz w:val="32"/>
          <w:szCs w:val="32"/>
          <w:shd w:val="clear" w:color="auto" w:fill="FFFFFF"/>
        </w:rPr>
        <w:t>任</w:t>
      </w:r>
    </w:p>
    <w:tbl>
      <w:tblPr>
        <w:tblStyle w:val="3"/>
        <w:tblW w:w="8350" w:type="dxa"/>
        <w:jc w:val="center"/>
        <w:shd w:val="clear" w:color="auto" w:fill="FFFFFF"/>
        <w:tblLayout w:type="autofit"/>
        <w:tblCellMar>
          <w:top w:w="15" w:type="dxa"/>
          <w:left w:w="15" w:type="dxa"/>
          <w:bottom w:w="15" w:type="dxa"/>
          <w:right w:w="15" w:type="dxa"/>
        </w:tblCellMar>
      </w:tblPr>
      <w:tblGrid>
        <w:gridCol w:w="1134"/>
        <w:gridCol w:w="1688"/>
        <w:gridCol w:w="5528"/>
      </w:tblGrid>
      <w:tr>
        <w:tblPrEx>
          <w:shd w:val="clear" w:color="auto" w:fill="FFFFFF"/>
          <w:tblCellMar>
            <w:top w:w="15" w:type="dxa"/>
            <w:left w:w="15" w:type="dxa"/>
            <w:bottom w:w="15" w:type="dxa"/>
            <w:right w:w="15" w:type="dxa"/>
          </w:tblCellMar>
        </w:tblPrEx>
        <w:trPr>
          <w:trHeight w:val="704" w:hRule="atLeast"/>
          <w:jc w:val="center"/>
        </w:trPr>
        <w:tc>
          <w:tcPr>
            <w:tcW w:w="1134" w:type="dxa"/>
            <w:tcBorders>
              <w:top w:val="inset"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404040"/>
                <w:kern w:val="0"/>
                <w:szCs w:val="21"/>
              </w:rPr>
            </w:pPr>
            <w:r>
              <w:rPr>
                <w:rFonts w:hint="eastAsia" w:ascii="黑体" w:hAnsi="黑体" w:eastAsia="黑体" w:cs="宋体"/>
                <w:color w:val="282828"/>
                <w:kern w:val="0"/>
                <w:szCs w:val="21"/>
              </w:rPr>
              <w:t>序号</w:t>
            </w:r>
          </w:p>
        </w:tc>
        <w:tc>
          <w:tcPr>
            <w:tcW w:w="1688"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404040"/>
                <w:kern w:val="0"/>
                <w:szCs w:val="21"/>
              </w:rPr>
            </w:pPr>
            <w:r>
              <w:rPr>
                <w:rFonts w:hint="eastAsia" w:ascii="黑体" w:hAnsi="黑体" w:eastAsia="黑体" w:cs="宋体"/>
                <w:color w:val="282828"/>
                <w:kern w:val="0"/>
                <w:szCs w:val="21"/>
              </w:rPr>
              <w:t>运行环节</w:t>
            </w:r>
          </w:p>
        </w:tc>
        <w:tc>
          <w:tcPr>
            <w:tcW w:w="5528"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404040"/>
                <w:kern w:val="0"/>
                <w:szCs w:val="21"/>
              </w:rPr>
            </w:pPr>
            <w:r>
              <w:rPr>
                <w:rFonts w:hint="eastAsia" w:ascii="黑体" w:hAnsi="黑体" w:eastAsia="黑体" w:cs="宋体"/>
                <w:color w:val="282828"/>
                <w:kern w:val="0"/>
                <w:szCs w:val="21"/>
              </w:rPr>
              <w:t>责任事项</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w:t>
            </w:r>
          </w:p>
        </w:tc>
        <w:tc>
          <w:tcPr>
            <w:tcW w:w="1688"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（一）受理</w:t>
            </w: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接收申请人提交的材料。若申请人提交的申请材料不齐全、不符合法定形式，应当一次性告知申请人必须补正的全部内容。</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2</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受理或者不予受理行政许可申请，应当出具加盖行政机关专用印章和注明日期的书面凭证。</w:t>
            </w:r>
          </w:p>
        </w:tc>
      </w:tr>
      <w:tr>
        <w:tblPrEx>
          <w:shd w:val="clear" w:color="auto" w:fill="FFFFFF"/>
          <w:tblCellMar>
            <w:top w:w="15" w:type="dxa"/>
            <w:left w:w="15" w:type="dxa"/>
            <w:bottom w:w="15" w:type="dxa"/>
            <w:right w:w="15" w:type="dxa"/>
          </w:tblCellMar>
        </w:tblPrEx>
        <w:trPr>
          <w:trHeight w:val="615" w:hRule="atLeast"/>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3</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依法说明不受理行政许可申请或者不予行政许可的理由。</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4</w:t>
            </w:r>
          </w:p>
        </w:tc>
        <w:tc>
          <w:tcPr>
            <w:tcW w:w="1688"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（二）审查</w:t>
            </w: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申请人提交的申请材料齐全、符合法定形式，能够当场作出决定的，当场作出书面的行政许可决定。</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5</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根据法定条件和程序，需要对申请材料的实质内容进行核实的，行政机关应当指派</w:t>
            </w:r>
            <w:r>
              <w:rPr>
                <w:rFonts w:hint="eastAsia" w:ascii="仿宋_GB2312" w:hAnsi="Calibri" w:eastAsia="仿宋_GB2312" w:cs="宋体"/>
                <w:color w:val="282828"/>
                <w:kern w:val="0"/>
                <w:szCs w:val="21"/>
              </w:rPr>
              <w:t>2</w:t>
            </w:r>
            <w:r>
              <w:rPr>
                <w:rFonts w:hint="eastAsia" w:ascii="仿宋_GB2312" w:hAnsi="宋体" w:eastAsia="仿宋_GB2312" w:cs="宋体"/>
                <w:color w:val="282828"/>
                <w:kern w:val="0"/>
                <w:szCs w:val="21"/>
              </w:rPr>
              <w:t>名以上工作人员进行核查。</w:t>
            </w:r>
          </w:p>
        </w:tc>
      </w:tr>
      <w:tr>
        <w:tblPrEx>
          <w:shd w:val="clear" w:color="auto" w:fill="FFFFFF"/>
          <w:tblCellMar>
            <w:top w:w="15" w:type="dxa"/>
            <w:left w:w="15" w:type="dxa"/>
            <w:bottom w:w="15" w:type="dxa"/>
            <w:right w:w="15" w:type="dxa"/>
          </w:tblCellMar>
        </w:tblPrEx>
        <w:trPr>
          <w:trHeight w:val="578" w:hRule="atLeast"/>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6</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需依法举行听证的应当依法举行听证。</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7</w:t>
            </w:r>
          </w:p>
        </w:tc>
        <w:tc>
          <w:tcPr>
            <w:tcW w:w="1688" w:type="dxa"/>
            <w:vMerge w:val="restart"/>
            <w:tcBorders>
              <w:top w:val="nil"/>
              <w:left w:val="nil"/>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（三）决定</w:t>
            </w: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对符合法定条件的申请人应当在法定职权范围和期限内尽快作出准予行政许可的决定。</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8</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依法根据招标、拍卖结果或者考试成绩择优作出准予行政许可的决定。</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9</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依法作出不予行政许可的书面决定的，应当说明理由，并告知申请人享有依法申请行政复议或者提起行政诉讼的权利。</w:t>
            </w:r>
          </w:p>
        </w:tc>
      </w:tr>
      <w:tr>
        <w:tblPrEx>
          <w:shd w:val="clear" w:color="auto" w:fill="FFFFFF"/>
          <w:tblCellMar>
            <w:top w:w="15" w:type="dxa"/>
            <w:left w:w="15" w:type="dxa"/>
            <w:bottom w:w="15" w:type="dxa"/>
            <w:right w:w="15" w:type="dxa"/>
          </w:tblCellMar>
        </w:tblPrEx>
        <w:trPr>
          <w:trHeight w:val="607" w:hRule="atLeast"/>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10</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按法定项目和标准予以收费。</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11</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作出的准予行政许可决定，应当予以公开，公众有权查阅。</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12</w:t>
            </w:r>
          </w:p>
        </w:tc>
        <w:tc>
          <w:tcPr>
            <w:tcW w:w="1688" w:type="dxa"/>
            <w:vMerge w:val="restart"/>
            <w:tcBorders>
              <w:top w:val="nil"/>
              <w:left w:val="nil"/>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（四）送达</w:t>
            </w: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送达行政执法文书应当有送达回证，受送达人在送达回证上的签收日期为送达日期。</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13</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送达程序参照民事诉讼法有关规定执行。</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14</w:t>
            </w:r>
          </w:p>
        </w:tc>
        <w:tc>
          <w:tcPr>
            <w:tcW w:w="1688"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（五）事后监管</w:t>
            </w: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建立健全监督制度，通过核查反映被许可人从事行政许可事项活动情况的有关材料，履行监督责任。</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15</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建立随机抽查制度，对被许可人生产经营的产品依法进行抽样检查、检验、检测，对其生产经营场所依法进行实地检查。</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16</w:t>
            </w:r>
          </w:p>
        </w:tc>
        <w:tc>
          <w:tcPr>
            <w:tcW w:w="1688"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根据法律、行政法规的规定，对直接关系公共安全、人身健康、生命财产安全的重要设备、设施进行定期检验。</w:t>
            </w:r>
          </w:p>
        </w:tc>
      </w:tr>
      <w:tr>
        <w:tblPrEx>
          <w:shd w:val="clear" w:color="auto" w:fill="FFFFFF"/>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17</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实施监督检查时，应当将监督检查的情况和处理结果予以记录，由监督检查人员签字后归档。公众有权查阅监督检查记录。</w:t>
            </w:r>
          </w:p>
        </w:tc>
      </w:tr>
      <w:tr>
        <w:tblPrEx>
          <w:tblCellMar>
            <w:top w:w="15" w:type="dxa"/>
            <w:left w:w="15" w:type="dxa"/>
            <w:bottom w:w="15" w:type="dxa"/>
            <w:right w:w="15" w:type="dxa"/>
          </w:tblCellMar>
        </w:tblPrEx>
        <w:trPr>
          <w:jc w:val="center"/>
        </w:trPr>
        <w:tc>
          <w:tcPr>
            <w:tcW w:w="1134"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18</w:t>
            </w:r>
          </w:p>
        </w:tc>
        <w:tc>
          <w:tcPr>
            <w:tcW w:w="1688"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center"/>
              <w:rPr>
                <w:rFonts w:hint="eastAsia" w:ascii="仿宋_GB2312" w:hAnsi="微软雅黑" w:eastAsia="仿宋_GB2312" w:cs="宋体"/>
                <w:color w:val="404040"/>
                <w:kern w:val="0"/>
                <w:szCs w:val="21"/>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实施监督检查，不得妨碍被许可人正常的生产经营活动，不得索取或收受被许可人的财物，不得谋取其他利益。</w:t>
            </w:r>
          </w:p>
        </w:tc>
      </w:tr>
    </w:tbl>
    <w:p>
      <w:pPr>
        <w:spacing w:before="312" w:beforeLines="100" w:after="156" w:afterLines="50" w:line="600" w:lineRule="exact"/>
        <w:ind w:firstLine="640" w:firstLineChars="200"/>
        <w:rPr>
          <w:rFonts w:hint="eastAsia" w:ascii="黑体" w:hAnsi="黑体" w:eastAsia="黑体"/>
          <w:color w:val="282828"/>
          <w:sz w:val="32"/>
          <w:szCs w:val="32"/>
          <w:shd w:val="clear" w:color="auto" w:fill="FFFFFF"/>
        </w:rPr>
      </w:pPr>
      <w:r>
        <w:rPr>
          <w:rFonts w:ascii="黑体" w:hAnsi="黑体" w:eastAsia="黑体"/>
          <w:color w:val="282828"/>
          <w:sz w:val="32"/>
          <w:szCs w:val="32"/>
          <w:shd w:val="clear" w:color="auto" w:fill="FFFFFF"/>
        </w:rPr>
        <w:t>二、行政处罚类行政职权运行通用责任清单</w:t>
      </w:r>
    </w:p>
    <w:tbl>
      <w:tblPr>
        <w:tblStyle w:val="3"/>
        <w:tblW w:w="8346" w:type="dxa"/>
        <w:jc w:val="center"/>
        <w:shd w:val="clear" w:color="auto" w:fill="FFFFFF"/>
        <w:tblLayout w:type="autofit"/>
        <w:tblCellMar>
          <w:top w:w="15" w:type="dxa"/>
          <w:left w:w="15" w:type="dxa"/>
          <w:bottom w:w="15" w:type="dxa"/>
          <w:right w:w="15" w:type="dxa"/>
        </w:tblCellMar>
      </w:tblPr>
      <w:tblGrid>
        <w:gridCol w:w="1049"/>
        <w:gridCol w:w="1821"/>
        <w:gridCol w:w="5476"/>
      </w:tblGrid>
      <w:tr>
        <w:tblPrEx>
          <w:shd w:val="clear" w:color="auto" w:fill="FFFFFF"/>
          <w:tblCellMar>
            <w:top w:w="15" w:type="dxa"/>
            <w:left w:w="15" w:type="dxa"/>
            <w:bottom w:w="15" w:type="dxa"/>
            <w:right w:w="15" w:type="dxa"/>
          </w:tblCellMar>
        </w:tblPrEx>
        <w:trPr>
          <w:trHeight w:val="753" w:hRule="atLeast"/>
          <w:jc w:val="center"/>
        </w:trPr>
        <w:tc>
          <w:tcPr>
            <w:tcW w:w="1049" w:type="dxa"/>
            <w:tcBorders>
              <w:top w:val="inset"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序号</w:t>
            </w:r>
          </w:p>
        </w:tc>
        <w:tc>
          <w:tcPr>
            <w:tcW w:w="1821"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运行环节</w:t>
            </w:r>
          </w:p>
        </w:tc>
        <w:tc>
          <w:tcPr>
            <w:tcW w:w="5476"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责任事项</w:t>
            </w:r>
          </w:p>
        </w:tc>
      </w:tr>
      <w:tr>
        <w:tblPrEx>
          <w:shd w:val="clear" w:color="auto" w:fill="FFFFFF"/>
          <w:tblCellMar>
            <w:top w:w="15" w:type="dxa"/>
            <w:left w:w="15" w:type="dxa"/>
            <w:bottom w:w="15" w:type="dxa"/>
            <w:right w:w="15" w:type="dxa"/>
          </w:tblCellMar>
        </w:tblPrEx>
        <w:trPr>
          <w:trHeight w:val="679"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w:t>
            </w:r>
          </w:p>
        </w:tc>
        <w:tc>
          <w:tcPr>
            <w:tcW w:w="182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（一）立案</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对符合立案条件的案件及时立案。</w:t>
            </w:r>
          </w:p>
        </w:tc>
      </w:tr>
      <w:tr>
        <w:tblPrEx>
          <w:shd w:val="clear" w:color="auto" w:fill="FFFFFF"/>
          <w:tblCellMar>
            <w:top w:w="15" w:type="dxa"/>
            <w:left w:w="15" w:type="dxa"/>
            <w:bottom w:w="15" w:type="dxa"/>
            <w:right w:w="15" w:type="dxa"/>
          </w:tblCellMar>
        </w:tblPrEx>
        <w:trPr>
          <w:trHeight w:val="687"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2</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（二）调查</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出示执法身份证件，表明执法身份。</w:t>
            </w:r>
          </w:p>
        </w:tc>
      </w:tr>
      <w:tr>
        <w:tblPrEx>
          <w:shd w:val="clear" w:color="auto" w:fill="FFFFFF"/>
          <w:tblCellMar>
            <w:top w:w="15" w:type="dxa"/>
            <w:left w:w="15" w:type="dxa"/>
            <w:bottom w:w="15" w:type="dxa"/>
            <w:right w:w="15" w:type="dxa"/>
          </w:tblCellMar>
        </w:tblPrEx>
        <w:trPr>
          <w:trHeight w:val="558"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3</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 </w:t>
            </w:r>
            <w:r>
              <w:rPr>
                <w:rFonts w:hint="eastAsia" w:ascii="仿宋_GB2312" w:hAnsi="宋体" w:eastAsia="仿宋_GB2312" w:cs="宋体"/>
                <w:color w:val="282828"/>
                <w:kern w:val="0"/>
                <w:szCs w:val="21"/>
              </w:rPr>
              <w:t>应当有</w:t>
            </w:r>
            <w:r>
              <w:rPr>
                <w:rFonts w:hint="eastAsia" w:ascii="仿宋_GB2312" w:hAnsi="Calibri" w:eastAsia="仿宋_GB2312" w:cs="宋体"/>
                <w:color w:val="282828"/>
                <w:kern w:val="0"/>
                <w:szCs w:val="21"/>
              </w:rPr>
              <w:t>2</w:t>
            </w:r>
            <w:r>
              <w:rPr>
                <w:rFonts w:hint="eastAsia" w:ascii="仿宋_GB2312" w:hAnsi="宋体" w:eastAsia="仿宋_GB2312" w:cs="宋体"/>
                <w:color w:val="282828"/>
                <w:kern w:val="0"/>
                <w:szCs w:val="21"/>
              </w:rPr>
              <w:t>名以上（含</w:t>
            </w:r>
            <w:r>
              <w:rPr>
                <w:rFonts w:hint="eastAsia" w:ascii="仿宋_GB2312" w:hAnsi="Calibri" w:eastAsia="仿宋_GB2312" w:cs="宋体"/>
                <w:color w:val="282828"/>
                <w:kern w:val="0"/>
                <w:szCs w:val="21"/>
              </w:rPr>
              <w:t>2</w:t>
            </w:r>
            <w:r>
              <w:rPr>
                <w:rFonts w:hint="eastAsia" w:ascii="仿宋_GB2312" w:hAnsi="宋体" w:eastAsia="仿宋_GB2312" w:cs="宋体"/>
                <w:color w:val="282828"/>
                <w:kern w:val="0"/>
                <w:szCs w:val="21"/>
              </w:rPr>
              <w:t>名）行政执法人员共同参加调查取证。</w:t>
            </w:r>
          </w:p>
        </w:tc>
      </w:tr>
      <w:tr>
        <w:tblPrEx>
          <w:shd w:val="clear" w:color="auto" w:fill="FFFFFF"/>
          <w:tblCellMar>
            <w:top w:w="15" w:type="dxa"/>
            <w:left w:w="15" w:type="dxa"/>
            <w:bottom w:w="15" w:type="dxa"/>
            <w:right w:w="15" w:type="dxa"/>
          </w:tblCellMar>
        </w:tblPrEx>
        <w:trPr>
          <w:trHeight w:val="524"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4</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依法调查和保存证据。</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5</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适用简易程序的，当场制作行政处罚决定书并当场交付，在事后难以执行及特殊情况下应当当场收缴罚款。</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6</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适用简易程序的，执法人员当场作出的行政处罚决定应当报所属行政机关备案。</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7</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（三）审查</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审理案件调查报告，对案件违法事实、证据、调查取证程序、法律适用、处罚种类和幅度、当事人陈述和申辩理由等方面进行审查，提出处理意见（主要证据不足时，以适当的方式补充调查）。</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8</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构成犯罪的，移送司法机关依法追究刑事责任。</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9</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（四）告知</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在作出行政处罚前，应告知当事人作出行政处罚决定的事实、理由及依据，并告知当事人依法享有的权利。</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10</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依法告知当事人有举行听证的权利，当事人要求听证的，应当依法组织听证。</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11</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（五）决定</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充分听取当事人的意见，对当事人提出的事实、理由和证据，应当进行复核；当事人提出的事实、理由或者证据成立的，应当采纳，不得因当事人申辩而加重处罚。</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12</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对情节复杂或者重大违法行为给予较重的行政处罚，应当集体讨论决定。</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13</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依法决定给予行政处罚，制作行政处罚决定书，并在处罚决定书中告知对处罚决定不服的可以依法申请行政复议或者提起行政诉讼。</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14</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对当事人的同一个违法行为，不得给予两次以上罚款的行政处罚。</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15</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实施行政处罚时，应当责令当事人改正或者限期改正违法行为。</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16</w:t>
            </w:r>
          </w:p>
        </w:tc>
        <w:tc>
          <w:tcPr>
            <w:tcW w:w="182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（六）送达</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行政处罚决定书应当在宣告后当场交付当事人；当事人不在场的，行政机关应当在</w:t>
            </w:r>
            <w:r>
              <w:rPr>
                <w:rFonts w:hint="eastAsia" w:ascii="仿宋_GB2312" w:hAnsi="Calibri" w:eastAsia="仿宋_GB2312" w:cs="宋体"/>
                <w:color w:val="282828"/>
                <w:kern w:val="0"/>
                <w:szCs w:val="21"/>
              </w:rPr>
              <w:t>7</w:t>
            </w:r>
            <w:r>
              <w:rPr>
                <w:rFonts w:hint="eastAsia" w:ascii="仿宋_GB2312" w:hAnsi="宋体" w:eastAsia="仿宋_GB2312" w:cs="宋体"/>
                <w:color w:val="282828"/>
                <w:kern w:val="0"/>
                <w:szCs w:val="21"/>
              </w:rPr>
              <w:t>日内依照民事诉讼法的有关规定，将行政处罚决定书送达当事人。</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17</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（七）执行</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使用法定部门制发的罚款、没收财物单据进行罚款、没收财物等处罚。</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18</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对当事人的同一个违法行为，不得给予两次以上罚款的行政处罚。</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19</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实施行政处罚时，应当责令当事人改正或者限期改正违法行为。</w:t>
            </w:r>
          </w:p>
        </w:tc>
      </w:tr>
    </w:tbl>
    <w:p>
      <w:pPr>
        <w:spacing w:before="312" w:beforeLines="100" w:after="156" w:afterLines="50" w:line="600" w:lineRule="exact"/>
        <w:rPr>
          <w:rFonts w:hint="eastAsia" w:ascii="黑体" w:hAnsi="黑体" w:eastAsia="黑体"/>
          <w:color w:val="282828"/>
          <w:sz w:val="32"/>
          <w:szCs w:val="32"/>
          <w:shd w:val="clear" w:color="auto" w:fill="FFFFFF"/>
        </w:rPr>
      </w:pPr>
    </w:p>
    <w:p>
      <w:pPr>
        <w:spacing w:before="312" w:beforeLines="100" w:after="156" w:afterLines="50" w:line="600" w:lineRule="exact"/>
        <w:rPr>
          <w:rFonts w:hint="eastAsia" w:ascii="黑体" w:hAnsi="黑体" w:eastAsia="黑体"/>
          <w:color w:val="282828"/>
          <w:sz w:val="32"/>
          <w:szCs w:val="32"/>
          <w:shd w:val="clear" w:color="auto" w:fill="FFFFFF"/>
        </w:rPr>
      </w:pPr>
    </w:p>
    <w:p>
      <w:pPr>
        <w:spacing w:after="156" w:afterLines="50" w:line="600" w:lineRule="exact"/>
        <w:ind w:firstLine="640" w:firstLineChars="200"/>
        <w:rPr>
          <w:rFonts w:hint="eastAsia" w:ascii="黑体" w:hAnsi="黑体" w:eastAsia="黑体"/>
          <w:color w:val="282828"/>
          <w:sz w:val="32"/>
          <w:szCs w:val="32"/>
          <w:shd w:val="clear" w:color="auto" w:fill="FFFFFF"/>
        </w:rPr>
      </w:pPr>
      <w:r>
        <w:rPr>
          <w:rFonts w:hint="eastAsia" w:ascii="黑体" w:hAnsi="黑体" w:eastAsia="黑体"/>
          <w:color w:val="282828"/>
          <w:sz w:val="32"/>
          <w:szCs w:val="32"/>
          <w:shd w:val="clear" w:color="auto" w:fill="FFFFFF"/>
        </w:rPr>
        <w:t>三</w:t>
      </w:r>
      <w:r>
        <w:rPr>
          <w:rFonts w:ascii="黑体" w:hAnsi="黑体" w:eastAsia="黑体"/>
          <w:color w:val="282828"/>
          <w:sz w:val="32"/>
          <w:szCs w:val="32"/>
          <w:shd w:val="clear" w:color="auto" w:fill="FFFFFF"/>
        </w:rPr>
        <w:t>、行政强制类（行政强制措施）行政职权运行通用责任清单</w:t>
      </w:r>
    </w:p>
    <w:tbl>
      <w:tblPr>
        <w:tblStyle w:val="3"/>
        <w:tblW w:w="8346" w:type="dxa"/>
        <w:jc w:val="center"/>
        <w:shd w:val="clear" w:color="auto" w:fill="FFFFFF"/>
        <w:tblLayout w:type="autofit"/>
        <w:tblCellMar>
          <w:top w:w="15" w:type="dxa"/>
          <w:left w:w="15" w:type="dxa"/>
          <w:bottom w:w="15" w:type="dxa"/>
          <w:right w:w="15" w:type="dxa"/>
        </w:tblCellMar>
      </w:tblPr>
      <w:tblGrid>
        <w:gridCol w:w="1049"/>
        <w:gridCol w:w="1821"/>
        <w:gridCol w:w="5476"/>
      </w:tblGrid>
      <w:tr>
        <w:tblPrEx>
          <w:shd w:val="clear" w:color="auto" w:fill="FFFFFF"/>
          <w:tblCellMar>
            <w:top w:w="15" w:type="dxa"/>
            <w:left w:w="15" w:type="dxa"/>
            <w:bottom w:w="15" w:type="dxa"/>
            <w:right w:w="15" w:type="dxa"/>
          </w:tblCellMar>
        </w:tblPrEx>
        <w:trPr>
          <w:trHeight w:val="397" w:hRule="atLeast"/>
          <w:jc w:val="center"/>
        </w:trPr>
        <w:tc>
          <w:tcPr>
            <w:tcW w:w="1049" w:type="dxa"/>
            <w:tcBorders>
              <w:top w:val="inset"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序号</w:t>
            </w:r>
          </w:p>
        </w:tc>
        <w:tc>
          <w:tcPr>
            <w:tcW w:w="1821"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运行环节</w:t>
            </w:r>
          </w:p>
        </w:tc>
        <w:tc>
          <w:tcPr>
            <w:tcW w:w="5476"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责任事项</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（一）决定</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实施前应当先报告，经批准后作出实施行政强制措施的决定。</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2</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38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批准实施行政强制措施应当符合法定条件。</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3</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（二）执行</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由</w:t>
            </w:r>
            <w:r>
              <w:rPr>
                <w:rFonts w:hint="eastAsia" w:ascii="仿宋_GB2312" w:hAnsi="Calibri" w:eastAsia="仿宋_GB2312" w:cs="宋体"/>
                <w:color w:val="282828"/>
                <w:kern w:val="0"/>
                <w:szCs w:val="21"/>
              </w:rPr>
              <w:t>2</w:t>
            </w:r>
            <w:r>
              <w:rPr>
                <w:rFonts w:hint="eastAsia" w:ascii="仿宋_GB2312" w:hAnsi="宋体" w:eastAsia="仿宋_GB2312" w:cs="宋体"/>
                <w:color w:val="282828"/>
                <w:kern w:val="0"/>
                <w:szCs w:val="21"/>
              </w:rPr>
              <w:t>名以上具备资格的行政执法人员实施，其他人员不得实施。</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4</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38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行政执法人员应当现场出示执法身份证件。</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5</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38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实施行政强制措施时应当通知当事人到场，并告知当事人采取行政强制措施的理由、依据以及当事人依法享有的权利、救济途径。</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6</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38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充分听取当事人的意见，对当事人提出的事实、理由和证据，应当进行复核，当事人提出的事实、理由或者证据成立的，应当采纳。</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7</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38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制作现场笔录，现场笔录由当事人和行政执法人员签名或者盖章，当事人拒绝的，在笔录中予以注明。当事人不到场的，邀请见证人到场，由见证人和行政执法人员在现场笔录上签名或者盖章。</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8</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38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实施限制公民人身自由的行政强制措施，应当场告知或者实施行政强制措施后立即通知当事人家属实施行政强制措施的行政机关、地点和期限。</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9</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38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对依法应当没收或法律、行政法规规定应当销毁的，应当依法予以没收或销毁。</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10</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38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情况紧急，需要当场实施行政强制措施的，行政执法人员应当在</w:t>
            </w:r>
            <w:r>
              <w:rPr>
                <w:rFonts w:hint="eastAsia" w:ascii="仿宋_GB2312" w:hAnsi="Calibri" w:eastAsia="仿宋_GB2312" w:cs="宋体"/>
                <w:color w:val="282828"/>
                <w:kern w:val="0"/>
                <w:szCs w:val="21"/>
              </w:rPr>
              <w:t>24</w:t>
            </w:r>
            <w:r>
              <w:rPr>
                <w:rFonts w:hint="eastAsia" w:ascii="仿宋_GB2312" w:hAnsi="宋体" w:eastAsia="仿宋_GB2312" w:cs="宋体"/>
                <w:color w:val="282828"/>
                <w:kern w:val="0"/>
                <w:szCs w:val="21"/>
              </w:rPr>
              <w:t>小时内向行政机关负责人报告，并补办批准手续。</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11</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（三）解除</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对符合解除行政强制措施条件的，应当依法解除行政强制措施。</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12</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38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对构成犯罪的，依法、及时移送司法机关。</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13</w:t>
            </w:r>
          </w:p>
        </w:tc>
        <w:tc>
          <w:tcPr>
            <w:tcW w:w="182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（四）事后监管</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建立健全事后监管制度，依法履行监督责任。</w:t>
            </w:r>
          </w:p>
        </w:tc>
      </w:tr>
    </w:tbl>
    <w:p>
      <w:pPr>
        <w:spacing w:after="156" w:afterLines="50" w:line="600" w:lineRule="exact"/>
        <w:ind w:firstLine="640" w:firstLineChars="200"/>
        <w:rPr>
          <w:rFonts w:hint="eastAsia" w:ascii="黑体" w:hAnsi="黑体" w:eastAsia="黑体"/>
          <w:color w:val="282828"/>
          <w:sz w:val="32"/>
          <w:szCs w:val="32"/>
          <w:shd w:val="clear" w:color="auto" w:fill="FFFFFF"/>
        </w:rPr>
      </w:pPr>
      <w:r>
        <w:rPr>
          <w:rFonts w:hint="eastAsia" w:ascii="黑体" w:hAnsi="黑体" w:eastAsia="黑体"/>
          <w:color w:val="282828"/>
          <w:sz w:val="32"/>
          <w:szCs w:val="32"/>
          <w:shd w:val="clear" w:color="auto" w:fill="FFFFFF"/>
        </w:rPr>
        <w:t>四</w:t>
      </w:r>
      <w:r>
        <w:rPr>
          <w:rFonts w:ascii="黑体" w:hAnsi="黑体" w:eastAsia="黑体"/>
          <w:color w:val="282828"/>
          <w:sz w:val="32"/>
          <w:szCs w:val="32"/>
          <w:shd w:val="clear" w:color="auto" w:fill="FFFFFF"/>
        </w:rPr>
        <w:t>、行政强制类（行政强制执行）行政职权运行通用责任清单</w:t>
      </w:r>
    </w:p>
    <w:tbl>
      <w:tblPr>
        <w:tblStyle w:val="3"/>
        <w:tblW w:w="8346" w:type="dxa"/>
        <w:jc w:val="center"/>
        <w:shd w:val="clear" w:color="auto" w:fill="FFFFFF"/>
        <w:tblLayout w:type="autofit"/>
        <w:tblCellMar>
          <w:top w:w="15" w:type="dxa"/>
          <w:left w:w="15" w:type="dxa"/>
          <w:bottom w:w="15" w:type="dxa"/>
          <w:right w:w="15" w:type="dxa"/>
        </w:tblCellMar>
      </w:tblPr>
      <w:tblGrid>
        <w:gridCol w:w="1049"/>
        <w:gridCol w:w="1769"/>
        <w:gridCol w:w="5528"/>
      </w:tblGrid>
      <w:tr>
        <w:tblPrEx>
          <w:shd w:val="clear" w:color="auto" w:fill="FFFFFF"/>
          <w:tblCellMar>
            <w:top w:w="15" w:type="dxa"/>
            <w:left w:w="15" w:type="dxa"/>
            <w:bottom w:w="15" w:type="dxa"/>
            <w:right w:w="15" w:type="dxa"/>
          </w:tblCellMar>
        </w:tblPrEx>
        <w:trPr>
          <w:trHeight w:val="681" w:hRule="atLeast"/>
          <w:jc w:val="center"/>
        </w:trPr>
        <w:tc>
          <w:tcPr>
            <w:tcW w:w="1049" w:type="dxa"/>
            <w:tcBorders>
              <w:top w:val="inset"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序号</w:t>
            </w:r>
          </w:p>
        </w:tc>
        <w:tc>
          <w:tcPr>
            <w:tcW w:w="1769"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运行环节</w:t>
            </w:r>
          </w:p>
        </w:tc>
        <w:tc>
          <w:tcPr>
            <w:tcW w:w="5528"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38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责任事项</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1</w:t>
            </w:r>
          </w:p>
        </w:tc>
        <w:tc>
          <w:tcPr>
            <w:tcW w:w="1769"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Times New Roman" w:eastAsia="仿宋_GB2312" w:cs="Times New Roman"/>
                <w:b/>
                <w:bCs/>
                <w:color w:val="282828"/>
                <w:kern w:val="0"/>
                <w:szCs w:val="21"/>
              </w:rPr>
              <w:t>（一）催告</w:t>
            </w: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行政机关作出强制执行决定前，应当事先书面催告当事人履行义务。</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2</w:t>
            </w:r>
          </w:p>
        </w:tc>
        <w:tc>
          <w:tcPr>
            <w:tcW w:w="1769"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催告书应当直接送达当事人。当事人拒绝接收或者无法直接送达当事人的，依照民事诉讼法的有关规定送达。</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3</w:t>
            </w:r>
          </w:p>
        </w:tc>
        <w:tc>
          <w:tcPr>
            <w:tcW w:w="1769"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催告期间，对有证据证明有转移或者隐匿财物迹象的，可以作出立即强制执行决定。</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4</w:t>
            </w:r>
          </w:p>
        </w:tc>
        <w:tc>
          <w:tcPr>
            <w:tcW w:w="1769"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Times New Roman" w:eastAsia="仿宋_GB2312" w:cs="Times New Roman"/>
                <w:b/>
                <w:bCs/>
                <w:color w:val="282828"/>
                <w:kern w:val="0"/>
                <w:szCs w:val="21"/>
              </w:rPr>
              <w:t>（二）决定</w:t>
            </w: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充分听取当事人的意见，对当事人提出的事实、理由和证据，应当进行记录、复核。当事人提出的事实、理由或者证据成立的，应当采纳。</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5</w:t>
            </w:r>
          </w:p>
        </w:tc>
        <w:tc>
          <w:tcPr>
            <w:tcW w:w="1769"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经催告，当事人逾期仍不履行行政决定，且无正当理由的，应当作出书面强制执行决定。</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6</w:t>
            </w:r>
          </w:p>
        </w:tc>
        <w:tc>
          <w:tcPr>
            <w:tcW w:w="1769"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行政强制执行决定书催告书应当直接送达当事人。当事人拒绝接收或者无法直接送达当事人的，依照民事诉讼法的有关规定送达。</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7</w:t>
            </w:r>
          </w:p>
        </w:tc>
        <w:tc>
          <w:tcPr>
            <w:tcW w:w="1769"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Times New Roman" w:eastAsia="仿宋_GB2312" w:cs="Times New Roman"/>
                <w:b/>
                <w:bCs/>
                <w:color w:val="282828"/>
                <w:kern w:val="0"/>
                <w:szCs w:val="21"/>
              </w:rPr>
              <w:t>（三）执行</w:t>
            </w: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依法实施行政强制执行。</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8</w:t>
            </w:r>
          </w:p>
        </w:tc>
        <w:tc>
          <w:tcPr>
            <w:tcW w:w="1769"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不得在夜间或者法定节假日实施行政强制执行，情况紧急的除外；不得对居民生活采取停止供水、供电、供热、供燃气等方式迫使当事人履行相关行政决定。</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9</w:t>
            </w:r>
          </w:p>
        </w:tc>
        <w:tc>
          <w:tcPr>
            <w:tcW w:w="1769"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对违法的建筑物、构筑物、设施等需要强制拆除的，应当予以公告，限期当事人自行拆除。当事人在法定期限内不申请行政复议或者提起行政诉讼，又不拆除的，可依法强制拆除。</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10</w:t>
            </w:r>
          </w:p>
        </w:tc>
        <w:tc>
          <w:tcPr>
            <w:tcW w:w="1769"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划拨的存款、汇款以及拍卖和依法处理所得的款项应当上缴国库或者划入财政专户，不得以任何形式截留、私分或者变相私分。</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11</w:t>
            </w:r>
          </w:p>
        </w:tc>
        <w:tc>
          <w:tcPr>
            <w:tcW w:w="1769"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Times New Roman" w:eastAsia="仿宋_GB2312" w:cs="Times New Roman"/>
                <w:b/>
                <w:bCs/>
                <w:color w:val="282828"/>
                <w:kern w:val="0"/>
                <w:szCs w:val="21"/>
              </w:rPr>
              <w:t>（四）事后监管</w:t>
            </w:r>
          </w:p>
        </w:tc>
        <w:tc>
          <w:tcPr>
            <w:tcW w:w="5528"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建立健全事后监管制度，依法履行监督责任。</w:t>
            </w:r>
          </w:p>
        </w:tc>
      </w:tr>
    </w:tbl>
    <w:p>
      <w:pPr>
        <w:spacing w:after="156" w:afterLines="50" w:line="600" w:lineRule="exact"/>
        <w:ind w:firstLine="640" w:firstLineChars="200"/>
        <w:rPr>
          <w:rFonts w:hint="eastAsia" w:ascii="黑体" w:hAnsi="黑体" w:eastAsia="黑体"/>
          <w:color w:val="282828"/>
          <w:sz w:val="32"/>
          <w:szCs w:val="32"/>
          <w:shd w:val="clear" w:color="auto" w:fill="FFFFFF"/>
        </w:rPr>
      </w:pPr>
      <w:r>
        <w:rPr>
          <w:rFonts w:hint="eastAsia" w:ascii="黑体" w:hAnsi="黑体" w:eastAsia="黑体"/>
          <w:color w:val="282828"/>
          <w:sz w:val="32"/>
          <w:szCs w:val="32"/>
          <w:shd w:val="clear" w:color="auto" w:fill="FFFFFF"/>
        </w:rPr>
        <w:t>五</w:t>
      </w:r>
      <w:r>
        <w:rPr>
          <w:rFonts w:ascii="黑体" w:hAnsi="黑体" w:eastAsia="黑体"/>
          <w:color w:val="282828"/>
          <w:sz w:val="32"/>
          <w:szCs w:val="32"/>
          <w:shd w:val="clear" w:color="auto" w:fill="FFFFFF"/>
        </w:rPr>
        <w:t>、行政检查类行政职权运行通用责任清单</w:t>
      </w:r>
    </w:p>
    <w:tbl>
      <w:tblPr>
        <w:tblStyle w:val="3"/>
        <w:tblW w:w="8346" w:type="dxa"/>
        <w:jc w:val="center"/>
        <w:shd w:val="clear" w:color="auto" w:fill="FFFFFF"/>
        <w:tblLayout w:type="autofit"/>
        <w:tblCellMar>
          <w:top w:w="15" w:type="dxa"/>
          <w:left w:w="15" w:type="dxa"/>
          <w:bottom w:w="15" w:type="dxa"/>
          <w:right w:w="15" w:type="dxa"/>
        </w:tblCellMar>
      </w:tblPr>
      <w:tblGrid>
        <w:gridCol w:w="1049"/>
        <w:gridCol w:w="1821"/>
        <w:gridCol w:w="5476"/>
      </w:tblGrid>
      <w:tr>
        <w:tblPrEx>
          <w:shd w:val="clear" w:color="auto" w:fill="FFFFFF"/>
          <w:tblCellMar>
            <w:top w:w="15" w:type="dxa"/>
            <w:left w:w="15" w:type="dxa"/>
            <w:bottom w:w="15" w:type="dxa"/>
            <w:right w:w="15" w:type="dxa"/>
          </w:tblCellMar>
        </w:tblPrEx>
        <w:trPr>
          <w:trHeight w:val="573" w:hRule="atLeast"/>
          <w:jc w:val="center"/>
        </w:trPr>
        <w:tc>
          <w:tcPr>
            <w:tcW w:w="1049" w:type="dxa"/>
            <w:tcBorders>
              <w:top w:val="inset"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序号</w:t>
            </w:r>
          </w:p>
        </w:tc>
        <w:tc>
          <w:tcPr>
            <w:tcW w:w="1821"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运行环节</w:t>
            </w:r>
          </w:p>
        </w:tc>
        <w:tc>
          <w:tcPr>
            <w:tcW w:w="5476"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责任事项</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（一）制定方案</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实施检查前应当依法制定含有正当理由、事项和内容的检查方案。</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2</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同一行政机关的多个内设机构和下属机构对同一当事人不同事项的行政检查，能够合并检查的应当合并检查。</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3</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上下级行政机关应当按照级别管辖和地域管辖相结合的原则合理划分检查范围，避免重复检查。</w:t>
            </w:r>
          </w:p>
        </w:tc>
      </w:tr>
      <w:tr>
        <w:tblPrEx>
          <w:shd w:val="clear" w:color="auto" w:fill="FFFFFF"/>
          <w:tblCellMar>
            <w:top w:w="15" w:type="dxa"/>
            <w:left w:w="15" w:type="dxa"/>
            <w:bottom w:w="15" w:type="dxa"/>
            <w:right w:w="15" w:type="dxa"/>
          </w:tblCellMar>
        </w:tblPrEx>
        <w:trPr>
          <w:trHeight w:val="603" w:hRule="atLeast"/>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4</w:t>
            </w:r>
          </w:p>
        </w:tc>
        <w:tc>
          <w:tcPr>
            <w:tcW w:w="1821"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（二）实施检查</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依照检查方案规定的时限、范围开展检查。</w:t>
            </w:r>
          </w:p>
        </w:tc>
      </w:tr>
      <w:tr>
        <w:tblPrEx>
          <w:shd w:val="clear" w:color="auto" w:fill="FFFFFF"/>
          <w:tblCellMar>
            <w:top w:w="15" w:type="dxa"/>
            <w:left w:w="15" w:type="dxa"/>
            <w:bottom w:w="15" w:type="dxa"/>
            <w:right w:w="15" w:type="dxa"/>
          </w:tblCellMar>
        </w:tblPrEx>
        <w:trPr>
          <w:trHeight w:val="554" w:hRule="atLeast"/>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5</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实施检查时应当出示执法身份证件、检查方案。</w:t>
            </w:r>
          </w:p>
        </w:tc>
      </w:tr>
      <w:tr>
        <w:tblPrEx>
          <w:shd w:val="clear" w:color="auto" w:fill="FFFFFF"/>
          <w:tblCellMar>
            <w:top w:w="15" w:type="dxa"/>
            <w:left w:w="15" w:type="dxa"/>
            <w:bottom w:w="15" w:type="dxa"/>
            <w:right w:w="15" w:type="dxa"/>
          </w:tblCellMar>
        </w:tblPrEx>
        <w:trPr>
          <w:trHeight w:val="521" w:hRule="atLeast"/>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6</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依法查阅资料、查看现场、听取当事人陈述申辩并取证。</w:t>
            </w:r>
          </w:p>
        </w:tc>
      </w:tr>
      <w:tr>
        <w:tblPrEx>
          <w:shd w:val="clear" w:color="auto" w:fill="FFFFFF"/>
          <w:tblCellMar>
            <w:top w:w="15" w:type="dxa"/>
            <w:left w:w="15" w:type="dxa"/>
            <w:bottom w:w="15" w:type="dxa"/>
            <w:right w:w="15" w:type="dxa"/>
          </w:tblCellMar>
        </w:tblPrEx>
        <w:trPr>
          <w:trHeight w:val="529" w:hRule="atLeast"/>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7</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实施检查应当不影响当事人的正常生产经营活动与生活。</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8</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依法告知当事人检查中发现的违法行为及处理意见，对不服处理意见的，可以依法申请行政复议或提起行政诉讼。</w:t>
            </w:r>
          </w:p>
        </w:tc>
      </w:tr>
      <w:tr>
        <w:tblPrEx>
          <w:tblCellMar>
            <w:top w:w="15" w:type="dxa"/>
            <w:left w:w="15" w:type="dxa"/>
            <w:bottom w:w="15" w:type="dxa"/>
            <w:right w:w="15" w:type="dxa"/>
          </w:tblCellMar>
        </w:tblPrEx>
        <w:trPr>
          <w:trHeight w:val="549" w:hRule="atLeast"/>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9</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对检查中发现的违法行为应当予以制止和纠正。</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10</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实施行政检查中不得乱收费、乱罚款、乱摊派，严禁吃、拿、卡、要。</w:t>
            </w:r>
          </w:p>
        </w:tc>
      </w:tr>
      <w:tr>
        <w:tblPrEx>
          <w:tblCellMar>
            <w:top w:w="15" w:type="dxa"/>
            <w:left w:w="15" w:type="dxa"/>
            <w:bottom w:w="15" w:type="dxa"/>
            <w:right w:w="15" w:type="dxa"/>
          </w:tblCellMar>
        </w:tblPrEx>
        <w:trPr>
          <w:trHeight w:val="541" w:hRule="atLeast"/>
          <w:jc w:val="center"/>
        </w:trPr>
        <w:tc>
          <w:tcPr>
            <w:tcW w:w="1049" w:type="dxa"/>
            <w:tcBorders>
              <w:top w:val="nil"/>
              <w:left w:val="inset" w:color="auto" w:sz="8" w:space="0"/>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11</w:t>
            </w:r>
          </w:p>
        </w:tc>
        <w:tc>
          <w:tcPr>
            <w:tcW w:w="1821"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不得放弃、推诿、拖延、拒绝履行检查职责。</w:t>
            </w:r>
          </w:p>
        </w:tc>
      </w:tr>
      <w:tr>
        <w:tblPrEx>
          <w:tblCellMar>
            <w:top w:w="15" w:type="dxa"/>
            <w:left w:w="15" w:type="dxa"/>
            <w:bottom w:w="15" w:type="dxa"/>
            <w:right w:w="15" w:type="dxa"/>
          </w:tblCellMar>
        </w:tblPrEx>
        <w:trPr>
          <w:trHeight w:val="691"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12</w:t>
            </w:r>
          </w:p>
        </w:tc>
        <w:tc>
          <w:tcPr>
            <w:tcW w:w="182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（三）事后监管</w:t>
            </w:r>
          </w:p>
        </w:tc>
        <w:tc>
          <w:tcPr>
            <w:tcW w:w="547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对检查情况进行汇总、分类、归档备查，并跟踪监测。</w:t>
            </w:r>
          </w:p>
        </w:tc>
      </w:tr>
    </w:tbl>
    <w:p>
      <w:pPr>
        <w:spacing w:before="312" w:beforeLines="100" w:after="156" w:afterLines="50" w:line="600" w:lineRule="exact"/>
        <w:ind w:firstLine="640" w:firstLineChars="200"/>
        <w:rPr>
          <w:rFonts w:hint="eastAsia" w:ascii="黑体" w:hAnsi="黑体" w:eastAsia="黑体"/>
          <w:color w:val="282828"/>
          <w:sz w:val="32"/>
          <w:szCs w:val="32"/>
          <w:shd w:val="clear" w:color="auto" w:fill="FFFFFF"/>
        </w:rPr>
      </w:pPr>
    </w:p>
    <w:p>
      <w:pPr>
        <w:spacing w:before="312" w:beforeLines="100" w:after="156" w:afterLines="50" w:line="600" w:lineRule="exact"/>
        <w:ind w:firstLine="640" w:firstLineChars="200"/>
        <w:rPr>
          <w:rFonts w:hint="eastAsia" w:ascii="黑体" w:hAnsi="黑体" w:eastAsia="黑体"/>
          <w:color w:val="282828"/>
          <w:sz w:val="32"/>
          <w:szCs w:val="32"/>
          <w:shd w:val="clear" w:color="auto" w:fill="FFFFFF"/>
        </w:rPr>
      </w:pPr>
    </w:p>
    <w:p>
      <w:pPr>
        <w:spacing w:before="312" w:beforeLines="100" w:after="156" w:afterLines="50" w:line="600" w:lineRule="exact"/>
        <w:ind w:firstLine="640" w:firstLineChars="200"/>
        <w:rPr>
          <w:rFonts w:hint="eastAsia" w:ascii="黑体" w:hAnsi="黑体" w:eastAsia="黑体"/>
          <w:color w:val="282828"/>
          <w:sz w:val="32"/>
          <w:szCs w:val="32"/>
          <w:shd w:val="clear" w:color="auto" w:fill="FFFFFF"/>
        </w:rPr>
      </w:pPr>
    </w:p>
    <w:p>
      <w:pPr>
        <w:spacing w:after="156" w:afterLines="50" w:line="600" w:lineRule="exact"/>
        <w:ind w:firstLine="640" w:firstLineChars="200"/>
        <w:rPr>
          <w:rFonts w:hint="eastAsia" w:ascii="黑体" w:hAnsi="黑体" w:eastAsia="黑体"/>
          <w:color w:val="282828"/>
          <w:sz w:val="32"/>
          <w:szCs w:val="32"/>
          <w:shd w:val="clear" w:color="auto" w:fill="FFFFFF"/>
        </w:rPr>
      </w:pPr>
      <w:r>
        <w:rPr>
          <w:rFonts w:hint="eastAsia" w:ascii="黑体" w:hAnsi="黑体" w:eastAsia="黑体"/>
          <w:color w:val="282828"/>
          <w:sz w:val="32"/>
          <w:szCs w:val="32"/>
          <w:shd w:val="clear" w:color="auto" w:fill="FFFFFF"/>
        </w:rPr>
        <w:t>六</w:t>
      </w:r>
      <w:r>
        <w:rPr>
          <w:rFonts w:ascii="黑体" w:hAnsi="黑体" w:eastAsia="黑体"/>
          <w:color w:val="282828"/>
          <w:sz w:val="32"/>
          <w:szCs w:val="32"/>
          <w:shd w:val="clear" w:color="auto" w:fill="FFFFFF"/>
        </w:rPr>
        <w:t>、行政确认类行政职权运行通用责任清单</w:t>
      </w:r>
    </w:p>
    <w:tbl>
      <w:tblPr>
        <w:tblStyle w:val="3"/>
        <w:tblW w:w="8346" w:type="dxa"/>
        <w:jc w:val="center"/>
        <w:shd w:val="clear" w:color="auto" w:fill="FFFFFF"/>
        <w:tblLayout w:type="autofit"/>
        <w:tblCellMar>
          <w:top w:w="15" w:type="dxa"/>
          <w:left w:w="15" w:type="dxa"/>
          <w:bottom w:w="15" w:type="dxa"/>
          <w:right w:w="15" w:type="dxa"/>
        </w:tblCellMar>
      </w:tblPr>
      <w:tblGrid>
        <w:gridCol w:w="1049"/>
        <w:gridCol w:w="1806"/>
        <w:gridCol w:w="5491"/>
      </w:tblGrid>
      <w:tr>
        <w:tblPrEx>
          <w:shd w:val="clear" w:color="auto" w:fill="FFFFFF"/>
          <w:tblCellMar>
            <w:top w:w="15" w:type="dxa"/>
            <w:left w:w="15" w:type="dxa"/>
            <w:bottom w:w="15" w:type="dxa"/>
            <w:right w:w="15" w:type="dxa"/>
          </w:tblCellMar>
        </w:tblPrEx>
        <w:trPr>
          <w:trHeight w:val="715" w:hRule="atLeast"/>
          <w:jc w:val="center"/>
        </w:trPr>
        <w:tc>
          <w:tcPr>
            <w:tcW w:w="1049" w:type="dxa"/>
            <w:tcBorders>
              <w:top w:val="inset"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序号</w:t>
            </w:r>
          </w:p>
        </w:tc>
        <w:tc>
          <w:tcPr>
            <w:tcW w:w="1806"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运行环节</w:t>
            </w:r>
          </w:p>
        </w:tc>
        <w:tc>
          <w:tcPr>
            <w:tcW w:w="5491"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黑体" w:hAnsi="黑体" w:eastAsia="黑体" w:cs="宋体"/>
                <w:color w:val="282828"/>
                <w:kern w:val="0"/>
                <w:szCs w:val="21"/>
              </w:rPr>
            </w:pPr>
            <w:r>
              <w:rPr>
                <w:rFonts w:hint="eastAsia" w:ascii="黑体" w:hAnsi="黑体" w:eastAsia="黑体" w:cs="宋体"/>
                <w:color w:val="282828"/>
                <w:kern w:val="0"/>
                <w:szCs w:val="21"/>
              </w:rPr>
              <w:t>责任事项</w:t>
            </w:r>
          </w:p>
        </w:tc>
      </w:tr>
      <w:tr>
        <w:tblPrEx>
          <w:shd w:val="clear" w:color="auto" w:fill="FFFFFF"/>
          <w:tblCellMar>
            <w:top w:w="15" w:type="dxa"/>
            <w:left w:w="15" w:type="dxa"/>
            <w:bottom w:w="15" w:type="dxa"/>
            <w:right w:w="15" w:type="dxa"/>
          </w:tblCellMar>
        </w:tblPrEx>
        <w:trPr>
          <w:trHeight w:val="824"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1</w:t>
            </w:r>
          </w:p>
        </w:tc>
        <w:tc>
          <w:tcPr>
            <w:tcW w:w="1806"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（一）受理</w:t>
            </w:r>
          </w:p>
        </w:tc>
        <w:tc>
          <w:tcPr>
            <w:tcW w:w="549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对符合确认条件的，当场受理。</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2</w:t>
            </w:r>
          </w:p>
        </w:tc>
        <w:tc>
          <w:tcPr>
            <w:tcW w:w="1806"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9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申请材料不齐全或者不符合法定形式的，应当一次性告知申请人需要补正的全部内容和合理的补正期限。</w:t>
            </w:r>
          </w:p>
        </w:tc>
      </w:tr>
      <w:tr>
        <w:tblPrEx>
          <w:shd w:val="clear" w:color="auto" w:fill="FFFFFF"/>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3</w:t>
            </w:r>
          </w:p>
        </w:tc>
        <w:tc>
          <w:tcPr>
            <w:tcW w:w="1806"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9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对不符合受理条件的，应当书面告知办理人不予办理行政确认的理由和依据。</w:t>
            </w:r>
          </w:p>
        </w:tc>
      </w:tr>
      <w:tr>
        <w:tblPrEx>
          <w:tblCellMar>
            <w:top w:w="15" w:type="dxa"/>
            <w:left w:w="15" w:type="dxa"/>
            <w:bottom w:w="15" w:type="dxa"/>
            <w:right w:w="15" w:type="dxa"/>
          </w:tblCellMar>
        </w:tblPrEx>
        <w:trPr>
          <w:trHeight w:val="719"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4</w:t>
            </w:r>
          </w:p>
        </w:tc>
        <w:tc>
          <w:tcPr>
            <w:tcW w:w="1806"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（二）确认</w:t>
            </w:r>
          </w:p>
        </w:tc>
        <w:tc>
          <w:tcPr>
            <w:tcW w:w="549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在法定期限（承诺期限）内完成确认。</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5</w:t>
            </w:r>
          </w:p>
        </w:tc>
        <w:tc>
          <w:tcPr>
            <w:tcW w:w="1806"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9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严格按照流程图规定进行研究确认，不得提高确认标准、扩大确认范围等。</w:t>
            </w:r>
          </w:p>
        </w:tc>
      </w:tr>
      <w:tr>
        <w:tblPrEx>
          <w:tblCellMar>
            <w:top w:w="15" w:type="dxa"/>
            <w:left w:w="15" w:type="dxa"/>
            <w:bottom w:w="15" w:type="dxa"/>
            <w:right w:w="15" w:type="dxa"/>
          </w:tblCellMar>
        </w:tblPrEx>
        <w:trPr>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6</w:t>
            </w:r>
          </w:p>
        </w:tc>
        <w:tc>
          <w:tcPr>
            <w:tcW w:w="1806"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9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按照一定的技术规范要求以书面形式作出决定，并发放确认文书。</w:t>
            </w:r>
          </w:p>
        </w:tc>
      </w:tr>
      <w:tr>
        <w:tblPrEx>
          <w:tblCellMar>
            <w:top w:w="15" w:type="dxa"/>
            <w:left w:w="15" w:type="dxa"/>
            <w:bottom w:w="15" w:type="dxa"/>
            <w:right w:w="15" w:type="dxa"/>
          </w:tblCellMar>
        </w:tblPrEx>
        <w:trPr>
          <w:trHeight w:val="725"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7</w:t>
            </w:r>
          </w:p>
        </w:tc>
        <w:tc>
          <w:tcPr>
            <w:tcW w:w="1806"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Cs w:val="21"/>
              </w:rPr>
            </w:pPr>
          </w:p>
        </w:tc>
        <w:tc>
          <w:tcPr>
            <w:tcW w:w="549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不符合确认要求的不予确认，并说明理由。</w:t>
            </w:r>
          </w:p>
        </w:tc>
      </w:tr>
      <w:tr>
        <w:tblPrEx>
          <w:tblCellMar>
            <w:top w:w="15" w:type="dxa"/>
            <w:left w:w="15" w:type="dxa"/>
            <w:bottom w:w="15" w:type="dxa"/>
            <w:right w:w="15" w:type="dxa"/>
          </w:tblCellMar>
        </w:tblPrEx>
        <w:trPr>
          <w:trHeight w:val="678"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8</w:t>
            </w:r>
          </w:p>
        </w:tc>
        <w:tc>
          <w:tcPr>
            <w:tcW w:w="1806" w:type="dxa"/>
            <w:tcBorders>
              <w:top w:val="nil"/>
              <w:left w:val="nil"/>
              <w:bottom w:val="inset" w:color="auto" w:sz="8" w:space="0"/>
              <w:right w:val="inset" w:color="auto" w:sz="8" w:space="0"/>
            </w:tcBorders>
            <w:shd w:val="clear" w:color="auto" w:fill="FFFFFF"/>
            <w:noWrap/>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（三）送达</w:t>
            </w:r>
          </w:p>
        </w:tc>
        <w:tc>
          <w:tcPr>
            <w:tcW w:w="549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送达程序参照民事诉讼法有关规定执行。</w:t>
            </w:r>
          </w:p>
        </w:tc>
      </w:tr>
      <w:tr>
        <w:tblPrEx>
          <w:tblCellMar>
            <w:top w:w="15" w:type="dxa"/>
            <w:left w:w="15" w:type="dxa"/>
            <w:bottom w:w="15" w:type="dxa"/>
            <w:right w:w="15" w:type="dxa"/>
          </w:tblCellMar>
        </w:tblPrEx>
        <w:trPr>
          <w:trHeight w:val="675" w:hRule="atLeast"/>
          <w:jc w:val="center"/>
        </w:trPr>
        <w:tc>
          <w:tcPr>
            <w:tcW w:w="1049"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Calibri" w:eastAsia="仿宋_GB2312" w:cs="宋体"/>
                <w:color w:val="282828"/>
                <w:kern w:val="0"/>
                <w:szCs w:val="21"/>
              </w:rPr>
              <w:t>9</w:t>
            </w:r>
          </w:p>
        </w:tc>
        <w:tc>
          <w:tcPr>
            <w:tcW w:w="1806"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Cs w:val="21"/>
              </w:rPr>
            </w:pPr>
            <w:r>
              <w:rPr>
                <w:rFonts w:hint="eastAsia" w:ascii="仿宋_GB2312" w:hAnsi="Times New Roman" w:eastAsia="仿宋_GB2312" w:cs="Times New Roman"/>
                <w:b/>
                <w:bCs/>
                <w:color w:val="282828"/>
                <w:kern w:val="0"/>
                <w:szCs w:val="21"/>
              </w:rPr>
              <w:t>（四）事后监管</w:t>
            </w:r>
          </w:p>
        </w:tc>
        <w:tc>
          <w:tcPr>
            <w:tcW w:w="5491"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Cs w:val="21"/>
              </w:rPr>
            </w:pPr>
            <w:r>
              <w:rPr>
                <w:rFonts w:hint="eastAsia" w:ascii="仿宋_GB2312" w:hAnsi="宋体" w:eastAsia="仿宋_GB2312" w:cs="宋体"/>
                <w:color w:val="282828"/>
                <w:kern w:val="0"/>
                <w:szCs w:val="21"/>
              </w:rPr>
              <w:t>建立健全事后监管制度，依法履行监督责任。</w:t>
            </w:r>
          </w:p>
        </w:tc>
      </w:tr>
    </w:tbl>
    <w:p>
      <w:pPr>
        <w:spacing w:after="156" w:afterLines="50" w:line="600" w:lineRule="exact"/>
        <w:ind w:firstLine="640" w:firstLineChars="200"/>
        <w:rPr>
          <w:rFonts w:hint="eastAsia" w:ascii="黑体" w:hAnsi="黑体" w:eastAsia="黑体"/>
          <w:color w:val="282828"/>
          <w:sz w:val="32"/>
          <w:szCs w:val="32"/>
          <w:shd w:val="clear" w:color="auto" w:fill="FFFFFF"/>
        </w:rPr>
      </w:pPr>
    </w:p>
    <w:p>
      <w:pPr>
        <w:spacing w:after="156" w:afterLines="50" w:line="600" w:lineRule="exact"/>
        <w:ind w:firstLine="640" w:firstLineChars="200"/>
        <w:rPr>
          <w:rFonts w:hint="eastAsia" w:ascii="黑体" w:hAnsi="黑体" w:eastAsia="黑体"/>
          <w:color w:val="282828"/>
          <w:sz w:val="32"/>
          <w:szCs w:val="32"/>
          <w:shd w:val="clear" w:color="auto" w:fill="FFFFFF"/>
        </w:rPr>
      </w:pPr>
    </w:p>
    <w:p>
      <w:pPr>
        <w:spacing w:after="156" w:afterLines="50" w:line="600" w:lineRule="exact"/>
        <w:ind w:firstLine="640" w:firstLineChars="200"/>
        <w:rPr>
          <w:rFonts w:hint="eastAsia" w:ascii="黑体" w:hAnsi="黑体" w:eastAsia="黑体"/>
          <w:color w:val="282828"/>
          <w:sz w:val="32"/>
          <w:szCs w:val="32"/>
          <w:shd w:val="clear" w:color="auto" w:fill="FFFFFF"/>
        </w:rPr>
      </w:pPr>
    </w:p>
    <w:p>
      <w:pPr>
        <w:spacing w:after="156" w:afterLines="50" w:line="600" w:lineRule="exact"/>
        <w:ind w:firstLine="640" w:firstLineChars="200"/>
        <w:rPr>
          <w:rFonts w:hint="eastAsia" w:ascii="黑体" w:hAnsi="黑体" w:eastAsia="黑体"/>
          <w:color w:val="282828"/>
          <w:sz w:val="32"/>
          <w:szCs w:val="32"/>
          <w:shd w:val="clear" w:color="auto" w:fill="FFFFFF"/>
        </w:rPr>
      </w:pPr>
    </w:p>
    <w:p>
      <w:pPr>
        <w:spacing w:after="156" w:afterLines="50" w:line="600" w:lineRule="exact"/>
        <w:ind w:firstLine="640" w:firstLineChars="200"/>
        <w:rPr>
          <w:rFonts w:hint="eastAsia" w:ascii="黑体" w:hAnsi="黑体" w:eastAsia="黑体"/>
          <w:color w:val="282828"/>
          <w:sz w:val="32"/>
          <w:szCs w:val="32"/>
          <w:shd w:val="clear" w:color="auto" w:fill="FFFFFF"/>
        </w:rPr>
      </w:pPr>
    </w:p>
    <w:p>
      <w:pPr>
        <w:spacing w:after="156" w:afterLines="50" w:line="600" w:lineRule="exact"/>
        <w:ind w:firstLine="640" w:firstLineChars="200"/>
        <w:rPr>
          <w:rFonts w:hint="eastAsia" w:ascii="黑体" w:hAnsi="黑体" w:eastAsia="黑体"/>
          <w:color w:val="282828"/>
          <w:sz w:val="32"/>
          <w:szCs w:val="32"/>
          <w:shd w:val="clear" w:color="auto" w:fill="FFFFFF"/>
        </w:rPr>
      </w:pPr>
      <w:r>
        <w:rPr>
          <w:rFonts w:hint="eastAsia" w:ascii="黑体" w:hAnsi="黑体" w:eastAsia="黑体"/>
          <w:color w:val="282828"/>
          <w:sz w:val="32"/>
          <w:szCs w:val="32"/>
          <w:shd w:val="clear" w:color="auto" w:fill="FFFFFF"/>
        </w:rPr>
        <w:t>七、</w:t>
      </w:r>
      <w:r>
        <w:rPr>
          <w:rFonts w:ascii="黑体" w:hAnsi="黑体" w:eastAsia="黑体"/>
          <w:color w:val="282828"/>
          <w:sz w:val="32"/>
          <w:szCs w:val="32"/>
          <w:shd w:val="clear" w:color="auto" w:fill="FFFFFF"/>
        </w:rPr>
        <w:t>行政裁决类行政职权运行通用责任清单</w:t>
      </w:r>
    </w:p>
    <w:tbl>
      <w:tblPr>
        <w:tblStyle w:val="3"/>
        <w:tblW w:w="8242" w:type="dxa"/>
        <w:jc w:val="center"/>
        <w:shd w:val="clear" w:color="auto" w:fill="FFFFFF"/>
        <w:tblLayout w:type="autofit"/>
        <w:tblCellMar>
          <w:top w:w="15" w:type="dxa"/>
          <w:left w:w="15" w:type="dxa"/>
          <w:bottom w:w="15" w:type="dxa"/>
          <w:right w:w="15" w:type="dxa"/>
        </w:tblCellMar>
      </w:tblPr>
      <w:tblGrid>
        <w:gridCol w:w="975"/>
        <w:gridCol w:w="1843"/>
        <w:gridCol w:w="5424"/>
      </w:tblGrid>
      <w:tr>
        <w:tblPrEx>
          <w:shd w:val="clear" w:color="auto" w:fill="FFFFFF"/>
          <w:tblCellMar>
            <w:top w:w="15" w:type="dxa"/>
            <w:left w:w="15" w:type="dxa"/>
            <w:bottom w:w="15" w:type="dxa"/>
            <w:right w:w="15" w:type="dxa"/>
          </w:tblCellMar>
        </w:tblPrEx>
        <w:trPr>
          <w:trHeight w:val="715" w:hRule="atLeast"/>
          <w:jc w:val="center"/>
        </w:trPr>
        <w:tc>
          <w:tcPr>
            <w:tcW w:w="975" w:type="dxa"/>
            <w:tcBorders>
              <w:top w:val="inset" w:color="auto" w:sz="8" w:space="0"/>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ascii="黑体" w:hAnsi="黑体" w:eastAsia="黑体" w:cs="宋体"/>
                <w:color w:val="282828"/>
                <w:kern w:val="0"/>
                <w:szCs w:val="21"/>
              </w:rPr>
            </w:pPr>
            <w:r>
              <w:rPr>
                <w:rFonts w:ascii="黑体" w:hAnsi="黑体" w:eastAsia="黑体" w:cs="宋体"/>
                <w:color w:val="282828"/>
                <w:kern w:val="0"/>
                <w:szCs w:val="21"/>
              </w:rPr>
              <w:t>序号</w:t>
            </w:r>
          </w:p>
        </w:tc>
        <w:tc>
          <w:tcPr>
            <w:tcW w:w="1843"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ascii="黑体" w:hAnsi="黑体" w:eastAsia="黑体" w:cs="宋体"/>
                <w:color w:val="282828"/>
                <w:kern w:val="0"/>
                <w:szCs w:val="21"/>
              </w:rPr>
            </w:pPr>
            <w:r>
              <w:rPr>
                <w:rFonts w:ascii="黑体" w:hAnsi="黑体" w:eastAsia="黑体" w:cs="宋体"/>
                <w:color w:val="282828"/>
                <w:kern w:val="0"/>
                <w:szCs w:val="21"/>
              </w:rPr>
              <w:t>运行环节</w:t>
            </w:r>
          </w:p>
        </w:tc>
        <w:tc>
          <w:tcPr>
            <w:tcW w:w="5424" w:type="dxa"/>
            <w:tcBorders>
              <w:top w:val="inset" w:color="auto" w:sz="8" w:space="0"/>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ascii="黑体" w:hAnsi="黑体" w:eastAsia="黑体" w:cs="宋体"/>
                <w:color w:val="282828"/>
                <w:kern w:val="0"/>
                <w:szCs w:val="21"/>
              </w:rPr>
            </w:pPr>
            <w:r>
              <w:rPr>
                <w:rFonts w:ascii="黑体" w:hAnsi="黑体" w:eastAsia="黑体" w:cs="宋体"/>
                <w:color w:val="282828"/>
                <w:kern w:val="0"/>
                <w:szCs w:val="21"/>
              </w:rPr>
              <w:t>责任事项</w:t>
            </w:r>
          </w:p>
        </w:tc>
      </w:tr>
      <w:tr>
        <w:tblPrEx>
          <w:shd w:val="clear" w:color="auto" w:fill="FFFFFF"/>
          <w:tblCellMar>
            <w:top w:w="15" w:type="dxa"/>
            <w:left w:w="15" w:type="dxa"/>
            <w:bottom w:w="15" w:type="dxa"/>
            <w:right w:w="15" w:type="dxa"/>
          </w:tblCellMar>
        </w:tblPrEx>
        <w:trPr>
          <w:trHeight w:val="683" w:hRule="atLeast"/>
          <w:jc w:val="center"/>
        </w:trPr>
        <w:tc>
          <w:tcPr>
            <w:tcW w:w="975"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1</w:t>
            </w:r>
          </w:p>
        </w:tc>
        <w:tc>
          <w:tcPr>
            <w:tcW w:w="1843"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Times New Roman" w:eastAsia="仿宋_GB2312" w:cs="Times New Roman"/>
                <w:b/>
                <w:bCs/>
                <w:color w:val="282828"/>
                <w:kern w:val="0"/>
                <w:szCs w:val="21"/>
              </w:rPr>
              <w:t>（一）受理</w:t>
            </w:r>
          </w:p>
        </w:tc>
        <w:tc>
          <w:tcPr>
            <w:tcW w:w="542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对符合受理条件的，应当制作受理通知书，并送达申请人。</w:t>
            </w:r>
          </w:p>
        </w:tc>
      </w:tr>
      <w:tr>
        <w:tblPrEx>
          <w:shd w:val="clear" w:color="auto" w:fill="FFFFFF"/>
          <w:tblCellMar>
            <w:top w:w="15" w:type="dxa"/>
            <w:left w:w="15" w:type="dxa"/>
            <w:bottom w:w="15" w:type="dxa"/>
            <w:right w:w="15" w:type="dxa"/>
          </w:tblCellMar>
        </w:tblPrEx>
        <w:trPr>
          <w:jc w:val="center"/>
        </w:trPr>
        <w:tc>
          <w:tcPr>
            <w:tcW w:w="975"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2</w:t>
            </w:r>
          </w:p>
        </w:tc>
        <w:tc>
          <w:tcPr>
            <w:tcW w:w="1843"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42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申请材料不齐全或者不符合法定形式的，应当一次性告知申请人需要补正的全部内容和合理的补正期限。</w:t>
            </w:r>
          </w:p>
        </w:tc>
      </w:tr>
      <w:tr>
        <w:tblPrEx>
          <w:shd w:val="clear" w:color="auto" w:fill="FFFFFF"/>
          <w:tblCellMar>
            <w:top w:w="15" w:type="dxa"/>
            <w:left w:w="15" w:type="dxa"/>
            <w:bottom w:w="15" w:type="dxa"/>
            <w:right w:w="15" w:type="dxa"/>
          </w:tblCellMar>
        </w:tblPrEx>
        <w:trPr>
          <w:jc w:val="center"/>
        </w:trPr>
        <w:tc>
          <w:tcPr>
            <w:tcW w:w="975"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3</w:t>
            </w:r>
          </w:p>
        </w:tc>
        <w:tc>
          <w:tcPr>
            <w:tcW w:w="1843"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42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对不符合受理条件的，应当书面告知申请人不予受理的理由和依据。</w:t>
            </w:r>
          </w:p>
        </w:tc>
      </w:tr>
      <w:tr>
        <w:tblPrEx>
          <w:shd w:val="clear" w:color="auto" w:fill="FFFFFF"/>
          <w:tblCellMar>
            <w:top w:w="15" w:type="dxa"/>
            <w:left w:w="15" w:type="dxa"/>
            <w:bottom w:w="15" w:type="dxa"/>
            <w:right w:w="15" w:type="dxa"/>
          </w:tblCellMar>
        </w:tblPrEx>
        <w:trPr>
          <w:trHeight w:val="744" w:hRule="atLeast"/>
          <w:jc w:val="center"/>
        </w:trPr>
        <w:tc>
          <w:tcPr>
            <w:tcW w:w="975"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4</w:t>
            </w:r>
          </w:p>
        </w:tc>
        <w:tc>
          <w:tcPr>
            <w:tcW w:w="1843" w:type="dxa"/>
            <w:vMerge w:val="restart"/>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Times New Roman" w:eastAsia="仿宋_GB2312" w:cs="Times New Roman"/>
                <w:b/>
                <w:bCs/>
                <w:color w:val="282828"/>
                <w:kern w:val="0"/>
                <w:szCs w:val="21"/>
              </w:rPr>
              <w:t>（二）审理</w:t>
            </w:r>
          </w:p>
        </w:tc>
        <w:tc>
          <w:tcPr>
            <w:tcW w:w="542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在法定期限内进行审理。</w:t>
            </w:r>
          </w:p>
        </w:tc>
      </w:tr>
      <w:tr>
        <w:tblPrEx>
          <w:shd w:val="clear" w:color="auto" w:fill="FFFFFF"/>
          <w:tblCellMar>
            <w:top w:w="15" w:type="dxa"/>
            <w:left w:w="15" w:type="dxa"/>
            <w:bottom w:w="15" w:type="dxa"/>
            <w:right w:w="15" w:type="dxa"/>
          </w:tblCellMar>
        </w:tblPrEx>
        <w:trPr>
          <w:jc w:val="center"/>
        </w:trPr>
        <w:tc>
          <w:tcPr>
            <w:tcW w:w="975"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5</w:t>
            </w:r>
          </w:p>
        </w:tc>
        <w:tc>
          <w:tcPr>
            <w:tcW w:w="1843"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42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通知争议申请人及对方当事人，并要求对方当事人在规定的期限内提交相关材料。</w:t>
            </w:r>
          </w:p>
        </w:tc>
      </w:tr>
      <w:tr>
        <w:tblPrEx>
          <w:shd w:val="clear" w:color="auto" w:fill="FFFFFF"/>
          <w:tblCellMar>
            <w:top w:w="15" w:type="dxa"/>
            <w:left w:w="15" w:type="dxa"/>
            <w:bottom w:w="15" w:type="dxa"/>
            <w:right w:w="15" w:type="dxa"/>
          </w:tblCellMar>
        </w:tblPrEx>
        <w:trPr>
          <w:jc w:val="center"/>
        </w:trPr>
        <w:tc>
          <w:tcPr>
            <w:tcW w:w="975"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6</w:t>
            </w:r>
          </w:p>
        </w:tc>
        <w:tc>
          <w:tcPr>
            <w:tcW w:w="1843"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42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对争议的事实、证据材料进行审查，针对疑问情况或经当事人请求，举行公开听证，由当事人双方当面陈述案情，进行辩论、举证、质证，以查明案情。</w:t>
            </w:r>
          </w:p>
        </w:tc>
      </w:tr>
      <w:tr>
        <w:tblPrEx>
          <w:shd w:val="clear" w:color="auto" w:fill="FFFFFF"/>
          <w:tblCellMar>
            <w:top w:w="15" w:type="dxa"/>
            <w:left w:w="15" w:type="dxa"/>
            <w:bottom w:w="15" w:type="dxa"/>
            <w:right w:w="15" w:type="dxa"/>
          </w:tblCellMar>
        </w:tblPrEx>
        <w:trPr>
          <w:trHeight w:val="742" w:hRule="atLeast"/>
          <w:jc w:val="center"/>
        </w:trPr>
        <w:tc>
          <w:tcPr>
            <w:tcW w:w="975"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7</w:t>
            </w:r>
          </w:p>
        </w:tc>
        <w:tc>
          <w:tcPr>
            <w:tcW w:w="1843" w:type="dxa"/>
            <w:vMerge w:val="continue"/>
            <w:tcBorders>
              <w:top w:val="nil"/>
              <w:left w:val="nil"/>
              <w:bottom w:val="inset" w:color="auto" w:sz="8" w:space="0"/>
              <w:right w:val="inset" w:color="auto" w:sz="8" w:space="0"/>
            </w:tcBorders>
            <w:shd w:val="clear" w:color="auto" w:fill="FFFFFF"/>
            <w:vAlign w:val="center"/>
          </w:tcPr>
          <w:p>
            <w:pPr>
              <w:widowControl/>
              <w:spacing w:line="400" w:lineRule="exact"/>
              <w:jc w:val="left"/>
              <w:rPr>
                <w:rFonts w:hint="eastAsia" w:ascii="仿宋_GB2312" w:hAnsi="微软雅黑" w:eastAsia="仿宋_GB2312" w:cs="宋体"/>
                <w:color w:val="404040"/>
                <w:kern w:val="0"/>
                <w:sz w:val="24"/>
                <w:szCs w:val="24"/>
              </w:rPr>
            </w:pPr>
          </w:p>
        </w:tc>
        <w:tc>
          <w:tcPr>
            <w:tcW w:w="542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审理时对确有必要的应当进行实地调查。</w:t>
            </w:r>
          </w:p>
        </w:tc>
      </w:tr>
      <w:tr>
        <w:tblPrEx>
          <w:tblCellMar>
            <w:top w:w="15" w:type="dxa"/>
            <w:left w:w="15" w:type="dxa"/>
            <w:bottom w:w="15" w:type="dxa"/>
            <w:right w:w="15" w:type="dxa"/>
          </w:tblCellMar>
        </w:tblPrEx>
        <w:trPr>
          <w:jc w:val="center"/>
        </w:trPr>
        <w:tc>
          <w:tcPr>
            <w:tcW w:w="975"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8</w:t>
            </w:r>
          </w:p>
        </w:tc>
        <w:tc>
          <w:tcPr>
            <w:tcW w:w="1843"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Times New Roman" w:eastAsia="仿宋_GB2312" w:cs="Times New Roman"/>
                <w:b/>
                <w:bCs/>
                <w:color w:val="282828"/>
                <w:kern w:val="0"/>
                <w:szCs w:val="21"/>
              </w:rPr>
              <w:t>（三）裁决</w:t>
            </w:r>
          </w:p>
        </w:tc>
        <w:tc>
          <w:tcPr>
            <w:tcW w:w="542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根据事实和法律、法规作出裁决，制作并向双方当事人送达裁决书。</w:t>
            </w:r>
          </w:p>
        </w:tc>
      </w:tr>
      <w:tr>
        <w:tblPrEx>
          <w:tblCellMar>
            <w:top w:w="15" w:type="dxa"/>
            <w:left w:w="15" w:type="dxa"/>
            <w:bottom w:w="15" w:type="dxa"/>
            <w:right w:w="15" w:type="dxa"/>
          </w:tblCellMar>
        </w:tblPrEx>
        <w:trPr>
          <w:trHeight w:val="695" w:hRule="atLeast"/>
          <w:jc w:val="center"/>
        </w:trPr>
        <w:tc>
          <w:tcPr>
            <w:tcW w:w="975" w:type="dxa"/>
            <w:tcBorders>
              <w:top w:val="nil"/>
              <w:left w:val="inset" w:color="auto" w:sz="8" w:space="0"/>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Calibri" w:eastAsia="仿宋_GB2312" w:cs="宋体"/>
                <w:color w:val="282828"/>
                <w:kern w:val="0"/>
                <w:szCs w:val="21"/>
              </w:rPr>
              <w:t>9</w:t>
            </w:r>
          </w:p>
        </w:tc>
        <w:tc>
          <w:tcPr>
            <w:tcW w:w="1843"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center"/>
              <w:rPr>
                <w:rFonts w:hint="eastAsia" w:ascii="仿宋_GB2312" w:hAnsi="微软雅黑" w:eastAsia="仿宋_GB2312" w:cs="宋体"/>
                <w:color w:val="404040"/>
                <w:kern w:val="0"/>
                <w:sz w:val="24"/>
                <w:szCs w:val="24"/>
              </w:rPr>
            </w:pPr>
            <w:r>
              <w:rPr>
                <w:rFonts w:hint="eastAsia" w:ascii="仿宋_GB2312" w:hAnsi="Times New Roman" w:eastAsia="仿宋_GB2312" w:cs="Times New Roman"/>
                <w:b/>
                <w:bCs/>
                <w:color w:val="282828"/>
                <w:kern w:val="0"/>
                <w:szCs w:val="21"/>
              </w:rPr>
              <w:t>（四）执行</w:t>
            </w:r>
          </w:p>
        </w:tc>
        <w:tc>
          <w:tcPr>
            <w:tcW w:w="5424" w:type="dxa"/>
            <w:tcBorders>
              <w:top w:val="nil"/>
              <w:left w:val="nil"/>
              <w:bottom w:val="inset" w:color="auto" w:sz="8" w:space="0"/>
              <w:right w:val="inset" w:color="auto" w:sz="8" w:space="0"/>
            </w:tcBorders>
            <w:shd w:val="clear" w:color="auto" w:fill="FFFFFF"/>
            <w:tcMar>
              <w:top w:w="0" w:type="dxa"/>
              <w:left w:w="0" w:type="dxa"/>
              <w:bottom w:w="0" w:type="dxa"/>
              <w:right w:w="0" w:type="dxa"/>
            </w:tcMar>
            <w:vAlign w:val="center"/>
          </w:tcPr>
          <w:p>
            <w:pPr>
              <w:widowControl/>
              <w:spacing w:line="400" w:lineRule="exact"/>
              <w:jc w:val="left"/>
              <w:rPr>
                <w:rFonts w:hint="eastAsia" w:ascii="仿宋_GB2312" w:hAnsi="微软雅黑" w:eastAsia="仿宋_GB2312" w:cs="宋体"/>
                <w:color w:val="404040"/>
                <w:kern w:val="0"/>
                <w:sz w:val="24"/>
                <w:szCs w:val="24"/>
              </w:rPr>
            </w:pPr>
            <w:r>
              <w:rPr>
                <w:rFonts w:hint="eastAsia" w:ascii="仿宋_GB2312" w:hAnsi="宋体" w:eastAsia="仿宋_GB2312" w:cs="宋体"/>
                <w:color w:val="282828"/>
                <w:kern w:val="0"/>
                <w:szCs w:val="21"/>
              </w:rPr>
              <w:t>裁决生效后，争议当事人应当自觉履行。</w:t>
            </w:r>
          </w:p>
        </w:tc>
      </w:tr>
    </w:tbl>
    <w:p>
      <w:pPr>
        <w:spacing w:after="156" w:afterLines="50" w:line="600" w:lineRule="exact"/>
        <w:ind w:firstLine="640" w:firstLineChars="200"/>
        <w:rPr>
          <w:rFonts w:hint="eastAsia" w:ascii="黑体" w:hAnsi="黑体" w:eastAsia="黑体"/>
          <w:color w:val="282828"/>
          <w:sz w:val="32"/>
          <w:szCs w:val="32"/>
          <w:shd w:val="clear" w:color="auto" w:fill="FFFFFF"/>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D6"/>
    <w:rsid w:val="003D03BF"/>
    <w:rsid w:val="005F5AD6"/>
    <w:rsid w:val="00642E9C"/>
    <w:rsid w:val="00E22892"/>
    <w:rsid w:val="00E938F8"/>
    <w:rsid w:val="00F63015"/>
    <w:rsid w:val="07C708E0"/>
    <w:rsid w:val="22970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 w:type="paragraph" w:customStyle="1" w:styleId="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15"/>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631</Words>
  <Characters>3598</Characters>
  <Lines>29</Lines>
  <Paragraphs>8</Paragraphs>
  <TotalTime>32</TotalTime>
  <ScaleCrop>false</ScaleCrop>
  <LinksUpToDate>false</LinksUpToDate>
  <CharactersWithSpaces>4221</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2020-11-11T08:14:00Z</dcterms:created>
  <dc:creator>Lenovo</dc:creator>
  <cp:lastModifiedBy>Administrator</cp:lastModifiedBy>
  <dcterms:modified xsi:type="dcterms:W3CDTF">2025-04-28T08:34:19Z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24CE8FC298A744EA8964F7907C13F8FE</vt:lpwstr>
  </property>
</Properties>
</file>