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eastAsia="宋体"/>
          <w:b/>
          <w:sz w:val="44"/>
          <w:szCs w:val="44"/>
        </w:rPr>
        <w:t>北京市西城区</w:t>
      </w:r>
      <w:r>
        <w:rPr>
          <w:rFonts w:hint="eastAsia" w:ascii="宋体" w:hAnsi="宋体"/>
          <w:b/>
          <w:sz w:val="44"/>
          <w:szCs w:val="44"/>
          <w:lang w:eastAsia="zh-CN"/>
        </w:rPr>
        <w:t>职业能力建设指导中心</w:t>
      </w:r>
    </w:p>
    <w:p>
      <w:pPr>
        <w:jc w:val="center"/>
        <w:rPr>
          <w:rFonts w:hint="eastAsia" w:ascii="宋体" w:hAnsi="宋体" w:eastAsia="宋体" w:cs="Times New Roman"/>
          <w:b/>
          <w:sz w:val="44"/>
          <w:szCs w:val="44"/>
        </w:rPr>
      </w:pPr>
      <w:r>
        <w:rPr>
          <w:rFonts w:hint="eastAsia" w:ascii="宋体" w:hAnsi="宋体" w:eastAsia="宋体" w:cs="Times New Roman"/>
          <w:b/>
          <w:sz w:val="44"/>
          <w:szCs w:val="44"/>
          <w:lang w:val="en-US" w:eastAsia="zh-CN"/>
        </w:rPr>
        <w:t>202</w:t>
      </w:r>
      <w:r>
        <w:rPr>
          <w:rFonts w:hint="eastAsia" w:ascii="宋体" w:hAnsi="宋体" w:cs="Times New Roman"/>
          <w:b/>
          <w:sz w:val="44"/>
          <w:szCs w:val="44"/>
          <w:lang w:val="en-US" w:eastAsia="zh-CN"/>
        </w:rPr>
        <w:t>5</w:t>
      </w:r>
      <w:r>
        <w:rPr>
          <w:rFonts w:hint="eastAsia" w:ascii="宋体" w:hAnsi="宋体" w:eastAsia="宋体" w:cs="Times New Roman"/>
          <w:b/>
          <w:sz w:val="44"/>
          <w:szCs w:val="44"/>
          <w:lang w:val="en-US" w:eastAsia="zh-CN"/>
        </w:rPr>
        <w:t>年</w:t>
      </w:r>
      <w:r>
        <w:rPr>
          <w:rFonts w:hint="eastAsia" w:ascii="宋体" w:hAnsi="宋体" w:eastAsia="宋体" w:cs="Times New Roman"/>
          <w:b/>
          <w:sz w:val="44"/>
          <w:szCs w:val="44"/>
        </w:rPr>
        <w:t>部门预算公开</w:t>
      </w:r>
    </w:p>
    <w:p>
      <w:pPr>
        <w:spacing w:line="560" w:lineRule="exact"/>
        <w:jc w:val="center"/>
        <w:rPr>
          <w:rFonts w:ascii="仿宋_GB2312" w:eastAsia="仿宋_GB2312"/>
          <w:b/>
          <w:color w:val="000000"/>
          <w:sz w:val="32"/>
          <w:szCs w:val="32"/>
        </w:rPr>
      </w:pPr>
      <w:r>
        <w:rPr>
          <w:rFonts w:ascii="仿宋_GB2312" w:eastAsia="仿宋_GB2312"/>
          <w:b/>
          <w:color w:val="000000"/>
          <w:sz w:val="32"/>
          <w:szCs w:val="32"/>
        </w:rPr>
        <w:t>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lang w:eastAsia="zh-CN"/>
        </w:rPr>
      </w:pPr>
      <w:r>
        <w:rPr>
          <w:rFonts w:hint="eastAsia" w:ascii="仿宋_GB2312" w:eastAsia="仿宋_GB2312"/>
          <w:sz w:val="32"/>
          <w:szCs w:val="32"/>
        </w:rPr>
        <w:t>表十二、</w:t>
      </w:r>
      <w:r>
        <w:rPr>
          <w:rFonts w:hint="eastAsia" w:ascii="仿宋_GB2312" w:eastAsia="仿宋_GB2312"/>
          <w:sz w:val="32"/>
          <w:szCs w:val="32"/>
          <w:lang w:eastAsia="zh-CN"/>
        </w:rPr>
        <w:t>专项</w:t>
      </w:r>
      <w:r>
        <w:rPr>
          <w:rFonts w:hint="eastAsia" w:ascii="仿宋_GB2312" w:eastAsia="仿宋_GB2312"/>
          <w:sz w:val="32"/>
          <w:szCs w:val="32"/>
        </w:rPr>
        <w:t>转移支付</w:t>
      </w:r>
      <w:r>
        <w:rPr>
          <w:rFonts w:hint="eastAsia" w:ascii="仿宋_GB2312" w:eastAsia="仿宋_GB2312"/>
          <w:sz w:val="32"/>
          <w:szCs w:val="32"/>
          <w:lang w:eastAsia="zh-CN"/>
        </w:rPr>
        <w:t>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rPr>
          <w:rFonts w:hint="eastAsia"/>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spacing w:line="56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sz w:val="32"/>
          <w:szCs w:val="32"/>
        </w:rPr>
        <w:t>一、</w:t>
      </w:r>
      <w:r>
        <w:rPr>
          <w:rFonts w:hint="eastAsia" w:ascii="黑体" w:hAnsi="黑体" w:eastAsia="黑体" w:cs="黑体"/>
          <w:b/>
          <w:bCs/>
          <w:color w:val="000000"/>
          <w:sz w:val="32"/>
          <w:szCs w:val="32"/>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内设机构：设</w:t>
      </w:r>
      <w:r>
        <w:rPr>
          <w:rFonts w:hint="eastAsia" w:ascii="仿宋_GB2312" w:hAnsi="仿宋" w:eastAsia="仿宋_GB2312"/>
          <w:sz w:val="32"/>
          <w:szCs w:val="32"/>
          <w:lang w:eastAsia="zh-CN"/>
        </w:rPr>
        <w:t>办公室、督导部、信息部</w:t>
      </w:r>
      <w:r>
        <w:rPr>
          <w:rFonts w:hint="eastAsia" w:ascii="仿宋_GB2312" w:hAnsi="仿宋" w:eastAsia="仿宋_GB2312"/>
          <w:sz w:val="32"/>
          <w:szCs w:val="32"/>
          <w:lang w:val="en-US" w:eastAsia="zh-CN"/>
        </w:rPr>
        <w:t>3</w:t>
      </w:r>
      <w:r>
        <w:rPr>
          <w:rFonts w:hint="eastAsia" w:ascii="仿宋_GB2312" w:hAnsi="仿宋" w:eastAsia="仿宋_GB2312"/>
          <w:sz w:val="32"/>
          <w:szCs w:val="32"/>
        </w:rPr>
        <w:t>个</w:t>
      </w:r>
      <w:r>
        <w:rPr>
          <w:rFonts w:hint="eastAsia" w:ascii="仿宋_GB2312" w:hAnsi="仿宋" w:eastAsia="仿宋_GB2312"/>
          <w:sz w:val="32"/>
          <w:szCs w:val="32"/>
          <w:lang w:eastAsia="zh-CN"/>
        </w:rPr>
        <w:t>部门。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(1)负责指导本区职业技能培训机构业务开展的辅助性、事务性工作。</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(2)对本区职业技能培训机构开展业务培训。</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(3)负责对辖区内职业技能培训机构进行督导评估</w:t>
      </w:r>
      <w:r>
        <w:rPr>
          <w:rFonts w:hint="eastAsia" w:ascii="仿宋" w:hAnsi="仿宋" w:eastAsia="仿宋" w:cs="仿宋"/>
          <w:kern w:val="0"/>
          <w:sz w:val="32"/>
          <w:szCs w:val="32"/>
          <w:lang w:val="en-US" w:eastAsia="zh-CN"/>
        </w:rPr>
        <w:t>。</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sz w:val="32"/>
          <w:szCs w:val="32"/>
        </w:rPr>
      </w:pPr>
      <w:r>
        <w:rPr>
          <w:rFonts w:hint="eastAsia" w:ascii="仿宋" w:hAnsi="仿宋" w:eastAsia="仿宋" w:cs="仿宋"/>
          <w:kern w:val="0"/>
          <w:sz w:val="32"/>
          <w:szCs w:val="32"/>
        </w:rPr>
        <w:t>(4)对辖区内各类失业人员免费职业技能培训。</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576" w:firstLineChars="200"/>
        <w:rPr>
          <w:rFonts w:ascii="仿宋_GB2312" w:hAnsi="仿宋" w:eastAsia="仿宋_GB2312"/>
          <w:sz w:val="32"/>
          <w:szCs w:val="32"/>
        </w:rPr>
      </w:pPr>
      <w:r>
        <w:rPr>
          <w:rFonts w:hint="eastAsia" w:ascii="仿宋" w:hAnsi="仿宋" w:eastAsia="仿宋" w:cs="仿宋_GB2312"/>
          <w:spacing w:val="-16"/>
          <w:kern w:val="0"/>
          <w:sz w:val="32"/>
          <w:szCs w:val="32"/>
        </w:rPr>
        <w:t>西城区职业能力建设指导中心</w:t>
      </w:r>
      <w:r>
        <w:rPr>
          <w:rFonts w:hint="eastAsia" w:ascii="仿宋" w:hAnsi="仿宋" w:eastAsia="仿宋" w:cs="仿宋_GB2312"/>
          <w:spacing w:val="-16"/>
          <w:kern w:val="0"/>
          <w:sz w:val="32"/>
          <w:szCs w:val="32"/>
          <w:lang w:eastAsia="zh-CN"/>
        </w:rPr>
        <w:t>事业</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人；实际在职</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15</w:t>
      </w:r>
      <w:r>
        <w:rPr>
          <w:rFonts w:hint="eastAsia" w:ascii="仿宋_GB2312" w:hAnsi="仿宋" w:eastAsia="仿宋_GB2312"/>
          <w:sz w:val="32"/>
          <w:szCs w:val="32"/>
        </w:rPr>
        <w:t>人。</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年收入预算</w:t>
      </w:r>
      <w:r>
        <w:rPr>
          <w:rFonts w:hint="eastAsia" w:ascii="仿宋" w:hAnsi="仿宋" w:eastAsia="仿宋" w:cs="仿宋"/>
          <w:sz w:val="32"/>
          <w:szCs w:val="32"/>
        </w:rPr>
        <w:t>3,610,351.94</w:t>
      </w:r>
      <w:r>
        <w:rPr>
          <w:rFonts w:hint="eastAsia" w:ascii="仿宋_GB2312" w:hAnsi="仿宋" w:eastAsia="仿宋_GB2312"/>
          <w:sz w:val="32"/>
          <w:szCs w:val="32"/>
        </w:rPr>
        <w:t>元，其中</w:t>
      </w:r>
      <w:r>
        <w:rPr>
          <w:rFonts w:ascii="仿宋_GB2312" w:hAnsi="仿宋" w:eastAsia="仿宋_GB2312"/>
          <w:sz w:val="32"/>
          <w:szCs w:val="32"/>
        </w:rPr>
        <w:t>:</w:t>
      </w:r>
      <w:r>
        <w:rPr>
          <w:rFonts w:hint="eastAsia" w:ascii="仿宋_GB2312" w:hAnsi="仿宋" w:eastAsia="仿宋_GB2312"/>
          <w:sz w:val="32"/>
          <w:szCs w:val="32"/>
        </w:rPr>
        <w:t>一般公共预算财</w:t>
      </w:r>
      <w:r>
        <w:rPr>
          <w:rFonts w:hint="eastAsia" w:ascii="仿宋_GB2312" w:hAnsi="仿宋" w:eastAsia="仿宋_GB2312"/>
          <w:sz w:val="32"/>
          <w:szCs w:val="32"/>
          <w:lang w:eastAsia="zh-CN"/>
        </w:rPr>
        <w:t>政</w:t>
      </w:r>
      <w:r>
        <w:rPr>
          <w:rFonts w:hint="eastAsia" w:ascii="仿宋_GB2312" w:hAnsi="仿宋" w:eastAsia="仿宋_GB2312"/>
          <w:sz w:val="32"/>
          <w:szCs w:val="32"/>
        </w:rPr>
        <w:t>拨款</w:t>
      </w:r>
      <w:r>
        <w:rPr>
          <w:rFonts w:hint="eastAsia" w:ascii="仿宋" w:hAnsi="仿宋" w:eastAsia="仿宋" w:cs="仿宋"/>
          <w:sz w:val="32"/>
          <w:szCs w:val="32"/>
        </w:rPr>
        <w:t>3,610,351.94</w:t>
      </w:r>
      <w:r>
        <w:rPr>
          <w:rFonts w:hint="eastAsia" w:ascii="仿宋_GB2312" w:hAnsi="仿宋" w:eastAsia="仿宋_GB2312"/>
          <w:sz w:val="32"/>
          <w:szCs w:val="32"/>
        </w:rPr>
        <w:t>元。比</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3,982,008.13</w:t>
      </w:r>
      <w:r>
        <w:rPr>
          <w:rFonts w:hint="eastAsia" w:ascii="仿宋_GB2312" w:hAnsi="仿宋" w:eastAsia="仿宋_GB2312"/>
          <w:sz w:val="32"/>
          <w:szCs w:val="32"/>
        </w:rPr>
        <w:t>元</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val="en-US" w:eastAsia="zh-CN"/>
        </w:rPr>
        <w:t>371,656.19</w:t>
      </w:r>
      <w:r>
        <w:rPr>
          <w:rFonts w:hint="eastAsia" w:ascii="仿宋_GB2312" w:hAnsi="仿宋" w:eastAsia="仿宋_GB2312"/>
          <w:sz w:val="32"/>
          <w:szCs w:val="32"/>
        </w:rPr>
        <w:t>元</w:t>
      </w:r>
      <w:r>
        <w:rPr>
          <w:rFonts w:hint="eastAsia" w:ascii="仿宋_GB2312" w:hAnsi="仿宋" w:eastAsia="仿宋_GB2312"/>
          <w:sz w:val="32"/>
          <w:szCs w:val="32"/>
          <w:lang w:val="en-US" w:eastAsia="zh-CN"/>
        </w:rPr>
        <w:t>减</w:t>
      </w:r>
      <w:r>
        <w:rPr>
          <w:rFonts w:hint="eastAsia" w:ascii="仿宋_GB2312" w:hAnsi="仿宋" w:eastAsia="仿宋_GB2312"/>
          <w:sz w:val="32"/>
          <w:szCs w:val="32"/>
        </w:rPr>
        <w:t>幅</w:t>
      </w:r>
      <w:r>
        <w:rPr>
          <w:rFonts w:hint="eastAsia" w:ascii="仿宋_GB2312" w:hAnsi="仿宋" w:eastAsia="仿宋_GB2312"/>
          <w:sz w:val="32"/>
          <w:szCs w:val="32"/>
          <w:lang w:val="en-US" w:eastAsia="zh-CN"/>
        </w:rPr>
        <w:t>9.3</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的主要原因是</w:t>
      </w:r>
      <w:r>
        <w:rPr>
          <w:rFonts w:hint="eastAsia" w:ascii="仿宋_GB2312" w:hAnsi="仿宋" w:eastAsia="仿宋_GB2312"/>
          <w:sz w:val="32"/>
          <w:szCs w:val="32"/>
          <w:lang w:eastAsia="zh-CN"/>
        </w:rPr>
        <w:t>人员退休导致工资、各种保险、公用支出的的减少。</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年支出预算按用途划分：</w:t>
      </w:r>
    </w:p>
    <w:p>
      <w:pPr>
        <w:numPr>
          <w:ilvl w:val="0"/>
          <w:numId w:val="1"/>
        </w:numPr>
        <w:spacing w:line="360" w:lineRule="auto"/>
        <w:ind w:firstLine="640" w:firstLineChars="200"/>
        <w:rPr>
          <w:rFonts w:hint="default" w:ascii="仿宋" w:hAnsi="仿宋" w:eastAsia="仿宋" w:cs="Times New Roman"/>
          <w:sz w:val="32"/>
          <w:szCs w:val="32"/>
          <w:lang w:val="en-US"/>
        </w:rPr>
      </w:pPr>
      <w:r>
        <w:rPr>
          <w:rFonts w:hint="eastAsia" w:ascii="仿宋" w:hAnsi="仿宋" w:eastAsia="仿宋" w:cs="仿宋"/>
          <w:sz w:val="32"/>
          <w:szCs w:val="32"/>
        </w:rPr>
        <w:t>基本支出预算3,610,351.94</w:t>
      </w:r>
      <w:r>
        <w:rPr>
          <w:rFonts w:hint="eastAsia" w:ascii="仿宋_GB2312" w:hAnsi="仿宋" w:eastAsia="仿宋_GB2312"/>
          <w:sz w:val="32"/>
          <w:szCs w:val="32"/>
        </w:rPr>
        <w:t>元</w:t>
      </w:r>
      <w:r>
        <w:rPr>
          <w:rFonts w:hint="eastAsia" w:ascii="仿宋" w:hAnsi="仿宋" w:eastAsia="仿宋" w:cs="仿宋"/>
          <w:sz w:val="32"/>
          <w:szCs w:val="32"/>
        </w:rPr>
        <w:t>，占总支出预算的</w:t>
      </w:r>
      <w:r>
        <w:rPr>
          <w:rFonts w:hint="eastAsia" w:ascii="仿宋" w:hAnsi="仿宋" w:eastAsia="仿宋" w:cs="仿宋"/>
          <w:sz w:val="32"/>
          <w:szCs w:val="32"/>
          <w:lang w:val="en-US" w:eastAsia="zh-CN"/>
        </w:rPr>
        <w:t>100</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3,937,361.79</w:t>
      </w:r>
      <w:r>
        <w:rPr>
          <w:rFonts w:hint="eastAsia" w:ascii="仿宋" w:hAnsi="仿宋" w:eastAsia="仿宋" w:cs="仿宋"/>
          <w:sz w:val="32"/>
          <w:szCs w:val="32"/>
        </w:rPr>
        <w:t>元</w:t>
      </w:r>
      <w:r>
        <w:rPr>
          <w:rFonts w:hint="eastAsia" w:ascii="仿宋" w:hAnsi="仿宋" w:eastAsia="仿宋" w:cs="仿宋"/>
          <w:sz w:val="32"/>
          <w:szCs w:val="32"/>
          <w:lang w:val="en-US" w:eastAsia="zh-CN"/>
        </w:rPr>
        <w:t>减少327,009.85元，减少的主要原因是人员退休导致</w:t>
      </w:r>
      <w:bookmarkStart w:id="4" w:name="_GoBack"/>
      <w:bookmarkEnd w:id="4"/>
      <w:r>
        <w:rPr>
          <w:rFonts w:hint="eastAsia" w:ascii="仿宋" w:hAnsi="仿宋" w:eastAsia="仿宋" w:cs="仿宋"/>
          <w:sz w:val="32"/>
          <w:szCs w:val="32"/>
          <w:lang w:val="en-US" w:eastAsia="zh-CN"/>
        </w:rPr>
        <w:t>人员工资、各种保险、公用支出的减少。</w:t>
      </w:r>
    </w:p>
    <w:p>
      <w:pPr>
        <w:numPr>
          <w:ilvl w:val="0"/>
          <w:numId w:val="1"/>
        </w:numPr>
        <w:spacing w:line="360" w:lineRule="auto"/>
        <w:ind w:firstLine="640" w:firstLineChars="200"/>
        <w:rPr>
          <w:rFonts w:hint="default" w:ascii="仿宋" w:hAnsi="仿宋" w:eastAsia="仿宋" w:cs="Times New Roman"/>
          <w:sz w:val="32"/>
          <w:szCs w:val="32"/>
          <w:lang w:val="en-US"/>
        </w:rPr>
      </w:pP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0</w:t>
      </w:r>
      <w:r>
        <w:rPr>
          <w:rFonts w:hint="eastAsia" w:ascii="仿宋" w:hAnsi="仿宋" w:eastAsia="仿宋" w:cs="仿宋"/>
          <w:sz w:val="32"/>
          <w:szCs w:val="32"/>
        </w:rPr>
        <w:t>元，比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44,646.34元减少44,646.34</w:t>
      </w:r>
      <w:r>
        <w:rPr>
          <w:rFonts w:hint="eastAsia" w:ascii="仿宋" w:hAnsi="仿宋" w:eastAsia="仿宋" w:cs="仿宋"/>
          <w:sz w:val="32"/>
          <w:szCs w:val="32"/>
        </w:rPr>
        <w:t>元。</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_GB2312" w:hAnsi="仿宋" w:eastAsia="仿宋_GB2312"/>
          <w:sz w:val="32"/>
          <w:szCs w:val="32"/>
          <w:lang w:val="en-US" w:eastAsia="zh-CN"/>
        </w:rPr>
        <w:t>业务费受政策影响不在进行督导及不再保留预留机动经费。</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pacing w:line="560" w:lineRule="exact"/>
        <w:ind w:firstLine="640" w:firstLineChars="200"/>
        <w:rPr>
          <w:rFonts w:ascii="仿宋" w:hAnsi="仿宋" w:eastAsia="仿宋" w:cs="Times New Roman"/>
          <w:sz w:val="32"/>
          <w:szCs w:val="32"/>
        </w:rPr>
      </w:pPr>
      <w:bookmarkStart w:id="0" w:name="_Toc25448"/>
      <w:bookmarkStart w:id="1" w:name="_Toc17531"/>
      <w:r>
        <w:rPr>
          <w:rFonts w:hint="eastAsia" w:ascii="仿宋" w:hAnsi="仿宋" w:eastAsia="仿宋" w:cs="仿宋"/>
          <w:sz w:val="32"/>
          <w:szCs w:val="32"/>
        </w:rPr>
        <w:t>（一）</w:t>
      </w:r>
      <w:bookmarkEnd w:id="0"/>
      <w:bookmarkEnd w:id="1"/>
      <w:bookmarkStart w:id="2" w:name="_Toc3237"/>
      <w:bookmarkStart w:id="3" w:name="_Toc7025"/>
      <w:r>
        <w:rPr>
          <w:rFonts w:hint="eastAsia" w:ascii="仿宋_GB2312" w:hAnsi="仿宋_GB2312" w:eastAsia="仿宋_GB2312" w:cs="仿宋_GB2312"/>
          <w:color w:val="000000"/>
          <w:sz w:val="32"/>
          <w:szCs w:val="32"/>
          <w:lang w:val="en-US" w:eastAsia="zh-CN"/>
        </w:rPr>
        <w:t>基本支出：主要包括在职、离退休人员支出、个人和家庭补助支出、公用支出。</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（二）项目支出</w:t>
      </w:r>
      <w:bookmarkEnd w:id="2"/>
      <w:bookmarkEnd w:id="3"/>
      <w:r>
        <w:rPr>
          <w:rFonts w:hint="eastAsia" w:ascii="仿宋" w:hAnsi="仿宋" w:eastAsia="仿宋" w:cs="仿宋"/>
          <w:sz w:val="32"/>
          <w:szCs w:val="32"/>
          <w:lang w:eastAsia="zh-CN"/>
        </w:rPr>
        <w:t>：本年无项目支出。</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202</w:t>
      </w:r>
      <w:r>
        <w:rPr>
          <w:rFonts w:hint="eastAsia" w:ascii="黑体" w:hAnsi="黑体" w:eastAsia="黑体" w:cs="黑体"/>
          <w:sz w:val="30"/>
          <w:szCs w:val="30"/>
          <w:lang w:val="en-US" w:eastAsia="zh-CN"/>
        </w:rPr>
        <w:t>5</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预算单位范围</w:t>
      </w:r>
    </w:p>
    <w:p>
      <w:pPr>
        <w:spacing w:line="360" w:lineRule="auto"/>
        <w:ind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预算</w:t>
      </w:r>
      <w:r>
        <w:rPr>
          <w:rFonts w:hint="eastAsia" w:ascii="仿宋" w:hAnsi="仿宋" w:eastAsia="仿宋"/>
          <w:sz w:val="32"/>
          <w:szCs w:val="32"/>
        </w:rPr>
        <w:t>单位范围：</w:t>
      </w:r>
      <w:r>
        <w:rPr>
          <w:rFonts w:hint="eastAsia" w:ascii="仿宋" w:hAnsi="仿宋" w:eastAsia="仿宋"/>
          <w:sz w:val="32"/>
          <w:szCs w:val="32"/>
          <w:lang w:val="en-US" w:eastAsia="zh-CN"/>
        </w:rPr>
        <w:t>北京市</w:t>
      </w:r>
      <w:r>
        <w:rPr>
          <w:rFonts w:hint="eastAsia" w:ascii="仿宋" w:hAnsi="仿宋" w:eastAsia="仿宋"/>
          <w:sz w:val="32"/>
          <w:szCs w:val="32"/>
        </w:rPr>
        <w:t>西城区职业能力建设指导中心。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19,499.04</w:t>
      </w:r>
      <w:r>
        <w:rPr>
          <w:rFonts w:hint="eastAsia" w:ascii="仿宋" w:hAnsi="仿宋" w:eastAsia="仿宋" w:cs="仿宋"/>
          <w:sz w:val="32"/>
          <w:szCs w:val="32"/>
        </w:rPr>
        <w:t>元，</w:t>
      </w:r>
      <w:r>
        <w:rPr>
          <w:rFonts w:hint="eastAsia" w:ascii="仿宋" w:hAnsi="仿宋" w:eastAsia="仿宋" w:cs="仿宋"/>
          <w:sz w:val="32"/>
          <w:szCs w:val="32"/>
          <w:lang w:val="en-US"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26,134.02</w:t>
      </w:r>
      <w:r>
        <w:rPr>
          <w:rFonts w:hint="eastAsia" w:ascii="仿宋" w:hAnsi="仿宋" w:eastAsia="仿宋" w:cs="仿宋"/>
          <w:sz w:val="32"/>
          <w:szCs w:val="32"/>
        </w:rPr>
        <w:t>元</w:t>
      </w:r>
      <w:r>
        <w:rPr>
          <w:rFonts w:hint="eastAsia" w:ascii="仿宋" w:hAnsi="仿宋" w:eastAsia="仿宋" w:cs="仿宋"/>
          <w:sz w:val="32"/>
          <w:szCs w:val="32"/>
          <w:lang w:val="en-US" w:eastAsia="zh-CN"/>
        </w:rPr>
        <w:t>减少6,634.98元,主要原因是公务用车运行维护费标准调整。</w:t>
      </w:r>
      <w:r>
        <w:rPr>
          <w:rFonts w:hint="eastAsia" w:ascii="仿宋" w:hAnsi="仿宋" w:eastAsia="仿宋" w:cs="仿宋"/>
          <w:sz w:val="32"/>
          <w:szCs w:val="32"/>
        </w:rPr>
        <w:t>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hint="default" w:ascii="仿宋" w:hAnsi="仿宋" w:eastAsia="仿宋" w:cs="仿宋"/>
          <w:sz w:val="32"/>
          <w:szCs w:val="32"/>
          <w:lang w:val="en-US" w:eastAsia="zh-CN"/>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1,499.04</w:t>
      </w:r>
      <w:r>
        <w:rPr>
          <w:rFonts w:hint="eastAsia" w:ascii="仿宋" w:hAnsi="仿宋" w:eastAsia="仿宋" w:cs="仿宋"/>
          <w:sz w:val="32"/>
          <w:szCs w:val="32"/>
        </w:rPr>
        <w:t>元，</w:t>
      </w:r>
      <w:r>
        <w:rPr>
          <w:rFonts w:hint="eastAsia" w:ascii="仿宋" w:hAnsi="仿宋" w:eastAsia="仿宋" w:cs="仿宋"/>
          <w:sz w:val="32"/>
          <w:szCs w:val="32"/>
          <w:lang w:eastAsia="zh-CN"/>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134.98元。</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hint="default" w:ascii="仿宋" w:hAnsi="仿宋" w:eastAsia="仿宋" w:cs="Times New Roman"/>
          <w:color w:val="FF0000"/>
          <w:sz w:val="32"/>
          <w:szCs w:val="32"/>
          <w:lang w:val="en-US" w:eastAsia="zh-CN"/>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年公务用车财政预算数量为</w:t>
      </w:r>
      <w:r>
        <w:rPr>
          <w:rFonts w:hint="eastAsia" w:ascii="仿宋" w:hAnsi="仿宋" w:eastAsia="仿宋" w:cs="仿宋"/>
          <w:sz w:val="32"/>
          <w:szCs w:val="32"/>
          <w:lang w:val="en-US" w:eastAsia="zh-CN"/>
        </w:rPr>
        <w:t>1</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年公务用车购置及运行维护费财政预算数</w:t>
      </w:r>
      <w:r>
        <w:rPr>
          <w:rFonts w:hint="eastAsia" w:ascii="仿宋" w:hAnsi="仿宋" w:eastAsia="仿宋" w:cs="仿宋"/>
          <w:sz w:val="32"/>
          <w:szCs w:val="32"/>
          <w:lang w:val="en-US" w:eastAsia="zh-CN"/>
        </w:rPr>
        <w:t>18,000</w:t>
      </w:r>
      <w:r>
        <w:rPr>
          <w:rFonts w:hint="eastAsia" w:ascii="仿宋" w:hAnsi="仿宋" w:eastAsia="仿宋" w:cs="仿宋"/>
          <w:sz w:val="32"/>
          <w:szCs w:val="32"/>
        </w:rPr>
        <w:t>元，</w:t>
      </w:r>
      <w:r>
        <w:rPr>
          <w:rFonts w:hint="eastAsia" w:ascii="仿宋" w:hAnsi="仿宋" w:eastAsia="仿宋"/>
          <w:sz w:val="32"/>
          <w:szCs w:val="32"/>
          <w:lang w:val="en-US" w:eastAsia="zh-CN"/>
        </w:rPr>
        <w:t>比</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年公务用车运行维护</w:t>
      </w:r>
      <w:r>
        <w:rPr>
          <w:rFonts w:hint="eastAsia" w:ascii="仿宋" w:hAnsi="仿宋" w:eastAsia="仿宋"/>
          <w:sz w:val="32"/>
          <w:szCs w:val="32"/>
          <w:lang w:val="en-US" w:eastAsia="zh-CN"/>
        </w:rPr>
        <w:t>24,500元减少6,500元,主要原因是</w:t>
      </w:r>
      <w:r>
        <w:rPr>
          <w:rFonts w:hint="eastAsia" w:ascii="仿宋" w:hAnsi="仿宋" w:eastAsia="仿宋" w:cs="仿宋"/>
          <w:sz w:val="32"/>
          <w:szCs w:val="32"/>
          <w:lang w:val="en-US" w:eastAsia="zh-CN"/>
        </w:rPr>
        <w:t>公务用车运行维护费标准调整</w:t>
      </w:r>
      <w:r>
        <w:rPr>
          <w:rFonts w:hint="eastAsia" w:ascii="仿宋" w:hAnsi="仿宋" w:eastAsia="仿宋"/>
          <w:sz w:val="32"/>
          <w:szCs w:val="32"/>
          <w:lang w:val="en-US" w:eastAsia="zh-CN"/>
        </w:rPr>
        <w:t>。</w:t>
      </w:r>
    </w:p>
    <w:p>
      <w:pPr>
        <w:numPr>
          <w:ilvl w:val="0"/>
          <w:numId w:val="2"/>
        </w:numPr>
        <w:spacing w:line="560" w:lineRule="exact"/>
        <w:ind w:firstLine="643" w:firstLineChars="200"/>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其他情况说明</w:t>
      </w:r>
    </w:p>
    <w:p>
      <w:pPr>
        <w:spacing w:line="560" w:lineRule="exact"/>
        <w:ind w:firstLine="960" w:firstLineChars="300"/>
        <w:rPr>
          <w:rFonts w:hint="eastAsia" w:ascii="仿宋" w:hAnsi="仿宋" w:eastAsia="仿宋" w:cs="Times New Roman"/>
          <w:sz w:val="32"/>
          <w:szCs w:val="32"/>
          <w:lang w:eastAsia="zh-CN"/>
        </w:rPr>
      </w:pPr>
      <w:r>
        <w:rPr>
          <w:rFonts w:ascii="仿宋" w:hAnsi="仿宋" w:eastAsia="仿宋" w:cs="仿宋"/>
          <w:sz w:val="32"/>
          <w:szCs w:val="32"/>
        </w:rPr>
        <w:t>(</w:t>
      </w:r>
      <w:r>
        <w:rPr>
          <w:rFonts w:hint="eastAsia" w:ascii="仿宋" w:hAnsi="仿宋" w:eastAsia="仿宋" w:cs="仿宋"/>
          <w:sz w:val="32"/>
          <w:szCs w:val="32"/>
          <w:lang w:eastAsia="zh-CN"/>
        </w:rPr>
        <w:t>一</w:t>
      </w:r>
      <w:r>
        <w:rPr>
          <w:rFonts w:ascii="仿宋" w:hAnsi="仿宋" w:eastAsia="仿宋" w:cs="仿宋"/>
          <w:sz w:val="32"/>
          <w:szCs w:val="32"/>
        </w:rPr>
        <w:t>)</w:t>
      </w:r>
      <w:r>
        <w:rPr>
          <w:rFonts w:hint="eastAsia" w:ascii="仿宋" w:hAnsi="仿宋" w:eastAsia="仿宋" w:cs="仿宋"/>
          <w:sz w:val="32"/>
          <w:szCs w:val="32"/>
          <w:lang w:val="en-US" w:eastAsia="zh-CN"/>
        </w:rPr>
        <w:t>机构运行经费</w:t>
      </w:r>
      <w:r>
        <w:rPr>
          <w:rFonts w:hint="eastAsia" w:ascii="仿宋" w:hAnsi="仿宋" w:eastAsia="仿宋" w:cs="仿宋"/>
          <w:sz w:val="32"/>
          <w:szCs w:val="32"/>
        </w:rPr>
        <w:t>说明</w:t>
      </w:r>
      <w:r>
        <w:rPr>
          <w:rFonts w:hint="eastAsia" w:ascii="仿宋" w:hAnsi="仿宋" w:eastAsia="仿宋" w:cs="仿宋"/>
          <w:sz w:val="32"/>
          <w:szCs w:val="32"/>
          <w:lang w:eastAsia="zh-CN"/>
        </w:rPr>
        <w:t>：</w:t>
      </w:r>
      <w:r>
        <w:rPr>
          <w:rFonts w:hint="eastAsia" w:ascii="仿宋_GB2312" w:hAnsi="仿宋_GB2312" w:eastAsia="仿宋_GB2312" w:cs="仿宋_GB2312"/>
          <w:color w:val="000000"/>
          <w:sz w:val="32"/>
          <w:szCs w:val="32"/>
          <w:lang w:val="en-US" w:eastAsia="zh-CN"/>
        </w:rPr>
        <w:t>2025年维持单位运行，用于一般公共预算安排的事业运行经费，合计29.48万元。事业运行经费是指为保障单位正常运行，用于购买货物和服务的各项资金，包括办公及印刷费、邮电费、差旅费、会议费、福利费、日常维修费、专用材料及一般设备购置费等。</w:t>
      </w:r>
    </w:p>
    <w:p>
      <w:pPr>
        <w:spacing w:line="360" w:lineRule="auto"/>
        <w:ind w:firstLine="960" w:firstLineChars="300"/>
        <w:jc w:val="left"/>
        <w:rPr>
          <w:rFonts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）政府</w:t>
      </w:r>
      <w:r>
        <w:rPr>
          <w:rFonts w:hint="eastAsia" w:ascii="仿宋" w:hAnsi="仿宋" w:eastAsia="仿宋" w:cs="仿宋"/>
          <w:sz w:val="32"/>
          <w:szCs w:val="32"/>
          <w:lang w:eastAsia="zh-CN"/>
        </w:rPr>
        <w:t>采购</w:t>
      </w:r>
      <w:r>
        <w:rPr>
          <w:rFonts w:hint="eastAsia" w:ascii="仿宋" w:hAnsi="仿宋" w:eastAsia="仿宋" w:cs="仿宋"/>
          <w:sz w:val="32"/>
          <w:szCs w:val="32"/>
        </w:rPr>
        <w:t>预算说明</w:t>
      </w:r>
    </w:p>
    <w:p>
      <w:pPr>
        <w:ind w:firstLine="960" w:firstLineChars="3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不</w:t>
      </w:r>
      <w:r>
        <w:rPr>
          <w:rFonts w:hint="eastAsia" w:ascii="仿宋" w:hAnsi="仿宋" w:eastAsia="仿宋" w:cs="仿宋"/>
          <w:sz w:val="32"/>
          <w:szCs w:val="32"/>
        </w:rPr>
        <w:t>涉及政府</w:t>
      </w:r>
      <w:r>
        <w:rPr>
          <w:rFonts w:hint="eastAsia" w:ascii="仿宋" w:hAnsi="仿宋" w:eastAsia="仿宋" w:cs="仿宋"/>
          <w:sz w:val="32"/>
          <w:szCs w:val="32"/>
          <w:lang w:eastAsia="zh-CN"/>
        </w:rPr>
        <w:t>采购</w:t>
      </w:r>
      <w:r>
        <w:rPr>
          <w:rFonts w:hint="eastAsia" w:ascii="仿宋" w:hAnsi="仿宋" w:eastAsia="仿宋" w:cs="仿宋"/>
          <w:sz w:val="32"/>
          <w:szCs w:val="32"/>
        </w:rPr>
        <w:t>项目。</w:t>
      </w:r>
    </w:p>
    <w:p>
      <w:pPr>
        <w:ind w:firstLine="960" w:firstLineChars="300"/>
        <w:rPr>
          <w:rFonts w:ascii="仿宋" w:hAnsi="仿宋" w:eastAsia="仿宋" w:cs="Times New Roman"/>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_GB2312" w:eastAsia="仿宋_GB2312" w:cs="仿宋_GB2312"/>
          <w:color w:val="000000"/>
          <w:sz w:val="32"/>
          <w:szCs w:val="32"/>
        </w:rPr>
        <w:t>政府购买服务预算说明</w:t>
      </w:r>
    </w:p>
    <w:p>
      <w:pPr>
        <w:spacing w:line="560" w:lineRule="exact"/>
        <w:ind w:firstLine="960" w:firstLineChars="3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年涉及政府购买服务项目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560" w:lineRule="exact"/>
        <w:ind w:firstLine="960" w:firstLineChars="300"/>
        <w:rPr>
          <w:rFonts w:ascii="仿宋_GB2312" w:eastAsia="仿宋_GB2312" w:cs="Times New Roman"/>
          <w:color w:val="000000"/>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960" w:firstLineChars="300"/>
        <w:rPr>
          <w:rFonts w:hint="eastAsia" w:ascii="仿宋" w:hAnsi="仿宋" w:eastAsia="仿宋" w:cs="Times New Roman"/>
          <w:sz w:val="32"/>
          <w:szCs w:val="32"/>
          <w:lang w:val="en-US" w:eastAsia="zh-CN"/>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年填报绩效目标的预算项目</w:t>
      </w:r>
      <w:r>
        <w:rPr>
          <w:rFonts w:ascii="仿宋_GB2312" w:hAnsi="仿宋" w:eastAsia="仿宋_GB2312" w:cs="仿宋_GB2312"/>
          <w:sz w:val="32"/>
          <w:szCs w:val="32"/>
        </w:rPr>
        <w:t>0</w:t>
      </w:r>
      <w:r>
        <w:rPr>
          <w:rFonts w:hint="eastAsia" w:ascii="仿宋_GB2312" w:hAnsi="仿宋" w:eastAsia="仿宋_GB2312" w:cs="仿宋_GB2312"/>
          <w:sz w:val="32"/>
          <w:szCs w:val="32"/>
        </w:rPr>
        <w:t>个。</w:t>
      </w:r>
    </w:p>
    <w:p>
      <w:pPr>
        <w:spacing w:line="560" w:lineRule="exact"/>
        <w:ind w:firstLine="960" w:firstLineChars="300"/>
        <w:rPr>
          <w:rFonts w:ascii="仿宋_GB2312" w:eastAsia="仿宋_GB2312" w:cs="Times New Roman"/>
          <w:color w:val="000000"/>
          <w:sz w:val="32"/>
          <w:szCs w:val="32"/>
        </w:rPr>
      </w:pP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960" w:firstLineChars="3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2025年无国有资本经营预算财政拨款。</w:t>
      </w:r>
    </w:p>
    <w:p>
      <w:pPr>
        <w:numPr>
          <w:ilvl w:val="0"/>
          <w:numId w:val="3"/>
        </w:numPr>
        <w:spacing w:line="360" w:lineRule="auto"/>
        <w:ind w:firstLine="960" w:firstLineChars="300"/>
        <w:rPr>
          <w:rFonts w:ascii="仿宋_GB2312" w:eastAsia="仿宋_GB2312"/>
          <w:color w:val="000000"/>
          <w:sz w:val="32"/>
          <w:szCs w:val="32"/>
        </w:rPr>
      </w:pP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106.15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hAnsi="仿宋_GB2312" w:eastAsia="仿宋_GB2312" w:cs="仿宋_GB2312"/>
          <w:color w:val="000000"/>
          <w:sz w:val="32"/>
          <w:szCs w:val="32"/>
          <w:lang w:val="zh-CN" w:eastAsia="zh-CN"/>
        </w:rPr>
        <w:t>固定资产累计折旧</w:t>
      </w:r>
      <w:r>
        <w:rPr>
          <w:rFonts w:hint="eastAsia" w:ascii="仿宋_GB2312" w:hAnsi="仿宋_GB2312" w:eastAsia="仿宋_GB2312" w:cs="仿宋_GB2312"/>
          <w:color w:val="000000"/>
          <w:sz w:val="32"/>
          <w:szCs w:val="32"/>
          <w:lang w:val="en-US" w:eastAsia="zh-CN"/>
        </w:rPr>
        <w:t>95.13万元，固定资产净值11.02万元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(其中一台待报废）</w:t>
      </w:r>
      <w:r>
        <w:rPr>
          <w:rFonts w:ascii="仿宋_GB2312" w:eastAsia="仿宋_GB2312"/>
          <w:color w:val="000000"/>
          <w:sz w:val="32"/>
          <w:szCs w:val="32"/>
        </w:rPr>
        <w:t>，</w:t>
      </w:r>
      <w:r>
        <w:rPr>
          <w:rFonts w:hint="eastAsia" w:ascii="仿宋_GB2312" w:eastAsia="仿宋_GB2312"/>
          <w:color w:val="000000"/>
          <w:sz w:val="32"/>
          <w:szCs w:val="32"/>
          <w:lang w:val="en-US" w:eastAsia="zh-CN"/>
        </w:rPr>
        <w:t>30.16</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val="en-US" w:eastAsia="zh-CN"/>
        </w:rPr>
        <w:t>六</w:t>
      </w:r>
      <w:r>
        <w:rPr>
          <w:rFonts w:hint="eastAsia" w:ascii="黑体" w:hAnsi="黑体" w:eastAsia="黑体" w:cs="黑体"/>
          <w:sz w:val="30"/>
          <w:szCs w:val="30"/>
        </w:rPr>
        <w:t>、名称解释</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2、项目支出：指在基本支出之外为完成特定行政任务或事业发展目标所发生的支出。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ind w:firstLine="640" w:firstLineChars="200"/>
        <w:rPr>
          <w:rFonts w:ascii="仿宋" w:hAnsi="仿宋" w:eastAsia="仿宋" w:cs="仿宋"/>
          <w:sz w:val="32"/>
          <w:szCs w:val="32"/>
        </w:rPr>
      </w:pPr>
      <w:r>
        <w:rPr>
          <w:rFonts w:hint="eastAsia" w:ascii="仿宋" w:hAnsi="仿宋" w:eastAsia="仿宋" w:cs="仿宋"/>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autoSpaceDE w:val="0"/>
        <w:autoSpaceDN w:val="0"/>
        <w:adjustRightInd w:val="0"/>
        <w:spacing w:line="560" w:lineRule="exact"/>
        <w:ind w:firstLine="984" w:firstLineChars="350"/>
        <w:jc w:val="left"/>
        <w:rPr>
          <w:rFonts w:hint="eastAsia" w:ascii="仿宋_GB2312" w:eastAsia="仿宋_GB2312" w:cs="宋体"/>
          <w:b/>
          <w:bCs/>
          <w:color w:val="000000"/>
          <w:kern w:val="0"/>
          <w:sz w:val="32"/>
          <w:szCs w:val="32"/>
          <w:lang w:val="zh-CN"/>
        </w:rPr>
      </w:pPr>
      <w:r>
        <w:rPr>
          <w:rFonts w:hint="eastAsia" w:cs="宋体"/>
          <w:b/>
          <w:bCs/>
          <w:sz w:val="28"/>
          <w:szCs w:val="28"/>
        </w:rPr>
        <w:t>表一：</w:t>
      </w:r>
      <w:r>
        <w:rPr>
          <w:rFonts w:hint="eastAsia" w:cs="宋体"/>
          <w:b/>
          <w:bCs/>
          <w:sz w:val="28"/>
          <w:szCs w:val="28"/>
          <w:lang w:val="en-US" w:eastAsia="zh-CN"/>
        </w:rPr>
        <w:t xml:space="preserve">         </w:t>
      </w:r>
      <w:r>
        <w:rPr>
          <w:rFonts w:hint="eastAsia" w:ascii="仿宋_GB2312" w:eastAsia="仿宋_GB2312" w:cs="宋体"/>
          <w:b/>
          <w:bCs/>
          <w:color w:val="000000"/>
          <w:kern w:val="0"/>
          <w:sz w:val="32"/>
          <w:szCs w:val="32"/>
          <w:lang w:val="zh-CN"/>
        </w:rPr>
        <w:t xml:space="preserve">部门收支总体情况表 </w:t>
      </w:r>
    </w:p>
    <w:p>
      <w:pPr>
        <w:rPr>
          <w:rFonts w:cs="Times New Roman"/>
          <w:sz w:val="28"/>
          <w:szCs w:val="28"/>
        </w:rPr>
      </w:pPr>
    </w:p>
    <w:tbl>
      <w:tblPr>
        <w:tblStyle w:val="7"/>
        <w:tblW w:w="9075"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75"/>
        <w:gridCol w:w="1575"/>
        <w:gridCol w:w="30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50" w:type="dxa"/>
            <w:gridSpan w:val="2"/>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8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725"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77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7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4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6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sz w:val="18"/>
                <w:szCs w:val="18"/>
              </w:rPr>
              <w:t>361.035194</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0.816000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282.660242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23.322876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sz w:val="18"/>
                <w:szCs w:val="18"/>
              </w:rPr>
              <w:t>54.236076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二十八、往来性支出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b/>
                <w:bCs/>
                <w:sz w:val="18"/>
                <w:szCs w:val="18"/>
              </w:rPr>
              <w:t>361.035194</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b/>
                <w:bCs/>
                <w:sz w:val="18"/>
                <w:szCs w:val="18"/>
              </w:rPr>
              <w:t>361.035194</w:t>
            </w:r>
          </w:p>
        </w:tc>
      </w:tr>
    </w:tbl>
    <w:p>
      <w:pPr>
        <w:pStyle w:val="2"/>
        <w:sectPr>
          <w:pgSz w:w="11906" w:h="16838"/>
          <w:pgMar w:top="1440" w:right="1800" w:bottom="1440" w:left="1633" w:header="851" w:footer="992" w:gutter="0"/>
          <w:cols w:space="425" w:num="1"/>
          <w:docGrid w:type="lines" w:linePitch="312" w:charSpace="0"/>
        </w:sectPr>
      </w:pPr>
    </w:p>
    <w:p>
      <w:pPr>
        <w:rPr>
          <w:rFonts w:ascii="宋体" w:cs="Times New Roman"/>
          <w:b/>
          <w:bCs/>
          <w:sz w:val="36"/>
          <w:szCs w:val="36"/>
        </w:rPr>
      </w:pPr>
      <w:r>
        <w:rPr>
          <w:rFonts w:hint="eastAsia" w:cs="宋体"/>
          <w:sz w:val="28"/>
          <w:szCs w:val="28"/>
        </w:rPr>
        <w:t>表二：</w:t>
      </w:r>
      <w:r>
        <w:rPr>
          <w:rFonts w:hint="eastAsia" w:cs="宋体"/>
          <w:sz w:val="28"/>
          <w:szCs w:val="28"/>
          <w:lang w:val="en-US" w:eastAsia="zh-CN"/>
        </w:rPr>
        <w:t xml:space="preserve">                             </w:t>
      </w:r>
      <w:r>
        <w:rPr>
          <w:rFonts w:hint="eastAsia" w:ascii="宋体" w:hAnsi="宋体" w:cs="宋体"/>
          <w:b/>
          <w:bCs/>
          <w:sz w:val="36"/>
          <w:szCs w:val="36"/>
        </w:rPr>
        <w:t>部门收入总体情况表</w:t>
      </w:r>
    </w:p>
    <w:p>
      <w:pPr>
        <w:jc w:val="center"/>
        <w:rPr>
          <w:rFonts w:hint="eastAsia" w:ascii="宋体" w:hAnsi="宋体" w:cs="宋体"/>
          <w:b/>
          <w:bCs/>
          <w:sz w:val="36"/>
          <w:szCs w:val="36"/>
        </w:rPr>
      </w:pPr>
    </w:p>
    <w:p>
      <w:pPr>
        <w:widowControl/>
        <w:jc w:val="center"/>
        <w:rPr>
          <w:rFonts w:hint="eastAsia" w:ascii="仿宋" w:hAnsi="仿宋" w:eastAsia="仿宋" w:cs="仿宋"/>
          <w:kern w:val="0"/>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w:t>
      </w:r>
      <w:r>
        <w:rPr>
          <w:rFonts w:hint="eastAsia" w:ascii="仿宋" w:hAnsi="仿宋" w:eastAsia="仿宋" w:cs="仿宋"/>
          <w:kern w:val="0"/>
          <w:sz w:val="21"/>
          <w:szCs w:val="21"/>
        </w:rPr>
        <w:t>单位:</w:t>
      </w:r>
      <w:r>
        <w:rPr>
          <w:rFonts w:hint="eastAsia" w:ascii="仿宋" w:hAnsi="仿宋" w:eastAsia="仿宋" w:cs="仿宋"/>
          <w:kern w:val="0"/>
          <w:sz w:val="21"/>
          <w:szCs w:val="21"/>
          <w:lang w:eastAsia="zh-CN"/>
        </w:rPr>
        <w:t>万</w:t>
      </w:r>
      <w:r>
        <w:rPr>
          <w:rFonts w:hint="eastAsia" w:ascii="仿宋" w:hAnsi="仿宋" w:eastAsia="仿宋" w:cs="仿宋"/>
          <w:kern w:val="0"/>
          <w:sz w:val="21"/>
          <w:szCs w:val="21"/>
        </w:rPr>
        <w:t>元</w:t>
      </w:r>
    </w:p>
    <w:p>
      <w:pPr>
        <w:pStyle w:val="2"/>
      </w:pPr>
    </w:p>
    <w:tbl>
      <w:tblPr>
        <w:tblStyle w:val="7"/>
        <w:tblW w:w="15030" w:type="dxa"/>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2355"/>
        <w:gridCol w:w="1215"/>
        <w:gridCol w:w="1185"/>
        <w:gridCol w:w="1200"/>
        <w:gridCol w:w="660"/>
        <w:gridCol w:w="615"/>
        <w:gridCol w:w="600"/>
        <w:gridCol w:w="615"/>
        <w:gridCol w:w="615"/>
        <w:gridCol w:w="585"/>
        <w:gridCol w:w="555"/>
        <w:gridCol w:w="570"/>
        <w:gridCol w:w="570"/>
        <w:gridCol w:w="570"/>
        <w:gridCol w:w="600"/>
        <w:gridCol w:w="615"/>
        <w:gridCol w:w="60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235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21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200" w:type="dxa"/>
            <w:gridSpan w:val="10"/>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510" w:type="dxa"/>
            <w:gridSpan w:val="6"/>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5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66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58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55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5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北京市西城区人力资源和社会保障局</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257003</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北京市西城区职业能力建设指导中心</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10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ascii="宋体" w:hAnsi="宋体" w:eastAsia="宋体" w:cs="宋体"/>
                <w:b/>
                <w:bCs/>
                <w:sz w:val="18"/>
                <w:szCs w:val="18"/>
              </w:rPr>
              <w:t>361.035194</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ascii="宋体" w:hAnsi="宋体" w:eastAsia="宋体" w:cs="宋体"/>
                <w:b/>
                <w:bCs/>
                <w:sz w:val="18"/>
                <w:szCs w:val="18"/>
              </w:rPr>
              <w:t>361.035194</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ascii="宋体" w:hAnsi="宋体" w:eastAsia="宋体" w:cs="宋体"/>
                <w:b/>
                <w:bCs/>
                <w:sz w:val="18"/>
                <w:szCs w:val="18"/>
              </w:rPr>
              <w:t>361.035194</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widowControl/>
        <w:jc w:val="center"/>
        <w:rPr>
          <w:rFonts w:ascii="宋体" w:hAnsi="宋体" w:cs="宋体"/>
          <w:kern w:val="0"/>
          <w:sz w:val="18"/>
          <w:szCs w:val="18"/>
        </w:rPr>
      </w:pPr>
      <w:r>
        <w:rPr>
          <w:rFonts w:ascii="宋体" w:hAnsi="宋体" w:cs="宋体"/>
          <w:b/>
          <w:bCs/>
          <w:sz w:val="36"/>
          <w:szCs w:val="36"/>
        </w:rPr>
        <w:t xml:space="preserve">                                                </w:t>
      </w:r>
    </w:p>
    <w:p>
      <w:pPr>
        <w:widowControl/>
        <w:jc w:val="center"/>
        <w:rPr>
          <w:rFonts w:ascii="宋体" w:hAnsi="宋体" w:cs="宋体"/>
          <w:kern w:val="0"/>
          <w:sz w:val="18"/>
          <w:szCs w:val="18"/>
        </w:rPr>
      </w:pPr>
    </w:p>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hint="eastAsia" w:ascii="宋体" w:hAnsi="宋体" w:cs="宋体"/>
          <w:b/>
          <w:bCs/>
          <w:sz w:val="36"/>
          <w:szCs w:val="36"/>
        </w:rPr>
      </w:pPr>
      <w:r>
        <w:rPr>
          <w:rFonts w:hint="eastAsia" w:cs="宋体"/>
          <w:sz w:val="28"/>
          <w:szCs w:val="28"/>
        </w:rPr>
        <w:t>表三</w:t>
      </w:r>
      <w:r>
        <w:rPr>
          <w:rFonts w:hint="eastAsia" w:ascii="宋体" w:hAnsi="宋体" w:cs="宋体"/>
          <w:b/>
          <w:bCs/>
          <w:sz w:val="36"/>
          <w:szCs w:val="36"/>
        </w:rPr>
        <w:t>：</w:t>
      </w:r>
      <w:r>
        <w:rPr>
          <w:rFonts w:hint="eastAsia" w:ascii="宋体" w:hAnsi="宋体" w:cs="宋体"/>
          <w:b/>
          <w:bCs/>
          <w:sz w:val="36"/>
          <w:szCs w:val="36"/>
          <w:lang w:val="en-US" w:eastAsia="zh-CN"/>
        </w:rPr>
        <w:t xml:space="preserve">                           </w:t>
      </w:r>
      <w:r>
        <w:rPr>
          <w:rFonts w:hint="eastAsia" w:ascii="宋体" w:hAnsi="宋体" w:cs="宋体"/>
          <w:b/>
          <w:bCs/>
          <w:sz w:val="36"/>
          <w:szCs w:val="36"/>
        </w:rPr>
        <w:t>部门支出总体情况表</w:t>
      </w:r>
    </w:p>
    <w:p>
      <w:pPr>
        <w:widowControl/>
        <w:jc w:val="center"/>
        <w:rPr>
          <w:rFonts w:hint="eastAsia" w:ascii="仿宋" w:hAnsi="仿宋" w:eastAsia="仿宋" w:cs="仿宋"/>
          <w:kern w:val="0"/>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p>
    <w:p>
      <w:pPr>
        <w:widowControl/>
        <w:jc w:val="center"/>
        <w:rPr>
          <w:rFonts w:hint="eastAsia" w:ascii="仿宋" w:hAnsi="仿宋" w:eastAsia="仿宋" w:cs="仿宋"/>
          <w:kern w:val="0"/>
          <w:sz w:val="21"/>
          <w:szCs w:val="21"/>
        </w:rPr>
      </w:pPr>
    </w:p>
    <w:tbl>
      <w:tblPr>
        <w:tblStyle w:val="7"/>
        <w:tblW w:w="14895"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13"/>
        <w:gridCol w:w="2385"/>
        <w:gridCol w:w="2693"/>
        <w:gridCol w:w="1433"/>
        <w:gridCol w:w="1399"/>
        <w:gridCol w:w="927"/>
        <w:gridCol w:w="598"/>
        <w:gridCol w:w="975"/>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5598" w:type="dxa"/>
            <w:gridSpan w:val="2"/>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93"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3"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99"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21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38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69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43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9"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927"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845" w:type="dxa"/>
            <w:gridSpan w:val="3"/>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321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3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7"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8"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97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272"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0.816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0.816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0.765</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0.765</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15.6378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15.6378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43.2396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43.2396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62.542</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62.542</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87.6337</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87.6337</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tbl>
            <w:tblPr>
              <w:tblStyle w:val="7"/>
              <w:tblW w:w="276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00"/>
              <w:gridCol w:w="1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3800" w:type="dxa"/>
                  <w:shd w:val="clear" w:color="auto" w:fill="auto"/>
                  <w:vAlign w:val="center"/>
                </w:tcPr>
                <w:p>
                  <w:pPr>
                    <w:keepNext w:val="0"/>
                    <w:keepLines w:val="0"/>
                    <w:widowControl/>
                    <w:suppressLineNumbers w:val="0"/>
                    <w:tabs>
                      <w:tab w:val="left" w:pos="256"/>
                      <w:tab w:val="left" w:pos="1149"/>
                      <w:tab w:val="center" w:pos="6960"/>
                    </w:tabs>
                    <w:jc w:val="both"/>
                  </w:pPr>
                  <w:r>
                    <w:rPr>
                      <w:rFonts w:hint="eastAsia" w:ascii="宋体" w:hAnsi="宋体" w:eastAsia="宋体" w:cs="宋体"/>
                      <w:sz w:val="18"/>
                      <w:szCs w:val="18"/>
                      <w:lang w:val="en-US" w:eastAsia="zh-CN"/>
                    </w:rPr>
                    <w:t>2.64536</w:t>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ascii="宋体" w:hAnsi="宋体" w:eastAsia="宋体" w:cs="宋体"/>
                      <w:sz w:val="18"/>
                      <w:szCs w:val="18"/>
                    </w:rPr>
                    <w:t>2.645360</w:t>
                  </w:r>
                  <w:r>
                    <w:rPr>
                      <w:rFonts w:hint="eastAsia" w:ascii="宋体" w:hAnsi="宋体" w:eastAsia="宋体" w:cs="宋体"/>
                      <w:kern w:val="0"/>
                      <w:sz w:val="18"/>
                      <w:szCs w:val="18"/>
                      <w:lang w:val="en-US" w:eastAsia="zh-CN" w:bidi="ar"/>
                    </w:rPr>
                    <w:tab/>
                  </w:r>
                  <w:r>
                    <w:rPr>
                      <w:rFonts w:hint="eastAsia" w:ascii="宋体" w:hAnsi="宋体" w:eastAsia="宋体" w:cs="宋体"/>
                      <w:kern w:val="0"/>
                      <w:sz w:val="18"/>
                      <w:szCs w:val="18"/>
                      <w:lang w:val="en-US" w:eastAsia="zh-CN" w:bidi="ar"/>
                    </w:rPr>
                    <w:tab/>
                  </w:r>
                  <w:r>
                    <w:rPr>
                      <w:rFonts w:ascii="宋体" w:hAnsi="宋体" w:eastAsia="宋体" w:cs="宋体"/>
                      <w:kern w:val="0"/>
                      <w:sz w:val="18"/>
                      <w:szCs w:val="18"/>
                      <w:lang w:val="en-US" w:eastAsia="zh-CN" w:bidi="ar"/>
                    </w:rPr>
                    <w:t>2.645360</w:t>
                  </w:r>
                </w:p>
              </w:tc>
              <w:tc>
                <w:tcPr>
                  <w:tcW w:w="13800" w:type="dxa"/>
                  <w:shd w:val="clear" w:color="auto" w:fill="auto"/>
                  <w:vAlign w:val="center"/>
                </w:tcPr>
                <w:p>
                  <w:pPr>
                    <w:jc w:val="both"/>
                    <w:rPr>
                      <w:rFonts w:hint="eastAsia" w:ascii="宋体"/>
                      <w:sz w:val="24"/>
                      <w:szCs w:val="24"/>
                    </w:rPr>
                  </w:pPr>
                </w:p>
              </w:tc>
            </w:tr>
          </w:tbl>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tbl>
            <w:tblPr>
              <w:tblStyle w:val="7"/>
              <w:tblW w:w="276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00"/>
              <w:gridCol w:w="1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3800" w:type="dxa"/>
                  <w:shd w:val="clear" w:color="auto" w:fill="auto"/>
                  <w:vAlign w:val="center"/>
                </w:tcPr>
                <w:p>
                  <w:pPr>
                    <w:keepNext w:val="0"/>
                    <w:keepLines w:val="0"/>
                    <w:widowControl/>
                    <w:suppressLineNumbers w:val="0"/>
                    <w:tabs>
                      <w:tab w:val="left" w:pos="256"/>
                      <w:tab w:val="left" w:pos="1149"/>
                      <w:tab w:val="center" w:pos="6960"/>
                    </w:tabs>
                    <w:jc w:val="both"/>
                  </w:pPr>
                  <w:r>
                    <w:rPr>
                      <w:rFonts w:hint="eastAsia" w:ascii="宋体" w:hAnsi="宋体" w:eastAsia="宋体" w:cs="宋体"/>
                      <w:sz w:val="18"/>
                      <w:szCs w:val="18"/>
                      <w:lang w:val="en-US" w:eastAsia="zh-CN"/>
                    </w:rPr>
                    <w:t>2.64536</w:t>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ascii="宋体" w:hAnsi="宋体" w:eastAsia="宋体" w:cs="宋体"/>
                      <w:sz w:val="18"/>
                      <w:szCs w:val="18"/>
                    </w:rPr>
                    <w:t>2.645360</w:t>
                  </w:r>
                  <w:r>
                    <w:rPr>
                      <w:rFonts w:hint="eastAsia" w:ascii="宋体" w:hAnsi="宋体" w:eastAsia="宋体" w:cs="宋体"/>
                      <w:kern w:val="0"/>
                      <w:sz w:val="18"/>
                      <w:szCs w:val="18"/>
                      <w:lang w:val="en-US" w:eastAsia="zh-CN" w:bidi="ar"/>
                    </w:rPr>
                    <w:tab/>
                  </w:r>
                  <w:r>
                    <w:rPr>
                      <w:rFonts w:hint="eastAsia" w:ascii="宋体" w:hAnsi="宋体" w:eastAsia="宋体" w:cs="宋体"/>
                      <w:kern w:val="0"/>
                      <w:sz w:val="18"/>
                      <w:szCs w:val="18"/>
                      <w:lang w:val="en-US" w:eastAsia="zh-CN" w:bidi="ar"/>
                    </w:rPr>
                    <w:tab/>
                  </w:r>
                  <w:r>
                    <w:rPr>
                      <w:rFonts w:ascii="宋体" w:hAnsi="宋体" w:eastAsia="宋体" w:cs="宋体"/>
                      <w:kern w:val="0"/>
                      <w:sz w:val="18"/>
                      <w:szCs w:val="18"/>
                      <w:lang w:val="en-US" w:eastAsia="zh-CN" w:bidi="ar"/>
                    </w:rPr>
                    <w:t>2.645360</w:t>
                  </w:r>
                </w:p>
              </w:tc>
              <w:tc>
                <w:tcPr>
                  <w:tcW w:w="13800" w:type="dxa"/>
                  <w:shd w:val="clear" w:color="auto" w:fill="auto"/>
                  <w:vAlign w:val="center"/>
                </w:tcPr>
                <w:p>
                  <w:pPr>
                    <w:jc w:val="both"/>
                    <w:rPr>
                      <w:rFonts w:hint="eastAsia" w:ascii="宋体"/>
                      <w:sz w:val="24"/>
                      <w:szCs w:val="24"/>
                    </w:rPr>
                  </w:pPr>
                </w:p>
              </w:tc>
            </w:tr>
          </w:tbl>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2.7</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2.7</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1.1</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0.608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0.608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0.2</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0.24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0.149904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0.149904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30227-委托业务费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2.537466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2.537466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4.668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4.668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30231-公务用车运行维护费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3.9031</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3.9031</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cs="宋体"/>
                <w:i w:val="0"/>
                <w:color w:val="000000"/>
                <w:kern w:val="0"/>
                <w:sz w:val="18"/>
                <w:szCs w:val="18"/>
                <w:u w:val="none"/>
                <w:lang w:val="en-US" w:eastAsia="zh-CN" w:bidi="ar"/>
              </w:rPr>
              <w:t>0.006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cs="宋体"/>
                <w:i w:val="0"/>
                <w:color w:val="000000"/>
                <w:kern w:val="0"/>
                <w:sz w:val="18"/>
                <w:szCs w:val="18"/>
                <w:u w:val="none"/>
                <w:lang w:val="en-US" w:eastAsia="zh-CN" w:bidi="ar"/>
              </w:rPr>
              <w:t>0.006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2101102-事业单位医疗</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30110-职工基本医疗保险缴费</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2210201-住房公积金</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30113-住房公积金</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0.936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0.936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50905-离退休费</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30302-退休费</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2210203-购房补贴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28.537200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28.537200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ascii="宋体" w:hAnsi="宋体" w:eastAsia="宋体" w:cs="宋体"/>
                <w:b/>
                <w:bCs/>
                <w:sz w:val="18"/>
                <w:szCs w:val="18"/>
              </w:rPr>
              <w:t>361.035194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ascii="宋体" w:hAnsi="宋体" w:eastAsia="宋体" w:cs="宋体"/>
                <w:b/>
                <w:bCs/>
                <w:sz w:val="18"/>
                <w:szCs w:val="18"/>
              </w:rPr>
              <w:t>361.035194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bl>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p>
    <w:p>
      <w:pPr>
        <w:rPr>
          <w:rFonts w:hint="eastAsia" w:asciiTheme="minorEastAsia" w:hAnsiTheme="minorEastAsia" w:eastAsiaTheme="minorEastAsia" w:cstheme="minorEastAsia"/>
          <w:b/>
          <w:bCs/>
          <w:sz w:val="28"/>
          <w:szCs w:val="28"/>
          <w:lang w:val="en-US" w:eastAsia="zh-CN"/>
        </w:rPr>
      </w:pPr>
    </w:p>
    <w:p>
      <w:pPr>
        <w:rPr>
          <w:rFonts w:hint="eastAsia" w:asciiTheme="minorEastAsia" w:hAnsiTheme="minorEastAsia" w:eastAsiaTheme="minorEastAsia" w:cstheme="minorEastAsia"/>
          <w:b/>
          <w:bCs/>
          <w:sz w:val="28"/>
          <w:szCs w:val="28"/>
          <w:lang w:val="en-US" w:eastAsia="zh-CN"/>
        </w:rPr>
      </w:pP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cs="宋体"/>
          <w:sz w:val="28"/>
          <w:szCs w:val="28"/>
        </w:rPr>
        <w:t>表</w:t>
      </w:r>
      <w:r>
        <w:rPr>
          <w:rFonts w:hint="eastAsia" w:cs="宋体"/>
          <w:sz w:val="28"/>
          <w:szCs w:val="28"/>
          <w:lang w:eastAsia="zh-CN"/>
        </w:rPr>
        <w:t>四</w:t>
      </w:r>
      <w:r>
        <w:rPr>
          <w:rFonts w:hint="eastAsia" w:ascii="宋体" w:hAnsi="宋体" w:cs="宋体"/>
          <w:b/>
          <w:bCs/>
          <w:sz w:val="36"/>
          <w:szCs w:val="36"/>
        </w:rPr>
        <w:t>：</w:t>
      </w:r>
      <w:r>
        <w:rPr>
          <w:rFonts w:hint="eastAsia" w:asciiTheme="minorEastAsia" w:hAnsiTheme="minorEastAsia" w:eastAsiaTheme="minorEastAsia" w:cstheme="minorEastAsia"/>
          <w:b/>
          <w:bCs/>
          <w:sz w:val="28"/>
          <w:szCs w:val="28"/>
          <w:lang w:val="en-US" w:eastAsia="zh-CN"/>
        </w:rPr>
        <w:t xml:space="preserve">                                     </w:t>
      </w:r>
    </w:p>
    <w:p>
      <w:pPr>
        <w:ind w:firstLine="5760" w:firstLineChars="160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val="0"/>
          <w:bCs w:val="0"/>
          <w:sz w:val="36"/>
          <w:szCs w:val="36"/>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项目支出表</w:t>
      </w:r>
    </w:p>
    <w:p>
      <w:pPr>
        <w:rPr>
          <w:rFonts w:hint="eastAsia" w:asciiTheme="minorEastAsia" w:hAnsiTheme="minorEastAsia" w:eastAsiaTheme="minorEastAsia" w:cstheme="minorEastAsia"/>
          <w:b/>
          <w:bCs/>
          <w:sz w:val="36"/>
          <w:szCs w:val="36"/>
          <w:lang w:val="en-US" w:eastAsia="zh-CN"/>
        </w:rPr>
      </w:pPr>
    </w:p>
    <w:tbl>
      <w:tblPr>
        <w:tblStyle w:val="7"/>
        <w:tblW w:w="15030"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0"/>
        <w:gridCol w:w="1098"/>
        <w:gridCol w:w="1680"/>
        <w:gridCol w:w="1455"/>
        <w:gridCol w:w="1230"/>
        <w:gridCol w:w="1365"/>
        <w:gridCol w:w="1110"/>
        <w:gridCol w:w="1122"/>
        <w:gridCol w:w="630"/>
        <w:gridCol w:w="630"/>
        <w:gridCol w:w="630"/>
        <w:gridCol w:w="585"/>
        <w:gridCol w:w="630"/>
        <w:gridCol w:w="70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6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22"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382" w:type="dxa"/>
            <w:gridSpan w:val="3"/>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1845" w:type="dxa"/>
            <w:gridSpan w:val="3"/>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58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b/>
          <w:bCs/>
          <w:sz w:val="36"/>
          <w:szCs w:val="36"/>
        </w:rPr>
      </w:pPr>
      <w:r>
        <w:rPr>
          <w:rFonts w:hint="eastAsia" w:cs="宋体"/>
          <w:sz w:val="28"/>
          <w:szCs w:val="28"/>
        </w:rPr>
        <w:t>表</w:t>
      </w:r>
      <w:r>
        <w:rPr>
          <w:rFonts w:hint="eastAsia" w:cs="宋体"/>
          <w:sz w:val="28"/>
          <w:szCs w:val="28"/>
          <w:lang w:val="en-US" w:eastAsia="zh-CN"/>
        </w:rPr>
        <w:t>五</w:t>
      </w:r>
      <w:r>
        <w:rPr>
          <w:rFonts w:hint="eastAsia" w:ascii="宋体" w:hAnsi="宋体" w:cs="宋体"/>
          <w:b/>
          <w:bCs/>
          <w:sz w:val="36"/>
          <w:szCs w:val="36"/>
        </w:rPr>
        <w:t>：</w:t>
      </w:r>
    </w:p>
    <w:p>
      <w:pPr>
        <w:autoSpaceDE w:val="0"/>
        <w:autoSpaceDN w:val="0"/>
        <w:adjustRightInd w:val="0"/>
        <w:spacing w:line="560" w:lineRule="exact"/>
        <w:jc w:val="left"/>
        <w:rPr>
          <w:rFonts w:hint="eastAsia" w:asciiTheme="minorEastAsia" w:hAnsiTheme="minorEastAsia" w:eastAsiaTheme="minorEastAsia" w:cstheme="minorEastAsia"/>
          <w:b/>
          <w:bCs/>
          <w:sz w:val="36"/>
          <w:szCs w:val="36"/>
        </w:rPr>
      </w:pP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rPr>
        <w:t>财政拨款收支总体情况表</w:t>
      </w:r>
    </w:p>
    <w:p>
      <w:pPr>
        <w:pStyle w:val="2"/>
        <w:rPr>
          <w:rFonts w:hint="eastAsia"/>
        </w:rPr>
      </w:pPr>
    </w:p>
    <w:tbl>
      <w:tblPr>
        <w:tblStyle w:val="7"/>
        <w:tblW w:w="9420" w:type="dxa"/>
        <w:tblInd w:w="-5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80"/>
        <w:gridCol w:w="1554"/>
        <w:gridCol w:w="3171"/>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434" w:type="dxa"/>
            <w:gridSpan w:val="2"/>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71"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434"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986"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8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54"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171"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361.035194</w:t>
            </w: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0.816000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282.660242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23.322876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54.236076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收入总计</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ascii="宋体" w:hAnsi="宋体" w:eastAsia="宋体" w:cs="宋体"/>
                <w:b/>
                <w:bCs/>
                <w:sz w:val="18"/>
                <w:szCs w:val="18"/>
              </w:rPr>
              <w:t>361.035194</w:t>
            </w: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ascii="宋体" w:hAnsi="宋体" w:eastAsia="宋体" w:cs="宋体"/>
                <w:b/>
                <w:bCs/>
                <w:sz w:val="18"/>
                <w:szCs w:val="18"/>
              </w:rPr>
              <w:t>361.035194</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表六、</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一般公共预算支出情况表</w:t>
      </w:r>
    </w:p>
    <w:tbl>
      <w:tblPr>
        <w:tblStyle w:val="7"/>
        <w:tblW w:w="14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90"/>
        <w:gridCol w:w="759"/>
        <w:gridCol w:w="2151"/>
        <w:gridCol w:w="1215"/>
        <w:gridCol w:w="1215"/>
        <w:gridCol w:w="1215"/>
        <w:gridCol w:w="1110"/>
        <w:gridCol w:w="1347"/>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6600"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47"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69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2910"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7557" w:type="dxa"/>
            <w:gridSpan w:val="6"/>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369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540"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802"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369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11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347"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45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16.4028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16.4028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15.6378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0.765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223.93313</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223.93313</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196.06666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27.86647</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23.322876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23.322876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23.322876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23.322876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23.322876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23.322876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2.376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2.376</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2.376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0.816000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0.816000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0.816000</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28.537200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28.537200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28.537200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ascii="宋体" w:hAnsi="宋体" w:eastAsia="宋体" w:cs="宋体"/>
                <w:b/>
                <w:bCs/>
                <w:sz w:val="18"/>
                <w:szCs w:val="18"/>
              </w:rPr>
              <w:t>361.035194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ascii="宋体" w:hAnsi="宋体" w:eastAsia="宋体" w:cs="宋体"/>
                <w:b/>
                <w:bCs/>
                <w:sz w:val="18"/>
                <w:szCs w:val="18"/>
              </w:rPr>
              <w:t>361.035194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ascii="宋体" w:hAnsi="宋体" w:eastAsia="宋体" w:cs="宋体"/>
                <w:b/>
                <w:bCs/>
                <w:sz w:val="18"/>
                <w:szCs w:val="18"/>
              </w:rPr>
              <w:t>331.587724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ascii="宋体" w:hAnsi="宋体" w:eastAsia="宋体" w:cs="宋体"/>
                <w:b/>
                <w:bCs/>
                <w:sz w:val="18"/>
                <w:szCs w:val="18"/>
              </w:rPr>
              <w:t>29.447470</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r>
    </w:tbl>
    <w:p>
      <w:pPr>
        <w:jc w:val="center"/>
        <w:rPr>
          <w:rFonts w:hint="eastAsia" w:ascii="宋体" w:hAnsi="宋体" w:cs="宋体"/>
          <w:b/>
          <w:bCs/>
          <w:sz w:val="36"/>
          <w:szCs w:val="36"/>
        </w:rPr>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表七、</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一般公共预算基本支出情况表</w:t>
      </w:r>
    </w:p>
    <w:tbl>
      <w:tblPr>
        <w:tblStyle w:val="7"/>
        <w:tblW w:w="14535"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0"/>
        <w:gridCol w:w="2883"/>
        <w:gridCol w:w="3135"/>
        <w:gridCol w:w="1625"/>
        <w:gridCol w:w="1732"/>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952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2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51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007"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51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32"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65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0.816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0.765</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15.6378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15.6378</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28.216208</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ascii="宋体" w:hAnsi="宋体" w:eastAsia="宋体" w:cs="宋体"/>
                <w:sz w:val="18"/>
                <w:szCs w:val="18"/>
              </w:rPr>
              <w:t>14.108104</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43.2396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43.2396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62.542</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62.542</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87.6337</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87.6337</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tbl>
            <w:tblPr>
              <w:tblStyle w:val="7"/>
              <w:tblW w:w="276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00"/>
              <w:gridCol w:w="1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3800" w:type="dxa"/>
                  <w:shd w:val="clear" w:color="auto" w:fill="auto"/>
                  <w:vAlign w:val="center"/>
                </w:tcPr>
                <w:p>
                  <w:pPr>
                    <w:keepNext w:val="0"/>
                    <w:keepLines w:val="0"/>
                    <w:widowControl/>
                    <w:suppressLineNumbers w:val="0"/>
                    <w:tabs>
                      <w:tab w:val="left" w:pos="256"/>
                      <w:tab w:val="left" w:pos="1149"/>
                      <w:tab w:val="center" w:pos="6960"/>
                    </w:tabs>
                    <w:jc w:val="both"/>
                  </w:pPr>
                  <w:r>
                    <w:rPr>
                      <w:rFonts w:hint="eastAsia" w:ascii="宋体" w:hAnsi="宋体" w:eastAsia="宋体" w:cs="宋体"/>
                      <w:sz w:val="18"/>
                      <w:szCs w:val="18"/>
                      <w:lang w:val="en-US" w:eastAsia="zh-CN"/>
                    </w:rPr>
                    <w:t>2.64536</w:t>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ascii="宋体" w:hAnsi="宋体" w:eastAsia="宋体" w:cs="宋体"/>
                      <w:sz w:val="18"/>
                      <w:szCs w:val="18"/>
                    </w:rPr>
                    <w:t>2.645360</w:t>
                  </w:r>
                  <w:r>
                    <w:rPr>
                      <w:rFonts w:hint="eastAsia" w:ascii="宋体" w:hAnsi="宋体" w:eastAsia="宋体" w:cs="宋体"/>
                      <w:kern w:val="0"/>
                      <w:sz w:val="18"/>
                      <w:szCs w:val="18"/>
                      <w:lang w:val="en-US" w:eastAsia="zh-CN" w:bidi="ar"/>
                    </w:rPr>
                    <w:tab/>
                  </w:r>
                  <w:r>
                    <w:rPr>
                      <w:rFonts w:hint="eastAsia" w:ascii="宋体" w:hAnsi="宋体" w:eastAsia="宋体" w:cs="宋体"/>
                      <w:kern w:val="0"/>
                      <w:sz w:val="18"/>
                      <w:szCs w:val="18"/>
                      <w:lang w:val="en-US" w:eastAsia="zh-CN" w:bidi="ar"/>
                    </w:rPr>
                    <w:tab/>
                  </w:r>
                  <w:r>
                    <w:rPr>
                      <w:rFonts w:ascii="宋体" w:hAnsi="宋体" w:eastAsia="宋体" w:cs="宋体"/>
                      <w:kern w:val="0"/>
                      <w:sz w:val="18"/>
                      <w:szCs w:val="18"/>
                      <w:lang w:val="en-US" w:eastAsia="zh-CN" w:bidi="ar"/>
                    </w:rPr>
                    <w:t>2.645360</w:t>
                  </w:r>
                </w:p>
              </w:tc>
              <w:tc>
                <w:tcPr>
                  <w:tcW w:w="13800" w:type="dxa"/>
                  <w:shd w:val="clear" w:color="auto" w:fill="auto"/>
                  <w:vAlign w:val="center"/>
                </w:tcPr>
                <w:p>
                  <w:pPr>
                    <w:jc w:val="both"/>
                    <w:rPr>
                      <w:rFonts w:hint="eastAsia" w:ascii="宋体"/>
                      <w:sz w:val="24"/>
                      <w:szCs w:val="24"/>
                    </w:rPr>
                  </w:pPr>
                </w:p>
              </w:tc>
            </w:tr>
          </w:tbl>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56"/>
                <w:tab w:val="left" w:pos="1149"/>
                <w:tab w:val="center" w:pos="6960"/>
              </w:tabs>
              <w:jc w:val="both"/>
              <w:rPr>
                <w:rFonts w:hint="eastAsia" w:ascii="宋体" w:hAnsi="宋体" w:eastAsia="宋体" w:cs="宋体"/>
                <w:i w:val="0"/>
                <w:color w:val="000000"/>
                <w:sz w:val="18"/>
                <w:szCs w:val="18"/>
                <w:u w:val="none"/>
              </w:rPr>
            </w:pPr>
            <w:r>
              <w:rPr>
                <w:rFonts w:hint="eastAsia" w:ascii="宋体" w:hAnsi="宋体" w:eastAsia="宋体" w:cs="宋体"/>
                <w:sz w:val="18"/>
                <w:szCs w:val="18"/>
                <w:lang w:val="en-US" w:eastAsia="zh-CN"/>
              </w:rPr>
              <w:t>2.64536</w:t>
            </w:r>
            <w:r>
              <w:rPr>
                <w:rFonts w:hint="eastAsia" w:ascii="宋体" w:hAnsi="宋体" w:eastAsia="宋体" w:cs="宋体"/>
                <w:sz w:val="18"/>
                <w:szCs w:val="18"/>
                <w:lang w:eastAsia="zh-CN"/>
              </w:rPr>
              <w:tab/>
            </w:r>
            <w:r>
              <w:rPr>
                <w:rFonts w:hint="eastAsia" w:ascii="宋体" w:hAnsi="宋体" w:eastAsia="宋体" w:cs="宋体"/>
                <w:sz w:val="18"/>
                <w:szCs w:val="18"/>
                <w:lang w:eastAsia="zh-CN"/>
              </w:rPr>
              <w:tab/>
            </w:r>
            <w:r>
              <w:rPr>
                <w:rFonts w:ascii="宋体" w:hAnsi="宋体" w:eastAsia="宋体" w:cs="宋体"/>
                <w:sz w:val="18"/>
                <w:szCs w:val="18"/>
              </w:rPr>
              <w:t>2.645360</w:t>
            </w:r>
            <w:r>
              <w:rPr>
                <w:rFonts w:hint="eastAsia" w:ascii="宋体" w:hAnsi="宋体" w:eastAsia="宋体" w:cs="宋体"/>
                <w:kern w:val="0"/>
                <w:sz w:val="18"/>
                <w:szCs w:val="18"/>
                <w:lang w:val="en-US" w:eastAsia="zh-CN" w:bidi="ar"/>
              </w:rPr>
              <w:tab/>
            </w:r>
            <w:r>
              <w:rPr>
                <w:rFonts w:hint="eastAsia" w:ascii="宋体" w:hAnsi="宋体" w:eastAsia="宋体" w:cs="宋体"/>
                <w:kern w:val="0"/>
                <w:sz w:val="18"/>
                <w:szCs w:val="18"/>
                <w:lang w:val="en-US" w:eastAsia="zh-CN" w:bidi="ar"/>
              </w:rPr>
              <w:tab/>
            </w:r>
            <w:r>
              <w:rPr>
                <w:rFonts w:ascii="宋体" w:hAnsi="宋体" w:eastAsia="宋体" w:cs="宋体"/>
                <w:kern w:val="0"/>
                <w:sz w:val="18"/>
                <w:szCs w:val="18"/>
                <w:lang w:val="en-US" w:eastAsia="zh-CN" w:bidi="ar"/>
              </w:rPr>
              <w:t>2.645360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2.7</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1.1</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0.608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0.149904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0.149904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委托业务费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2.537466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2.537466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4.668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30231-公务用车运行维护费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3.9031</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cs="宋体"/>
                <w:i w:val="0"/>
                <w:color w:val="000000"/>
                <w:kern w:val="0"/>
                <w:sz w:val="18"/>
                <w:szCs w:val="18"/>
                <w:u w:val="none"/>
                <w:lang w:val="en-US" w:eastAsia="zh-CN" w:bidi="ar"/>
              </w:rPr>
              <w:t>0.006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cs="宋体"/>
                <w:i w:val="0"/>
                <w:color w:val="000000"/>
                <w:kern w:val="0"/>
                <w:sz w:val="18"/>
                <w:szCs w:val="18"/>
                <w:u w:val="none"/>
                <w:lang w:val="en-US" w:eastAsia="zh-CN" w:bidi="ar"/>
              </w:rPr>
              <w:t>0.006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2101102-事业单位医疗</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30110-职工基本医疗保险缴费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2210201-住房公积金</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30113-住房公积金</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23.322876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0.936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0.936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50905-离退休费</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30302-退休费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1.44</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2210203-购房补贴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28.537200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sz w:val="18"/>
                <w:szCs w:val="18"/>
              </w:rPr>
              <w:t>28.537200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b/>
                <w:bCs/>
                <w:sz w:val="18"/>
                <w:szCs w:val="18"/>
              </w:rPr>
              <w:t>361.035194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b/>
                <w:bCs/>
                <w:sz w:val="18"/>
                <w:szCs w:val="18"/>
              </w:rPr>
              <w:t>331.587724</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ascii="宋体" w:hAnsi="宋体" w:eastAsia="宋体" w:cs="宋体"/>
                <w:b/>
                <w:bCs/>
                <w:sz w:val="18"/>
                <w:szCs w:val="18"/>
              </w:rPr>
              <w:t>29.447470</w:t>
            </w:r>
          </w:p>
        </w:tc>
      </w:tr>
    </w:tbl>
    <w:p>
      <w:pPr>
        <w:jc w:val="center"/>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表八、</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政府性基金预算支出情况表</w:t>
      </w:r>
    </w:p>
    <w:tbl>
      <w:tblPr>
        <w:tblStyle w:val="7"/>
        <w:tblW w:w="13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20"/>
        <w:gridCol w:w="2385"/>
        <w:gridCol w:w="3693"/>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799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Theme="minorEastAsia" w:hAnsiTheme="minorEastAsia" w:eastAsiaTheme="minorEastAsia" w:cstheme="minorEastAsia"/>
          <w:b/>
          <w:bCs/>
          <w:sz w:val="36"/>
          <w:szCs w:val="36"/>
        </w:rPr>
      </w:pPr>
      <w:r>
        <w:rPr>
          <w:rFonts w:hint="eastAsia" w:ascii="仿宋_GB2312" w:eastAsia="仿宋_GB2312"/>
          <w:sz w:val="32"/>
          <w:szCs w:val="32"/>
        </w:rPr>
        <w:t>表九、</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rPr>
        <w:t>国有资本经营预算财政拨款支出表</w:t>
      </w:r>
    </w:p>
    <w:tbl>
      <w:tblPr>
        <w:tblStyle w:val="7"/>
        <w:tblW w:w="13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20"/>
        <w:gridCol w:w="2385"/>
        <w:gridCol w:w="2385"/>
        <w:gridCol w:w="2592"/>
        <w:gridCol w:w="237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6690"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9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8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7242"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2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pPr>
    </w:p>
    <w:p>
      <w:pPr>
        <w:pStyle w:val="2"/>
        <w:rPr>
          <w:rFonts w:ascii="楷体_GB2312" w:hAnsi="宋体" w:eastAsia="楷体_GB2312" w:cs="Times New Roman"/>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rPr>
        <w:t>一般公共预算“三公”经费支出情况表</w:t>
      </w:r>
    </w:p>
    <w:tbl>
      <w:tblPr>
        <w:tblStyle w:val="7"/>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60"/>
        <w:gridCol w:w="8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46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854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2025年</w:t>
            </w: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1、因公出国（境）费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2、公务接待费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rPr>
            </w:pPr>
            <w:r>
              <w:rPr>
                <w:rFonts w:hint="eastAsia" w:ascii="宋体" w:cs="Times New Roman"/>
                <w:kern w:val="0"/>
                <w:sz w:val="24"/>
                <w:szCs w:val="24"/>
                <w:lang w:val="en-US" w:eastAsia="zh-CN"/>
              </w:rPr>
              <w:t>0.149904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3、公务用车购置及运行维护费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rPr>
            </w:pPr>
            <w:r>
              <w:rPr>
                <w:rFonts w:hint="eastAsia" w:ascii="宋体" w:cs="Times New Roman"/>
                <w:kern w:val="0"/>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rPr>
            </w:pPr>
            <w:r>
              <w:rPr>
                <w:rFonts w:hint="eastAsia" w:ascii="宋体" w:cs="Times New Roman"/>
                <w:kern w:val="0"/>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rPr>
            </w:pPr>
            <w:r>
              <w:rPr>
                <w:rFonts w:hint="eastAsia" w:ascii="宋体" w:cs="Times New Roman"/>
                <w:kern w:val="0"/>
                <w:sz w:val="24"/>
                <w:szCs w:val="24"/>
                <w:lang w:val="en-US" w:eastAsia="zh-CN"/>
              </w:rPr>
              <w:t>1.949904</w:t>
            </w:r>
          </w:p>
        </w:tc>
      </w:tr>
    </w:tbl>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表十一、</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政府购买服务预算表</w:t>
      </w:r>
    </w:p>
    <w:tbl>
      <w:tblPr>
        <w:tblStyle w:val="7"/>
        <w:tblW w:w="14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5"/>
        <w:gridCol w:w="1635"/>
        <w:gridCol w:w="2070"/>
        <w:gridCol w:w="1065"/>
        <w:gridCol w:w="1065"/>
        <w:gridCol w:w="1065"/>
        <w:gridCol w:w="1924"/>
        <w:gridCol w:w="2085"/>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7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4"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8"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单位信息</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0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职能职责与活动</w:t>
            </w:r>
          </w:p>
        </w:tc>
        <w:tc>
          <w:tcPr>
            <w:tcW w:w="31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指导性目录</w:t>
            </w:r>
          </w:p>
        </w:tc>
        <w:tc>
          <w:tcPr>
            <w:tcW w:w="19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服务领域</w:t>
            </w:r>
          </w:p>
        </w:tc>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本年预算金额</w:t>
            </w: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19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北京市西城区职业能力建设指导中心</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无</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bl>
    <w:p>
      <w:pPr>
        <w:pStyle w:val="2"/>
      </w:pPr>
    </w:p>
    <w:p>
      <w:pPr>
        <w:pStyle w:val="2"/>
      </w:pPr>
    </w:p>
    <w:p>
      <w:pPr>
        <w:pStyle w:val="2"/>
      </w:pPr>
    </w:p>
    <w:p>
      <w:pPr>
        <w:autoSpaceDE w:val="0"/>
        <w:autoSpaceDN w:val="0"/>
        <w:adjustRightInd w:val="0"/>
        <w:spacing w:line="560" w:lineRule="exact"/>
        <w:jc w:val="left"/>
        <w:rPr>
          <w:rFonts w:hint="eastAsia" w:asciiTheme="minorEastAsia" w:hAnsiTheme="minorEastAsia" w:eastAsiaTheme="minorEastAsia" w:cstheme="minorEastAsia"/>
          <w:b/>
          <w:bCs/>
          <w:sz w:val="36"/>
          <w:szCs w:val="36"/>
          <w:lang w:eastAsia="zh-CN"/>
        </w:rPr>
      </w:pPr>
      <w:r>
        <w:rPr>
          <w:rFonts w:hint="eastAsia" w:ascii="仿宋_GB2312" w:eastAsia="仿宋_GB2312"/>
          <w:sz w:val="32"/>
          <w:szCs w:val="32"/>
        </w:rPr>
        <w:t>表十二、</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上级转移支付细化明细表</w:t>
      </w:r>
    </w:p>
    <w:tbl>
      <w:tblPr>
        <w:tblStyle w:val="7"/>
        <w:tblW w:w="14707"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773"/>
        <w:gridCol w:w="1807"/>
        <w:gridCol w:w="1530"/>
        <w:gridCol w:w="1140"/>
        <w:gridCol w:w="1155"/>
        <w:gridCol w:w="1320"/>
        <w:gridCol w:w="1965"/>
        <w:gridCol w:w="20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6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7"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15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5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32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20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24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ascii="宋体" w:cs="Times New Roman"/>
          <w:b/>
          <w:bCs/>
          <w:sz w:val="36"/>
          <w:szCs w:val="36"/>
        </w:rPr>
        <w:sectPr>
          <w:pgSz w:w="16838" w:h="11906" w:orient="landscape"/>
          <w:pgMar w:top="1797" w:right="1440" w:bottom="1797" w:left="1440" w:header="851" w:footer="992" w:gutter="0"/>
          <w:cols w:space="425" w:num="1"/>
          <w:docGrid w:type="lines" w:linePitch="312" w:charSpace="0"/>
        </w:sect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表十三、</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rPr>
        <w:t>项目支出绩效目标申报表</w:t>
      </w:r>
    </w:p>
    <w:tbl>
      <w:tblPr>
        <w:tblStyle w:val="7"/>
        <w:tblW w:w="14865"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5"/>
        <w:gridCol w:w="1050"/>
        <w:gridCol w:w="630"/>
        <w:gridCol w:w="645"/>
        <w:gridCol w:w="780"/>
        <w:gridCol w:w="915"/>
        <w:gridCol w:w="915"/>
        <w:gridCol w:w="540"/>
        <w:gridCol w:w="2310"/>
        <w:gridCol w:w="960"/>
        <w:gridCol w:w="885"/>
        <w:gridCol w:w="1635"/>
        <w:gridCol w:w="660"/>
        <w:gridCol w:w="735"/>
        <w:gridCol w:w="63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025"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1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5" w:type="dxa"/>
            <w:gridSpan w:val="3"/>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单位名称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项目名称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项目类别</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项目责任人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项目责任人电话</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项目总额</w:t>
            </w:r>
          </w:p>
        </w:tc>
        <w:tc>
          <w:tcPr>
            <w:tcW w:w="1455" w:type="dxa"/>
            <w:gridSpan w:val="2"/>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其中：</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绩效目标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一级指标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二级指标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三级指标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绩效指标性质</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本年绩效指标值</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绩效度量单位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财政资金</w:t>
            </w:r>
          </w:p>
        </w:tc>
        <w:tc>
          <w:tcPr>
            <w:tcW w:w="54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其他资金</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r>
              <w:rPr>
                <w:rFonts w:hint="eastAsia" w:ascii="宋体" w:hAnsi="宋体" w:cs="宋体"/>
                <w:b w:val="0"/>
                <w:bCs/>
                <w:i w:val="0"/>
                <w:color w:val="000000"/>
                <w:sz w:val="22"/>
                <w:szCs w:val="22"/>
                <w:u w:val="none"/>
                <w:lang w:eastAsia="zh-CN"/>
              </w:rPr>
              <w:t>北京市西城区职业能力建设指导中心</w:t>
            </w:r>
          </w:p>
        </w:tc>
        <w:tc>
          <w:tcPr>
            <w:tcW w:w="105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auto"/>
                <w:sz w:val="20"/>
                <w:szCs w:val="20"/>
                <w:u w:val="none"/>
                <w:lang w:eastAsia="zh-CN"/>
              </w:rPr>
            </w:pPr>
            <w:r>
              <w:rPr>
                <w:rFonts w:hint="eastAsia" w:ascii="宋体" w:hAnsi="宋体" w:cs="宋体"/>
                <w:b w:val="0"/>
                <w:bCs/>
                <w:i w:val="0"/>
                <w:color w:val="auto"/>
                <w:sz w:val="20"/>
                <w:szCs w:val="20"/>
                <w:u w:val="none"/>
                <w:lang w:eastAsia="zh-CN"/>
              </w:rPr>
              <w:t>无</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FFFFFF" w:themeColor="background1"/>
                <w:kern w:val="0"/>
                <w:sz w:val="20"/>
                <w:szCs w:val="20"/>
                <w:u w:val="none"/>
                <w:lang w:val="en-US" w:eastAsia="zh-CN" w:bidi="ar"/>
                <w14:textFill>
                  <w14:solidFill>
                    <w14:schemeClr w14:val="bg1"/>
                  </w14:solidFill>
                </w14:textFill>
              </w:rPr>
            </w:pPr>
          </w:p>
        </w:tc>
        <w:tc>
          <w:tcPr>
            <w:tcW w:w="54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FFFFFF" w:themeColor="background1"/>
                <w:kern w:val="0"/>
                <w:sz w:val="20"/>
                <w:szCs w:val="20"/>
                <w:u w:val="none"/>
                <w:lang w:val="en-US" w:eastAsia="zh-CN" w:bidi="ar"/>
                <w14:textFill>
                  <w14:solidFill>
                    <w14:schemeClr w14:val="bg1"/>
                  </w14:solidFill>
                </w14:textFill>
              </w:rPr>
            </w:pPr>
          </w:p>
        </w:tc>
        <w:tc>
          <w:tcPr>
            <w:tcW w:w="231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kern w:val="2"/>
                <w:sz w:val="20"/>
                <w:szCs w:val="20"/>
                <w:u w:val="none"/>
                <w:lang w:val="en-US" w:eastAsia="zh-CN" w:bidi="ar-SA"/>
                <w14:textFill>
                  <w14:solidFill>
                    <w14:schemeClr w14:val="bg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val="0"/>
                <w:bCs/>
                <w:i w:val="0"/>
                <w:color w:val="FFFFFF" w:themeColor="background1"/>
                <w:sz w:val="20"/>
                <w:szCs w:val="20"/>
                <w:u w:val="none"/>
                <w14:textFill>
                  <w14:solidFill>
                    <w14:schemeClr w14:val="bg1"/>
                  </w14:solidFill>
                </w14:textFill>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cs="宋体"/>
          <w:sz w:val="28"/>
          <w:szCs w:val="28"/>
        </w:rPr>
      </w:pPr>
    </w:p>
    <w:p>
      <w:pPr>
        <w:rPr>
          <w:rFonts w:hint="eastAsia" w:cs="宋体"/>
          <w:sz w:val="28"/>
          <w:szCs w:val="28"/>
        </w:rPr>
      </w:pPr>
    </w:p>
    <w:p>
      <w:pPr>
        <w:widowControl/>
        <w:spacing w:before="100" w:beforeAutospacing="1" w:after="100" w:afterAutospacing="1" w:line="312" w:lineRule="auto"/>
        <w:rPr>
          <w:rFonts w:ascii="仿宋_GB2312" w:hAnsi="Times New Roman" w:cs="Times New Roman"/>
          <w:kern w:val="0"/>
          <w:sz w:val="20"/>
          <w:szCs w:val="20"/>
        </w:rPr>
        <w:sectPr>
          <w:pgSz w:w="16840" w:h="11907" w:orient="landscape"/>
          <w:pgMar w:top="1304" w:right="1077" w:bottom="1304" w:left="851" w:header="851" w:footer="992" w:gutter="0"/>
          <w:cols w:space="425" w:num="1"/>
          <w:docGrid w:linePitch="312" w:charSpace="0"/>
        </w:sectPr>
      </w:pPr>
    </w:p>
    <w:p>
      <w:pPr>
        <w:pStyle w:val="2"/>
      </w:pPr>
      <w:r>
        <w:rPr>
          <w:rFonts w:hint="eastAsia" w:ascii="仿宋_GB2312" w:eastAsia="仿宋_GB2312"/>
          <w:sz w:val="32"/>
          <w:szCs w:val="32"/>
          <w:lang w:val="en-US" w:eastAsia="zh-CN"/>
        </w:rPr>
        <w:t xml:space="preserve">   </w:t>
      </w:r>
      <w:r>
        <w:rPr>
          <w:rFonts w:hint="eastAsia" w:ascii="仿宋_GB2312" w:eastAsia="仿宋_GB2312"/>
          <w:sz w:val="32"/>
          <w:szCs w:val="32"/>
        </w:rPr>
        <w:t>表十四、</w:t>
      </w:r>
      <w:r>
        <w:rPr>
          <w:rFonts w:hint="eastAsia" w:ascii="仿宋_GB2312" w:eastAsia="仿宋_GB2312"/>
          <w:sz w:val="32"/>
          <w:szCs w:val="32"/>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单位</w:t>
      </w:r>
      <w:r>
        <w:rPr>
          <w:rFonts w:hint="eastAsia" w:asciiTheme="minorEastAsia" w:hAnsiTheme="minorEastAsia" w:eastAsiaTheme="minorEastAsia" w:cstheme="minorEastAsia"/>
          <w:b/>
          <w:bCs/>
          <w:sz w:val="36"/>
          <w:szCs w:val="36"/>
        </w:rPr>
        <w:t>整体支出绩效目标申报表</w:t>
      </w:r>
    </w:p>
    <w:tbl>
      <w:tblPr>
        <w:tblStyle w:val="7"/>
        <w:tblW w:w="14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9"/>
        <w:gridCol w:w="1560"/>
        <w:gridCol w:w="2310"/>
        <w:gridCol w:w="1477"/>
        <w:gridCol w:w="1179"/>
        <w:gridCol w:w="1214"/>
        <w:gridCol w:w="1635"/>
        <w:gridCol w:w="1515"/>
        <w:gridCol w:w="1418"/>
        <w:gridCol w:w="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2" w:type="dxa"/>
          <w:trHeight w:val="480" w:hRule="atLeast"/>
        </w:trPr>
        <w:tc>
          <w:tcPr>
            <w:tcW w:w="14007" w:type="dxa"/>
            <w:gridSpan w:val="9"/>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年度）                                                       金额：</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3259"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北京市西城区</w:t>
            </w:r>
            <w:r>
              <w:rPr>
                <w:rFonts w:hint="eastAsia" w:ascii="宋体" w:hAnsi="宋体" w:cs="宋体"/>
                <w:i w:val="0"/>
                <w:color w:val="000000"/>
                <w:sz w:val="18"/>
                <w:szCs w:val="18"/>
                <w:u w:val="none"/>
                <w:lang w:eastAsia="zh-CN"/>
              </w:rPr>
              <w:t>职业能力建设指导中心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2310" w:type="dxa"/>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3870" w:type="dxa"/>
            <w:gridSpan w:val="3"/>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4620" w:type="dxa"/>
            <w:gridSpan w:val="4"/>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10"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7"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79"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14"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635"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15"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10"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b/>
                <w:bCs/>
                <w:sz w:val="18"/>
                <w:szCs w:val="18"/>
              </w:rPr>
              <w:t>361.035194</w:t>
            </w:r>
          </w:p>
        </w:tc>
        <w:tc>
          <w:tcPr>
            <w:tcW w:w="1477"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b/>
                <w:bCs/>
                <w:sz w:val="18"/>
                <w:szCs w:val="18"/>
              </w:rPr>
              <w:t>361.035194</w:t>
            </w:r>
          </w:p>
        </w:tc>
        <w:tc>
          <w:tcPr>
            <w:tcW w:w="1179"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eastAsia="宋体" w:cs="宋体"/>
                <w:b/>
                <w:bCs/>
                <w:sz w:val="18"/>
                <w:szCs w:val="18"/>
              </w:rPr>
              <w:t>361.035194</w:t>
            </w:r>
          </w:p>
        </w:tc>
        <w:tc>
          <w:tcPr>
            <w:tcW w:w="1214"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35"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5"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gridSpan w:val="2"/>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0" w:hRule="atLeast"/>
        </w:trPr>
        <w:tc>
          <w:tcPr>
            <w:tcW w:w="1699" w:type="dxa"/>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560"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sz w:val="18"/>
                <w:szCs w:val="18"/>
              </w:rPr>
              <w:t>彻中央、市、区决策部署，按照“提升职业教育人员素质”的整体目标，结合本辖区培训机构特点做好督导检查工作，为社会提供所所需各种人才打好基础。</w:t>
            </w:r>
            <w:r>
              <w:rPr>
                <w:rFonts w:ascii="宋体" w:hAnsi="宋体" w:eastAsia="宋体" w:cs="宋体"/>
                <w:sz w:val="24"/>
                <w:szCs w:val="24"/>
              </w:rPr>
              <w:t xml:space="preserve"> </w:t>
            </w:r>
            <w:r>
              <w:rPr>
                <w:rFonts w:hint="eastAsia" w:ascii="宋体" w:hAnsi="宋体" w:eastAsia="宋体" w:cs="宋体"/>
                <w:i w:val="0"/>
                <w:color w:val="000000"/>
                <w:kern w:val="0"/>
                <w:sz w:val="18"/>
                <w:szCs w:val="18"/>
                <w:u w:val="none"/>
                <w:lang w:val="en-US" w:eastAsia="zh-CN" w:bidi="ar"/>
              </w:rPr>
              <w:t>顺利完成年度</w:t>
            </w:r>
            <w:r>
              <w:rPr>
                <w:rFonts w:hint="eastAsia" w:ascii="宋体" w:hAnsi="宋体" w:cs="宋体"/>
                <w:i w:val="0"/>
                <w:color w:val="000000"/>
                <w:kern w:val="0"/>
                <w:sz w:val="18"/>
                <w:szCs w:val="18"/>
                <w:u w:val="none"/>
                <w:lang w:val="en-US" w:eastAsia="zh-CN" w:bidi="ar"/>
              </w:rPr>
              <w:t>其他</w:t>
            </w:r>
            <w:r>
              <w:rPr>
                <w:rFonts w:hint="eastAsia" w:ascii="宋体" w:hAnsi="宋体" w:eastAsia="宋体" w:cs="宋体"/>
                <w:i w:val="0"/>
                <w:color w:val="000000"/>
                <w:kern w:val="0"/>
                <w:sz w:val="18"/>
                <w:szCs w:val="18"/>
                <w:u w:val="none"/>
                <w:lang w:val="en-US" w:eastAsia="zh-CN" w:bidi="ar"/>
              </w:rPr>
              <w:t>各项</w:t>
            </w:r>
            <w:r>
              <w:rPr>
                <w:rFonts w:hint="eastAsia" w:ascii="宋体" w:hAnsi="宋体" w:cs="宋体"/>
                <w:i w:val="0"/>
                <w:color w:val="000000"/>
                <w:kern w:val="0"/>
                <w:sz w:val="18"/>
                <w:szCs w:val="18"/>
                <w:u w:val="none"/>
                <w:lang w:val="en-US" w:eastAsia="zh-CN" w:bidi="ar"/>
              </w:rPr>
              <w:t>督导</w:t>
            </w:r>
            <w:r>
              <w:rPr>
                <w:rFonts w:hint="eastAsia" w:ascii="宋体" w:hAnsi="宋体" w:eastAsia="宋体" w:cs="宋体"/>
                <w:i w:val="0"/>
                <w:color w:val="000000"/>
                <w:kern w:val="0"/>
                <w:sz w:val="18"/>
                <w:szCs w:val="18"/>
                <w:u w:val="none"/>
                <w:lang w:val="en-US" w:eastAsia="zh-CN" w:bidi="ar"/>
              </w:rPr>
              <w:t>任务。</w:t>
            </w:r>
            <w:r>
              <w:rPr>
                <w:rFonts w:ascii="宋体" w:hAnsi="宋体" w:eastAsia="宋体" w:cs="宋体"/>
                <w:sz w:val="18"/>
                <w:szCs w:val="18"/>
              </w:rPr>
              <w:t>同时配合其他部门完成年度有关培训</w:t>
            </w:r>
            <w:r>
              <w:rPr>
                <w:rFonts w:hint="eastAsia" w:ascii="宋体" w:hAnsi="宋体" w:cs="宋体"/>
                <w:sz w:val="18"/>
                <w:szCs w:val="18"/>
                <w:lang w:eastAsia="zh-CN"/>
              </w:rPr>
              <w:t>、检查</w:t>
            </w:r>
            <w:r>
              <w:rPr>
                <w:rFonts w:ascii="宋体" w:hAnsi="宋体" w:eastAsia="宋体" w:cs="宋体"/>
                <w:sz w:val="18"/>
                <w:szCs w:val="18"/>
              </w:rPr>
              <w:t>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2656"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214"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315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4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nil"/>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14" w:type="dxa"/>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widowControl/>
        <w:jc w:val="left"/>
        <w:rPr>
          <w:rFonts w:ascii="宋体" w:cs="Times New Roman"/>
          <w:color w:val="000000"/>
          <w:kern w:val="0"/>
          <w:sz w:val="24"/>
          <w:szCs w:val="24"/>
        </w:rPr>
      </w:pPr>
    </w:p>
    <w:sectPr>
      <w:pgSz w:w="16838" w:h="11906" w:orient="landscape"/>
      <w:pgMar w:top="850" w:right="1304" w:bottom="1077"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369C8"/>
    <w:multiLevelType w:val="singleLevel"/>
    <w:tmpl w:val="981369C8"/>
    <w:lvl w:ilvl="0" w:tentative="0">
      <w:start w:val="6"/>
      <w:numFmt w:val="chineseCounting"/>
      <w:suff w:val="nothing"/>
      <w:lvlText w:val="(%1）"/>
      <w:lvlJc w:val="left"/>
      <w:rPr>
        <w:rFonts w:hint="eastAsia"/>
      </w:rPr>
    </w:lvl>
  </w:abstractNum>
  <w:abstractNum w:abstractNumId="1">
    <w:nsid w:val="A06D6EF5"/>
    <w:multiLevelType w:val="singleLevel"/>
    <w:tmpl w:val="A06D6EF5"/>
    <w:lvl w:ilvl="0" w:tentative="0">
      <w:start w:val="1"/>
      <w:numFmt w:val="decimal"/>
      <w:suff w:val="nothing"/>
      <w:lvlText w:val="%1、"/>
      <w:lvlJc w:val="left"/>
    </w:lvl>
  </w:abstractNum>
  <w:abstractNum w:abstractNumId="2">
    <w:nsid w:val="2E94E6D8"/>
    <w:multiLevelType w:val="singleLevel"/>
    <w:tmpl w:val="2E94E6D8"/>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4264C"/>
    <w:rsid w:val="00042CD2"/>
    <w:rsid w:val="00046226"/>
    <w:rsid w:val="00051726"/>
    <w:rsid w:val="000545B4"/>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3B7A"/>
    <w:rsid w:val="000E714C"/>
    <w:rsid w:val="000F5AC8"/>
    <w:rsid w:val="0010565E"/>
    <w:rsid w:val="00115949"/>
    <w:rsid w:val="00115BB5"/>
    <w:rsid w:val="00115C42"/>
    <w:rsid w:val="00123226"/>
    <w:rsid w:val="00126F8A"/>
    <w:rsid w:val="00127E57"/>
    <w:rsid w:val="00133B58"/>
    <w:rsid w:val="00146112"/>
    <w:rsid w:val="001578C9"/>
    <w:rsid w:val="00164A80"/>
    <w:rsid w:val="001662E4"/>
    <w:rsid w:val="00166E96"/>
    <w:rsid w:val="00172707"/>
    <w:rsid w:val="0017282B"/>
    <w:rsid w:val="001762F9"/>
    <w:rsid w:val="001909E1"/>
    <w:rsid w:val="0019292E"/>
    <w:rsid w:val="0019456D"/>
    <w:rsid w:val="001B319E"/>
    <w:rsid w:val="001B3A23"/>
    <w:rsid w:val="001C509B"/>
    <w:rsid w:val="001D64D6"/>
    <w:rsid w:val="001E19BA"/>
    <w:rsid w:val="001E1E74"/>
    <w:rsid w:val="001F5BFA"/>
    <w:rsid w:val="001F681B"/>
    <w:rsid w:val="001F75E3"/>
    <w:rsid w:val="00202AE5"/>
    <w:rsid w:val="00202EA2"/>
    <w:rsid w:val="00214533"/>
    <w:rsid w:val="002160CE"/>
    <w:rsid w:val="00240EFA"/>
    <w:rsid w:val="00273C57"/>
    <w:rsid w:val="00290C29"/>
    <w:rsid w:val="00291328"/>
    <w:rsid w:val="00291A6D"/>
    <w:rsid w:val="002A4E13"/>
    <w:rsid w:val="002A6CB9"/>
    <w:rsid w:val="002C679F"/>
    <w:rsid w:val="002E7D02"/>
    <w:rsid w:val="002F4854"/>
    <w:rsid w:val="002F6691"/>
    <w:rsid w:val="00304C99"/>
    <w:rsid w:val="003170F6"/>
    <w:rsid w:val="003176D0"/>
    <w:rsid w:val="00327B2D"/>
    <w:rsid w:val="00334B7E"/>
    <w:rsid w:val="0034135E"/>
    <w:rsid w:val="00352900"/>
    <w:rsid w:val="00364A53"/>
    <w:rsid w:val="00366FB3"/>
    <w:rsid w:val="003705C9"/>
    <w:rsid w:val="00383540"/>
    <w:rsid w:val="00384A16"/>
    <w:rsid w:val="00385D21"/>
    <w:rsid w:val="00390D88"/>
    <w:rsid w:val="0039796A"/>
    <w:rsid w:val="003A1316"/>
    <w:rsid w:val="003A2ACC"/>
    <w:rsid w:val="003D4ADA"/>
    <w:rsid w:val="003E5F0B"/>
    <w:rsid w:val="003F332D"/>
    <w:rsid w:val="003F4388"/>
    <w:rsid w:val="003F52FC"/>
    <w:rsid w:val="003F56BB"/>
    <w:rsid w:val="004024ED"/>
    <w:rsid w:val="00402730"/>
    <w:rsid w:val="004069EE"/>
    <w:rsid w:val="004076BF"/>
    <w:rsid w:val="00410CDB"/>
    <w:rsid w:val="00414192"/>
    <w:rsid w:val="00426868"/>
    <w:rsid w:val="004326C4"/>
    <w:rsid w:val="004432F5"/>
    <w:rsid w:val="00444C5E"/>
    <w:rsid w:val="004548D0"/>
    <w:rsid w:val="00464427"/>
    <w:rsid w:val="004652C6"/>
    <w:rsid w:val="0046564C"/>
    <w:rsid w:val="00483D43"/>
    <w:rsid w:val="0049000B"/>
    <w:rsid w:val="004949BA"/>
    <w:rsid w:val="004A0A7D"/>
    <w:rsid w:val="004A3993"/>
    <w:rsid w:val="004B6C0B"/>
    <w:rsid w:val="004C045F"/>
    <w:rsid w:val="004C30B2"/>
    <w:rsid w:val="004C41E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964C9"/>
    <w:rsid w:val="005C22DC"/>
    <w:rsid w:val="005C7066"/>
    <w:rsid w:val="005C777D"/>
    <w:rsid w:val="005C7A73"/>
    <w:rsid w:val="005C7FB8"/>
    <w:rsid w:val="005D42C6"/>
    <w:rsid w:val="005D6C04"/>
    <w:rsid w:val="005F222A"/>
    <w:rsid w:val="005F5F46"/>
    <w:rsid w:val="006034FE"/>
    <w:rsid w:val="00603A95"/>
    <w:rsid w:val="006152D1"/>
    <w:rsid w:val="006228FA"/>
    <w:rsid w:val="0064700F"/>
    <w:rsid w:val="006552BF"/>
    <w:rsid w:val="00672413"/>
    <w:rsid w:val="006734F6"/>
    <w:rsid w:val="006737C1"/>
    <w:rsid w:val="00681282"/>
    <w:rsid w:val="0069401D"/>
    <w:rsid w:val="006A61E9"/>
    <w:rsid w:val="006A72AE"/>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27015"/>
    <w:rsid w:val="00753AAA"/>
    <w:rsid w:val="007600BB"/>
    <w:rsid w:val="00773429"/>
    <w:rsid w:val="0078212D"/>
    <w:rsid w:val="007826BF"/>
    <w:rsid w:val="007B0A8B"/>
    <w:rsid w:val="007B15FB"/>
    <w:rsid w:val="007B36D2"/>
    <w:rsid w:val="007D4342"/>
    <w:rsid w:val="007D59FB"/>
    <w:rsid w:val="007F39C0"/>
    <w:rsid w:val="007F6811"/>
    <w:rsid w:val="00800BE9"/>
    <w:rsid w:val="008074B1"/>
    <w:rsid w:val="00815055"/>
    <w:rsid w:val="00826848"/>
    <w:rsid w:val="00831F08"/>
    <w:rsid w:val="00832D8A"/>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3E4B"/>
    <w:rsid w:val="008D069D"/>
    <w:rsid w:val="008D4C0D"/>
    <w:rsid w:val="008E3C4B"/>
    <w:rsid w:val="008E5902"/>
    <w:rsid w:val="008F1D82"/>
    <w:rsid w:val="008F7EE7"/>
    <w:rsid w:val="009025E1"/>
    <w:rsid w:val="009056E9"/>
    <w:rsid w:val="00917465"/>
    <w:rsid w:val="009329AD"/>
    <w:rsid w:val="00940E27"/>
    <w:rsid w:val="00945E78"/>
    <w:rsid w:val="00963693"/>
    <w:rsid w:val="00965CE5"/>
    <w:rsid w:val="0098103F"/>
    <w:rsid w:val="00985B72"/>
    <w:rsid w:val="00994F04"/>
    <w:rsid w:val="009A3907"/>
    <w:rsid w:val="009B0ED9"/>
    <w:rsid w:val="009B10BE"/>
    <w:rsid w:val="009B1B12"/>
    <w:rsid w:val="009B343A"/>
    <w:rsid w:val="009B41C1"/>
    <w:rsid w:val="009E1152"/>
    <w:rsid w:val="009F1E19"/>
    <w:rsid w:val="009F68F3"/>
    <w:rsid w:val="00A10946"/>
    <w:rsid w:val="00A132DC"/>
    <w:rsid w:val="00A25580"/>
    <w:rsid w:val="00A26985"/>
    <w:rsid w:val="00A30055"/>
    <w:rsid w:val="00A3667B"/>
    <w:rsid w:val="00A4513E"/>
    <w:rsid w:val="00A5688D"/>
    <w:rsid w:val="00A66F16"/>
    <w:rsid w:val="00A7510A"/>
    <w:rsid w:val="00A83681"/>
    <w:rsid w:val="00A8388D"/>
    <w:rsid w:val="00A9686A"/>
    <w:rsid w:val="00AB36D2"/>
    <w:rsid w:val="00AB448F"/>
    <w:rsid w:val="00AB5593"/>
    <w:rsid w:val="00AB7516"/>
    <w:rsid w:val="00AC2346"/>
    <w:rsid w:val="00AC512C"/>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29BD"/>
    <w:rsid w:val="00BC6AB0"/>
    <w:rsid w:val="00BC6AE7"/>
    <w:rsid w:val="00BD4A2F"/>
    <w:rsid w:val="00BD73AE"/>
    <w:rsid w:val="00BE6F59"/>
    <w:rsid w:val="00C00C85"/>
    <w:rsid w:val="00C03EEE"/>
    <w:rsid w:val="00C2428B"/>
    <w:rsid w:val="00C32845"/>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EF"/>
    <w:rsid w:val="00CB7AEB"/>
    <w:rsid w:val="00CC4FF0"/>
    <w:rsid w:val="00CD0729"/>
    <w:rsid w:val="00CD380E"/>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64206"/>
    <w:rsid w:val="00D6679F"/>
    <w:rsid w:val="00D7330B"/>
    <w:rsid w:val="00D91E44"/>
    <w:rsid w:val="00DA26F3"/>
    <w:rsid w:val="00DB48A8"/>
    <w:rsid w:val="00DB7C61"/>
    <w:rsid w:val="00DC21F2"/>
    <w:rsid w:val="00DC6908"/>
    <w:rsid w:val="00DD2C50"/>
    <w:rsid w:val="00DD327B"/>
    <w:rsid w:val="00DD4848"/>
    <w:rsid w:val="00DE5F40"/>
    <w:rsid w:val="00DF0EF6"/>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92758"/>
    <w:rsid w:val="00EB4185"/>
    <w:rsid w:val="00EC36FF"/>
    <w:rsid w:val="00EC595F"/>
    <w:rsid w:val="00EC5F6A"/>
    <w:rsid w:val="00ED41BC"/>
    <w:rsid w:val="00EE6B85"/>
    <w:rsid w:val="00EF3B4F"/>
    <w:rsid w:val="00EF5253"/>
    <w:rsid w:val="00F016CB"/>
    <w:rsid w:val="00F03D74"/>
    <w:rsid w:val="00F0744A"/>
    <w:rsid w:val="00F14895"/>
    <w:rsid w:val="00F2737E"/>
    <w:rsid w:val="00F3722C"/>
    <w:rsid w:val="00F624CD"/>
    <w:rsid w:val="00F64801"/>
    <w:rsid w:val="00F675A0"/>
    <w:rsid w:val="00F74DFE"/>
    <w:rsid w:val="00F8610A"/>
    <w:rsid w:val="00F86E2B"/>
    <w:rsid w:val="00FB1EB6"/>
    <w:rsid w:val="00FC51EC"/>
    <w:rsid w:val="00FD0266"/>
    <w:rsid w:val="00FD0529"/>
    <w:rsid w:val="00FD0EE0"/>
    <w:rsid w:val="00FE0A06"/>
    <w:rsid w:val="00FF0963"/>
    <w:rsid w:val="00FF0EE8"/>
    <w:rsid w:val="00FF3932"/>
    <w:rsid w:val="00FF6D06"/>
    <w:rsid w:val="01226A85"/>
    <w:rsid w:val="020C404E"/>
    <w:rsid w:val="0228596A"/>
    <w:rsid w:val="024707D1"/>
    <w:rsid w:val="024E3204"/>
    <w:rsid w:val="02DB22B0"/>
    <w:rsid w:val="03795B89"/>
    <w:rsid w:val="03D0786D"/>
    <w:rsid w:val="041D6DDB"/>
    <w:rsid w:val="054F28CE"/>
    <w:rsid w:val="056D6F48"/>
    <w:rsid w:val="05C04040"/>
    <w:rsid w:val="07E64B21"/>
    <w:rsid w:val="07FC1CD2"/>
    <w:rsid w:val="08601B09"/>
    <w:rsid w:val="089642D8"/>
    <w:rsid w:val="08B115DD"/>
    <w:rsid w:val="08B21B67"/>
    <w:rsid w:val="08E84F6C"/>
    <w:rsid w:val="096C5E0C"/>
    <w:rsid w:val="09F8732D"/>
    <w:rsid w:val="0B3C02FE"/>
    <w:rsid w:val="0B470D4A"/>
    <w:rsid w:val="0B8F582F"/>
    <w:rsid w:val="0BCC758B"/>
    <w:rsid w:val="0C110487"/>
    <w:rsid w:val="0CB71C0F"/>
    <w:rsid w:val="0DC11CA6"/>
    <w:rsid w:val="0DC53B4C"/>
    <w:rsid w:val="0DCF286F"/>
    <w:rsid w:val="0E7D3DF8"/>
    <w:rsid w:val="0EA95739"/>
    <w:rsid w:val="0F5F7EC1"/>
    <w:rsid w:val="0F800DDB"/>
    <w:rsid w:val="10743A5C"/>
    <w:rsid w:val="108361A8"/>
    <w:rsid w:val="115F1CAB"/>
    <w:rsid w:val="116F1CC0"/>
    <w:rsid w:val="11950B5B"/>
    <w:rsid w:val="11CF7529"/>
    <w:rsid w:val="12235EE8"/>
    <w:rsid w:val="122446A5"/>
    <w:rsid w:val="123C652C"/>
    <w:rsid w:val="12D81542"/>
    <w:rsid w:val="12EC1559"/>
    <w:rsid w:val="132911FA"/>
    <w:rsid w:val="13594C06"/>
    <w:rsid w:val="141C7E93"/>
    <w:rsid w:val="14E36CB4"/>
    <w:rsid w:val="152C54D8"/>
    <w:rsid w:val="1574513D"/>
    <w:rsid w:val="15CC4584"/>
    <w:rsid w:val="15D54EDC"/>
    <w:rsid w:val="15EF68EF"/>
    <w:rsid w:val="16493E8C"/>
    <w:rsid w:val="17941FA9"/>
    <w:rsid w:val="17DF42C9"/>
    <w:rsid w:val="180743F5"/>
    <w:rsid w:val="1808583C"/>
    <w:rsid w:val="18243DF8"/>
    <w:rsid w:val="18951AA9"/>
    <w:rsid w:val="18B31740"/>
    <w:rsid w:val="18CB781D"/>
    <w:rsid w:val="19005E35"/>
    <w:rsid w:val="196836A7"/>
    <w:rsid w:val="19EA2411"/>
    <w:rsid w:val="1B1B1695"/>
    <w:rsid w:val="1B1E1C4A"/>
    <w:rsid w:val="1B454FAC"/>
    <w:rsid w:val="1B6C7525"/>
    <w:rsid w:val="1BA7469E"/>
    <w:rsid w:val="1BBB3FB0"/>
    <w:rsid w:val="1BD97470"/>
    <w:rsid w:val="1BE741B2"/>
    <w:rsid w:val="1C2F5BA0"/>
    <w:rsid w:val="1CDA2D39"/>
    <w:rsid w:val="1D8721BA"/>
    <w:rsid w:val="1DCC43E5"/>
    <w:rsid w:val="1E0006FE"/>
    <w:rsid w:val="1E1A2993"/>
    <w:rsid w:val="1E2E6014"/>
    <w:rsid w:val="1EE21C4C"/>
    <w:rsid w:val="1F630C1F"/>
    <w:rsid w:val="1F7F5B99"/>
    <w:rsid w:val="2019321C"/>
    <w:rsid w:val="20410CA4"/>
    <w:rsid w:val="20485AB6"/>
    <w:rsid w:val="20EB7CB5"/>
    <w:rsid w:val="20FF4349"/>
    <w:rsid w:val="21064195"/>
    <w:rsid w:val="2163228C"/>
    <w:rsid w:val="217C79CA"/>
    <w:rsid w:val="21A64516"/>
    <w:rsid w:val="21E71B22"/>
    <w:rsid w:val="220F2C97"/>
    <w:rsid w:val="22946137"/>
    <w:rsid w:val="22EC76C5"/>
    <w:rsid w:val="233A09E5"/>
    <w:rsid w:val="233E3D1E"/>
    <w:rsid w:val="24E9779F"/>
    <w:rsid w:val="24F80C35"/>
    <w:rsid w:val="255A2186"/>
    <w:rsid w:val="25760D1F"/>
    <w:rsid w:val="25AD6810"/>
    <w:rsid w:val="25FA127F"/>
    <w:rsid w:val="26285732"/>
    <w:rsid w:val="26493F65"/>
    <w:rsid w:val="267A2FB0"/>
    <w:rsid w:val="26B752DC"/>
    <w:rsid w:val="26F648CD"/>
    <w:rsid w:val="273C50BC"/>
    <w:rsid w:val="277214B2"/>
    <w:rsid w:val="278C0E36"/>
    <w:rsid w:val="27D27171"/>
    <w:rsid w:val="27D66EA7"/>
    <w:rsid w:val="286B5860"/>
    <w:rsid w:val="28A87D7C"/>
    <w:rsid w:val="292047A7"/>
    <w:rsid w:val="29983653"/>
    <w:rsid w:val="2A4D4844"/>
    <w:rsid w:val="2A8520A2"/>
    <w:rsid w:val="2A9B687A"/>
    <w:rsid w:val="2B0221F8"/>
    <w:rsid w:val="2BC44CE1"/>
    <w:rsid w:val="2D0E15E9"/>
    <w:rsid w:val="2D3F2AAA"/>
    <w:rsid w:val="2E211EC9"/>
    <w:rsid w:val="2E863019"/>
    <w:rsid w:val="2EA93891"/>
    <w:rsid w:val="2ECF3A3C"/>
    <w:rsid w:val="2EF0063F"/>
    <w:rsid w:val="2EFB10C5"/>
    <w:rsid w:val="2FAE0C7E"/>
    <w:rsid w:val="306260CE"/>
    <w:rsid w:val="30661D91"/>
    <w:rsid w:val="31430B86"/>
    <w:rsid w:val="3172739E"/>
    <w:rsid w:val="317443E5"/>
    <w:rsid w:val="318351AC"/>
    <w:rsid w:val="31AE583F"/>
    <w:rsid w:val="32383612"/>
    <w:rsid w:val="3330209C"/>
    <w:rsid w:val="33333514"/>
    <w:rsid w:val="33807B7E"/>
    <w:rsid w:val="345E2BF5"/>
    <w:rsid w:val="347E6AF2"/>
    <w:rsid w:val="34BE77A4"/>
    <w:rsid w:val="34BF56FB"/>
    <w:rsid w:val="352039A9"/>
    <w:rsid w:val="3520567A"/>
    <w:rsid w:val="354903F9"/>
    <w:rsid w:val="360B6E94"/>
    <w:rsid w:val="3650138A"/>
    <w:rsid w:val="368D47BA"/>
    <w:rsid w:val="3703407F"/>
    <w:rsid w:val="372821DA"/>
    <w:rsid w:val="37622D62"/>
    <w:rsid w:val="380A7EA0"/>
    <w:rsid w:val="38146CF1"/>
    <w:rsid w:val="389C250A"/>
    <w:rsid w:val="39144B48"/>
    <w:rsid w:val="39B0245D"/>
    <w:rsid w:val="3AC84EE7"/>
    <w:rsid w:val="3AE07CA6"/>
    <w:rsid w:val="3B05369A"/>
    <w:rsid w:val="3B285182"/>
    <w:rsid w:val="3B704C3C"/>
    <w:rsid w:val="3CA4268B"/>
    <w:rsid w:val="3CCE0CB6"/>
    <w:rsid w:val="3D4739EC"/>
    <w:rsid w:val="3E5321A0"/>
    <w:rsid w:val="3EC50798"/>
    <w:rsid w:val="3ED4755C"/>
    <w:rsid w:val="3EDA397E"/>
    <w:rsid w:val="3F601864"/>
    <w:rsid w:val="3F6B4F80"/>
    <w:rsid w:val="40AE77EB"/>
    <w:rsid w:val="41033773"/>
    <w:rsid w:val="410D1EF7"/>
    <w:rsid w:val="415237ED"/>
    <w:rsid w:val="41CC5D19"/>
    <w:rsid w:val="41D722D0"/>
    <w:rsid w:val="41F51BA7"/>
    <w:rsid w:val="41F5257D"/>
    <w:rsid w:val="4206288C"/>
    <w:rsid w:val="42490758"/>
    <w:rsid w:val="4272300A"/>
    <w:rsid w:val="42C85A1F"/>
    <w:rsid w:val="43115D67"/>
    <w:rsid w:val="43207B2A"/>
    <w:rsid w:val="436B7830"/>
    <w:rsid w:val="436E010A"/>
    <w:rsid w:val="43CC2740"/>
    <w:rsid w:val="44037F07"/>
    <w:rsid w:val="447F6CAD"/>
    <w:rsid w:val="44C10ADD"/>
    <w:rsid w:val="45E612A0"/>
    <w:rsid w:val="45EA20A4"/>
    <w:rsid w:val="46015BB4"/>
    <w:rsid w:val="466E7A17"/>
    <w:rsid w:val="467F75D1"/>
    <w:rsid w:val="46EC19FE"/>
    <w:rsid w:val="470F0E89"/>
    <w:rsid w:val="473A66D6"/>
    <w:rsid w:val="47894D8A"/>
    <w:rsid w:val="47B44C15"/>
    <w:rsid w:val="47F84D27"/>
    <w:rsid w:val="48596F8B"/>
    <w:rsid w:val="48775345"/>
    <w:rsid w:val="48831171"/>
    <w:rsid w:val="48D126CA"/>
    <w:rsid w:val="48DB7F41"/>
    <w:rsid w:val="48F569C6"/>
    <w:rsid w:val="49073E69"/>
    <w:rsid w:val="492555E8"/>
    <w:rsid w:val="49545A37"/>
    <w:rsid w:val="499C752A"/>
    <w:rsid w:val="4A070D14"/>
    <w:rsid w:val="4A581A2B"/>
    <w:rsid w:val="4A726289"/>
    <w:rsid w:val="4A830F9F"/>
    <w:rsid w:val="4A937155"/>
    <w:rsid w:val="4AAF2B91"/>
    <w:rsid w:val="4AE35C3A"/>
    <w:rsid w:val="4B8225CA"/>
    <w:rsid w:val="4C075218"/>
    <w:rsid w:val="4C3F54D2"/>
    <w:rsid w:val="4D1337EE"/>
    <w:rsid w:val="4D2356E0"/>
    <w:rsid w:val="4D482C68"/>
    <w:rsid w:val="4D6B4CEA"/>
    <w:rsid w:val="4DA31643"/>
    <w:rsid w:val="4DEA2D65"/>
    <w:rsid w:val="4E152D2E"/>
    <w:rsid w:val="4E2032A6"/>
    <w:rsid w:val="4EA5654A"/>
    <w:rsid w:val="4EA65589"/>
    <w:rsid w:val="4F2C1E5D"/>
    <w:rsid w:val="51355B52"/>
    <w:rsid w:val="514423EC"/>
    <w:rsid w:val="51814803"/>
    <w:rsid w:val="5282470E"/>
    <w:rsid w:val="52AA6880"/>
    <w:rsid w:val="52C455FB"/>
    <w:rsid w:val="52D44998"/>
    <w:rsid w:val="53560A71"/>
    <w:rsid w:val="53B91435"/>
    <w:rsid w:val="53FB441C"/>
    <w:rsid w:val="54293895"/>
    <w:rsid w:val="54CA79F7"/>
    <w:rsid w:val="54CF53EA"/>
    <w:rsid w:val="54E147AE"/>
    <w:rsid w:val="559B2349"/>
    <w:rsid w:val="56057606"/>
    <w:rsid w:val="5620639D"/>
    <w:rsid w:val="563C14A9"/>
    <w:rsid w:val="56776C90"/>
    <w:rsid w:val="56EC2436"/>
    <w:rsid w:val="56EF18C4"/>
    <w:rsid w:val="573478F7"/>
    <w:rsid w:val="575063E5"/>
    <w:rsid w:val="58397EB9"/>
    <w:rsid w:val="58DC1E2C"/>
    <w:rsid w:val="58E65AAD"/>
    <w:rsid w:val="59220A18"/>
    <w:rsid w:val="593D0229"/>
    <w:rsid w:val="594E5202"/>
    <w:rsid w:val="59787F2E"/>
    <w:rsid w:val="59CD4FBC"/>
    <w:rsid w:val="5B0145A2"/>
    <w:rsid w:val="5B55030A"/>
    <w:rsid w:val="5B595A0F"/>
    <w:rsid w:val="5B8303A0"/>
    <w:rsid w:val="5B917228"/>
    <w:rsid w:val="5BB81914"/>
    <w:rsid w:val="5C3D00E2"/>
    <w:rsid w:val="5C7416AC"/>
    <w:rsid w:val="5CBB710B"/>
    <w:rsid w:val="5D586124"/>
    <w:rsid w:val="5E0764F9"/>
    <w:rsid w:val="5E17475A"/>
    <w:rsid w:val="5E490B2D"/>
    <w:rsid w:val="5E674F73"/>
    <w:rsid w:val="5E706762"/>
    <w:rsid w:val="5E7A2CEE"/>
    <w:rsid w:val="5EA372BF"/>
    <w:rsid w:val="5FC37C62"/>
    <w:rsid w:val="600847BF"/>
    <w:rsid w:val="608E1A18"/>
    <w:rsid w:val="60B271FE"/>
    <w:rsid w:val="61006EA5"/>
    <w:rsid w:val="610D5A4F"/>
    <w:rsid w:val="61B644C5"/>
    <w:rsid w:val="61D63DB5"/>
    <w:rsid w:val="62054969"/>
    <w:rsid w:val="62062EA7"/>
    <w:rsid w:val="6268029D"/>
    <w:rsid w:val="62DD240A"/>
    <w:rsid w:val="63250E0A"/>
    <w:rsid w:val="634C0A14"/>
    <w:rsid w:val="63740782"/>
    <w:rsid w:val="64657F02"/>
    <w:rsid w:val="654D4272"/>
    <w:rsid w:val="65E66EAA"/>
    <w:rsid w:val="660948FD"/>
    <w:rsid w:val="66250F3A"/>
    <w:rsid w:val="669317DE"/>
    <w:rsid w:val="674978AA"/>
    <w:rsid w:val="674D687B"/>
    <w:rsid w:val="679139EB"/>
    <w:rsid w:val="67AB58E5"/>
    <w:rsid w:val="680E4391"/>
    <w:rsid w:val="6819761C"/>
    <w:rsid w:val="68A95A52"/>
    <w:rsid w:val="697E0289"/>
    <w:rsid w:val="697E0A21"/>
    <w:rsid w:val="699B30AC"/>
    <w:rsid w:val="69B33170"/>
    <w:rsid w:val="69B67886"/>
    <w:rsid w:val="69DC6F4D"/>
    <w:rsid w:val="6AA0433E"/>
    <w:rsid w:val="6AA4566C"/>
    <w:rsid w:val="6B2107FB"/>
    <w:rsid w:val="6B3E3A99"/>
    <w:rsid w:val="6B9A6BD3"/>
    <w:rsid w:val="6CB115F3"/>
    <w:rsid w:val="6CC614EA"/>
    <w:rsid w:val="6D442A38"/>
    <w:rsid w:val="6D5C709C"/>
    <w:rsid w:val="6E294131"/>
    <w:rsid w:val="6E5D4227"/>
    <w:rsid w:val="6EA94068"/>
    <w:rsid w:val="6EC90D9A"/>
    <w:rsid w:val="6EDC032B"/>
    <w:rsid w:val="6EF53880"/>
    <w:rsid w:val="6F4E1481"/>
    <w:rsid w:val="6FF464AC"/>
    <w:rsid w:val="7001604B"/>
    <w:rsid w:val="70A24A48"/>
    <w:rsid w:val="71197934"/>
    <w:rsid w:val="72614543"/>
    <w:rsid w:val="72821576"/>
    <w:rsid w:val="72AB7158"/>
    <w:rsid w:val="73103A45"/>
    <w:rsid w:val="732C793B"/>
    <w:rsid w:val="734D65B7"/>
    <w:rsid w:val="735351B4"/>
    <w:rsid w:val="73867DBC"/>
    <w:rsid w:val="741B4308"/>
    <w:rsid w:val="742A7B5A"/>
    <w:rsid w:val="74603AE9"/>
    <w:rsid w:val="74EE7FD4"/>
    <w:rsid w:val="75684B01"/>
    <w:rsid w:val="75E30FE3"/>
    <w:rsid w:val="75EF55E4"/>
    <w:rsid w:val="766A7850"/>
    <w:rsid w:val="76A86D17"/>
    <w:rsid w:val="76D92F91"/>
    <w:rsid w:val="77064CF5"/>
    <w:rsid w:val="771E5269"/>
    <w:rsid w:val="7764716E"/>
    <w:rsid w:val="77A22B7A"/>
    <w:rsid w:val="77F7755B"/>
    <w:rsid w:val="783C11D5"/>
    <w:rsid w:val="786C30D4"/>
    <w:rsid w:val="78714E16"/>
    <w:rsid w:val="788057C9"/>
    <w:rsid w:val="79AD0DAA"/>
    <w:rsid w:val="7A633EFB"/>
    <w:rsid w:val="7AA703C7"/>
    <w:rsid w:val="7B2B2ADE"/>
    <w:rsid w:val="7BAC42AE"/>
    <w:rsid w:val="7C0A0B5A"/>
    <w:rsid w:val="7C6B499C"/>
    <w:rsid w:val="7C8B0413"/>
    <w:rsid w:val="7CC465B6"/>
    <w:rsid w:val="7CDB0CB0"/>
    <w:rsid w:val="7CDD58E5"/>
    <w:rsid w:val="7D710D23"/>
    <w:rsid w:val="7D7A1E2F"/>
    <w:rsid w:val="7D8B44D2"/>
    <w:rsid w:val="7D955B8B"/>
    <w:rsid w:val="7D9D2957"/>
    <w:rsid w:val="7E103D57"/>
    <w:rsid w:val="7E11650D"/>
    <w:rsid w:val="7E432CAE"/>
    <w:rsid w:val="7E441799"/>
    <w:rsid w:val="7E5F07B7"/>
    <w:rsid w:val="7F6C07DC"/>
    <w:rsid w:val="7FD06AC2"/>
    <w:rsid w:val="7FDD55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36"/>
    <w:semiHidden/>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semiHidden/>
    <w:qFormat/>
    <w:uiPriority w:val="99"/>
    <w:rPr>
      <w:color w:val="800080"/>
      <w:u w:val="single"/>
    </w:rPr>
  </w:style>
  <w:style w:type="character" w:styleId="11">
    <w:name w:val="Hyperlink"/>
    <w:semiHidden/>
    <w:qFormat/>
    <w:uiPriority w:val="99"/>
    <w:rPr>
      <w:color w:val="0000FF"/>
      <w:u w:val="single"/>
    </w:rPr>
  </w:style>
  <w:style w:type="character" w:customStyle="1" w:styleId="12">
    <w:name w:val="页眉 Char"/>
    <w:link w:val="6"/>
    <w:qFormat/>
    <w:locked/>
    <w:uiPriority w:val="99"/>
    <w:rPr>
      <w:rFonts w:ascii="Calibri" w:hAnsi="Calibri" w:eastAsia="宋体" w:cs="Calibri"/>
      <w:sz w:val="18"/>
      <w:szCs w:val="18"/>
    </w:rPr>
  </w:style>
  <w:style w:type="character" w:customStyle="1" w:styleId="13">
    <w:name w:val="页脚 Char"/>
    <w:link w:val="5"/>
    <w:qFormat/>
    <w:locked/>
    <w:uiPriority w:val="99"/>
    <w:rPr>
      <w:rFonts w:ascii="Calibri" w:hAnsi="Calibri" w:eastAsia="宋体" w:cs="Calibri"/>
      <w:sz w:val="18"/>
      <w:szCs w:val="18"/>
    </w:rPr>
  </w:style>
  <w:style w:type="paragraph" w:styleId="14">
    <w:name w:val="List Paragraph"/>
    <w:basedOn w:val="1"/>
    <w:qFormat/>
    <w:uiPriority w:val="99"/>
    <w:pPr>
      <w:ind w:firstLine="420" w:firstLineChars="200"/>
    </w:pPr>
  </w:style>
  <w:style w:type="character" w:customStyle="1" w:styleId="15">
    <w:name w:val="批注框文本 Char"/>
    <w:link w:val="4"/>
    <w:semiHidden/>
    <w:qFormat/>
    <w:locked/>
    <w:uiPriority w:val="99"/>
    <w:rPr>
      <w:rFonts w:ascii="Calibri" w:hAnsi="Calibri" w:eastAsia="宋体" w:cs="Calibri"/>
      <w:sz w:val="18"/>
      <w:szCs w:val="18"/>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
    <w:name w:val="xl6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2">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
    <w:name w:val="xl6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5">
    <w:name w:val="xl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6">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4">
    <w:name w:val="xl80"/>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6">
    <w:name w:val="日期 Char"/>
    <w:link w:val="3"/>
    <w:semiHidden/>
    <w:qFormat/>
    <w:locked/>
    <w:uiPriority w:val="99"/>
    <w:rPr>
      <w:rFonts w:ascii="Calibri" w:hAnsi="Calibri" w:eastAsia="宋体" w:cs="Calibri"/>
    </w:rPr>
  </w:style>
  <w:style w:type="paragraph" w:customStyle="1" w:styleId="37">
    <w:name w:val="Char Char Char1 Char Char Char Char"/>
    <w:basedOn w:val="1"/>
    <w:qFormat/>
    <w:uiPriority w:val="99"/>
    <w:rPr>
      <w:rFonts w:ascii="Tahoma" w:hAnsi="Tahoma" w:cs="Tahoma"/>
      <w:sz w:val="24"/>
      <w:szCs w:val="24"/>
    </w:rPr>
  </w:style>
  <w:style w:type="character" w:customStyle="1" w:styleId="38">
    <w:name w:val="font01"/>
    <w:basedOn w:val="9"/>
    <w:qFormat/>
    <w:uiPriority w:val="0"/>
    <w:rPr>
      <w:rFonts w:hint="eastAsia" w:ascii="宋体" w:hAnsi="宋体" w:eastAsia="宋体" w:cs="宋体"/>
      <w:color w:val="000000"/>
      <w:sz w:val="18"/>
      <w:szCs w:val="18"/>
      <w:u w:val="none"/>
    </w:rPr>
  </w:style>
  <w:style w:type="character" w:customStyle="1" w:styleId="39">
    <w:name w:val="font31"/>
    <w:basedOn w:val="9"/>
    <w:qFormat/>
    <w:uiPriority w:val="0"/>
    <w:rPr>
      <w:rFonts w:hint="eastAsia" w:ascii="宋体" w:hAnsi="宋体" w:eastAsia="宋体" w:cs="宋体"/>
      <w:color w:val="000000"/>
      <w:sz w:val="18"/>
      <w:szCs w:val="18"/>
      <w:u w:val="none"/>
    </w:rPr>
  </w:style>
  <w:style w:type="character" w:customStyle="1" w:styleId="40">
    <w:name w:val="font11"/>
    <w:basedOn w:val="9"/>
    <w:qFormat/>
    <w:uiPriority w:val="0"/>
    <w:rPr>
      <w:rFonts w:hint="eastAsia" w:ascii="宋体" w:hAnsi="宋体" w:eastAsia="宋体" w:cs="宋体"/>
      <w:color w:val="000000"/>
      <w:sz w:val="18"/>
      <w:szCs w:val="18"/>
      <w:u w:val="none"/>
    </w:rPr>
  </w:style>
  <w:style w:type="character" w:customStyle="1" w:styleId="41">
    <w:name w:val="font41"/>
    <w:basedOn w:val="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9B79-433C-4B37-A6A2-225B0713BC0E}">
  <ds:schemaRefs/>
</ds:datastoreItem>
</file>

<file path=docProps/app.xml><?xml version="1.0" encoding="utf-8"?>
<Properties xmlns="http://schemas.openxmlformats.org/officeDocument/2006/extended-properties" xmlns:vt="http://schemas.openxmlformats.org/officeDocument/2006/docPropsVTypes">
  <Template>Normal</Template>
  <Pages>75</Pages>
  <Words>6625</Words>
  <Characters>37769</Characters>
  <Lines>314</Lines>
  <Paragraphs>88</Paragraphs>
  <TotalTime>5</TotalTime>
  <ScaleCrop>false</ScaleCrop>
  <LinksUpToDate>false</LinksUpToDate>
  <CharactersWithSpaces>44306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2021-02-05T09:34:00Z</dcterms:created>
  <dc:creator>于冬梅</dc:creator>
  <cp:lastModifiedBy>Administrator</cp:lastModifiedBy>
  <cp:lastPrinted>2021-02-05T08:07:00Z</cp:lastPrinted>
  <dcterms:modified xsi:type="dcterms:W3CDTF">2025-04-30T02:03:46Z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