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D6D6A">
      <w:pPr>
        <w:snapToGrid w:val="0"/>
        <w:spacing w:before="100" w:beforeAutospacing="1" w:after="100" w:afterAutospacing="1" w:line="560" w:lineRule="exact"/>
        <w:contextualSpacing/>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北京第二实验小学玉桃园分校</w:t>
      </w:r>
    </w:p>
    <w:p w14:paraId="710854CA">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14:paraId="021ED8C1">
      <w:pPr>
        <w:snapToGrid w:val="0"/>
        <w:spacing w:before="100" w:beforeAutospacing="1" w:after="100" w:afterAutospacing="1" w:line="560" w:lineRule="exact"/>
        <w:contextualSpacing/>
        <w:rPr>
          <w:rFonts w:ascii="仿宋_GB2312" w:eastAsia="仿宋_GB2312"/>
          <w:b/>
          <w:sz w:val="44"/>
          <w:szCs w:val="44"/>
        </w:rPr>
      </w:pPr>
    </w:p>
    <w:p w14:paraId="00A2BAC1">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14:paraId="64EB1E52">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14:paraId="7BE7D5AD">
      <w:pPr>
        <w:tabs>
          <w:tab w:val="left" w:pos="1680"/>
        </w:tabs>
        <w:snapToGrid w:val="0"/>
        <w:spacing w:before="100" w:beforeAutospacing="1" w:after="100" w:afterAutospacing="1" w:line="560" w:lineRule="exact"/>
        <w:ind w:firstLine="640" w:firstLineChars="200"/>
        <w:contextualSpacing/>
        <w:rPr>
          <w:rFonts w:ascii="仿宋_GB2312" w:hAnsi="华文仿宋" w:eastAsia="仿宋_GB2312"/>
          <w:color w:val="000000"/>
          <w:sz w:val="32"/>
          <w:szCs w:val="32"/>
        </w:rPr>
      </w:pPr>
      <w:r>
        <w:rPr>
          <w:rFonts w:hint="eastAsia" w:ascii="仿宋_GB2312" w:hAnsi="华文仿宋" w:eastAsia="仿宋_GB2312"/>
          <w:color w:val="000000"/>
          <w:sz w:val="32"/>
          <w:szCs w:val="32"/>
        </w:rPr>
        <w:t>我校北京第二实验小学玉桃园分校，地处西城区新街口地区，现有两处校址，占地11454.48平方米，校舍建筑面积9443.4平方米，内设教务处、办公室、德育处、总务处等职能科室。现任法人：李颖，学校为全额拨款预算单位，实施小学义务教育。</w:t>
      </w:r>
    </w:p>
    <w:p w14:paraId="75A0439A">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14:paraId="32A56455">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本单位事业编制120人，实际在册教职工118人，离休1人，退休143人。学生1776人，其中：职高0人，高中0人，初中0人，小学1775人，特殊教育1人，学前教育xx人。</w:t>
      </w:r>
    </w:p>
    <w:p w14:paraId="58CAF6E5">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14:paraId="1779AAC2">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5478.76</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rPr>
        <w:t>4462.58</w:t>
      </w:r>
      <w:r>
        <w:rPr>
          <w:rFonts w:hint="eastAsia" w:ascii="仿宋" w:hAnsi="仿宋" w:eastAsia="仿宋"/>
          <w:color w:val="000000"/>
          <w:sz w:val="32"/>
          <w:szCs w:val="32"/>
        </w:rPr>
        <w:t>万元增加</w:t>
      </w:r>
      <w:r>
        <w:rPr>
          <w:rFonts w:ascii="仿宋" w:hAnsi="仿宋" w:eastAsia="仿宋"/>
          <w:color w:val="000000"/>
          <w:sz w:val="32"/>
          <w:szCs w:val="32"/>
        </w:rPr>
        <w:t>1016.18</w:t>
      </w:r>
      <w:r>
        <w:rPr>
          <w:rFonts w:hint="eastAsia" w:ascii="仿宋" w:hAnsi="仿宋" w:eastAsia="仿宋"/>
          <w:color w:val="000000"/>
          <w:sz w:val="32"/>
          <w:szCs w:val="32"/>
        </w:rPr>
        <w:t>万元，增长</w:t>
      </w:r>
      <w:r>
        <w:rPr>
          <w:rFonts w:ascii="仿宋" w:hAnsi="仿宋" w:eastAsia="仿宋"/>
          <w:color w:val="000000"/>
          <w:sz w:val="32"/>
          <w:szCs w:val="32"/>
        </w:rPr>
        <w:t>22.77</w:t>
      </w:r>
      <w:r>
        <w:rPr>
          <w:rFonts w:hint="eastAsia" w:ascii="仿宋" w:hAnsi="仿宋" w:eastAsia="仿宋"/>
          <w:color w:val="000000"/>
          <w:sz w:val="32"/>
          <w:szCs w:val="32"/>
        </w:rPr>
        <w:t>%，主要原因是</w:t>
      </w:r>
      <w:r>
        <w:rPr>
          <w:rFonts w:hint="eastAsia" w:ascii="仿宋_GB2312" w:hAnsi="华文仿宋" w:eastAsia="仿宋_GB2312"/>
          <w:color w:val="000000"/>
          <w:sz w:val="32"/>
          <w:szCs w:val="32"/>
        </w:rPr>
        <w:t>我校近两年连续扩班，人员和公用经费增加</w:t>
      </w:r>
      <w:r>
        <w:rPr>
          <w:rFonts w:hint="eastAsia" w:ascii="仿宋" w:hAnsi="仿宋" w:eastAsia="仿宋"/>
          <w:color w:val="000000"/>
          <w:sz w:val="32"/>
          <w:szCs w:val="32"/>
        </w:rPr>
        <w:t>。其中：本年财政拨款收入</w:t>
      </w:r>
      <w:r>
        <w:rPr>
          <w:rFonts w:ascii="仿宋" w:hAnsi="仿宋" w:eastAsia="仿宋"/>
          <w:color w:val="000000"/>
          <w:sz w:val="32"/>
          <w:szCs w:val="32"/>
        </w:rPr>
        <w:t>5478.76</w:t>
      </w:r>
      <w:r>
        <w:rPr>
          <w:rFonts w:hint="eastAsia" w:ascii="仿宋" w:hAnsi="仿宋" w:eastAsia="仿宋"/>
          <w:color w:val="000000"/>
          <w:sz w:val="32"/>
          <w:szCs w:val="32"/>
        </w:rPr>
        <w:t>万元,比2022年年初预算</w:t>
      </w:r>
      <w:r>
        <w:rPr>
          <w:rFonts w:hint="eastAsia" w:ascii="仿宋_GB2312" w:hAnsi="华文仿宋" w:eastAsia="仿宋_GB2312"/>
          <w:color w:val="000000"/>
          <w:sz w:val="32"/>
          <w:szCs w:val="32"/>
        </w:rPr>
        <w:t>4462.58</w:t>
      </w:r>
      <w:r>
        <w:rPr>
          <w:rFonts w:hint="eastAsia" w:ascii="仿宋" w:hAnsi="仿宋" w:eastAsia="仿宋"/>
          <w:color w:val="000000"/>
          <w:sz w:val="32"/>
          <w:szCs w:val="32"/>
        </w:rPr>
        <w:t>万元增加</w:t>
      </w:r>
      <w:r>
        <w:rPr>
          <w:rFonts w:ascii="仿宋" w:hAnsi="仿宋" w:eastAsia="仿宋"/>
          <w:color w:val="000000"/>
          <w:sz w:val="32"/>
          <w:szCs w:val="32"/>
        </w:rPr>
        <w:t>1016.18</w:t>
      </w:r>
      <w:r>
        <w:rPr>
          <w:rFonts w:hint="eastAsia" w:ascii="仿宋" w:hAnsi="仿宋" w:eastAsia="仿宋"/>
          <w:color w:val="000000"/>
          <w:sz w:val="32"/>
          <w:szCs w:val="32"/>
        </w:rPr>
        <w:t>万元，增长</w:t>
      </w:r>
      <w:r>
        <w:rPr>
          <w:rFonts w:ascii="仿宋" w:hAnsi="仿宋" w:eastAsia="仿宋"/>
          <w:color w:val="000000"/>
          <w:sz w:val="32"/>
          <w:szCs w:val="32"/>
        </w:rPr>
        <w:t>22.77</w:t>
      </w:r>
      <w:r>
        <w:rPr>
          <w:rFonts w:hint="eastAsia" w:ascii="仿宋" w:hAnsi="仿宋" w:eastAsia="仿宋"/>
          <w:color w:val="000000"/>
          <w:sz w:val="32"/>
          <w:szCs w:val="32"/>
        </w:rPr>
        <w:t>%。2023年支出预算</w:t>
      </w:r>
      <w:r>
        <w:rPr>
          <w:rFonts w:ascii="仿宋" w:hAnsi="仿宋" w:eastAsia="仿宋"/>
          <w:color w:val="000000"/>
          <w:sz w:val="32"/>
          <w:szCs w:val="32"/>
        </w:rPr>
        <w:t>5478.76</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rPr>
        <w:t>4462.58</w:t>
      </w:r>
      <w:r>
        <w:rPr>
          <w:rFonts w:hint="eastAsia" w:ascii="仿宋" w:hAnsi="仿宋" w:eastAsia="仿宋"/>
          <w:color w:val="000000"/>
          <w:sz w:val="32"/>
          <w:szCs w:val="32"/>
        </w:rPr>
        <w:t>万元增加</w:t>
      </w:r>
      <w:r>
        <w:rPr>
          <w:rFonts w:ascii="仿宋" w:hAnsi="仿宋" w:eastAsia="仿宋"/>
          <w:color w:val="000000"/>
          <w:sz w:val="32"/>
          <w:szCs w:val="32"/>
        </w:rPr>
        <w:t>1016.18</w:t>
      </w:r>
      <w:r>
        <w:rPr>
          <w:rFonts w:hint="eastAsia" w:ascii="仿宋" w:hAnsi="仿宋" w:eastAsia="仿宋"/>
          <w:color w:val="000000"/>
          <w:sz w:val="32"/>
          <w:szCs w:val="32"/>
        </w:rPr>
        <w:t>万元，增长</w:t>
      </w:r>
      <w:r>
        <w:rPr>
          <w:rFonts w:ascii="仿宋" w:hAnsi="仿宋" w:eastAsia="仿宋"/>
          <w:color w:val="000000"/>
          <w:sz w:val="32"/>
          <w:szCs w:val="32"/>
        </w:rPr>
        <w:t>22.77</w:t>
      </w:r>
      <w:r>
        <w:rPr>
          <w:rFonts w:hint="eastAsia" w:ascii="仿宋" w:hAnsi="仿宋" w:eastAsia="仿宋"/>
          <w:color w:val="000000"/>
          <w:sz w:val="32"/>
          <w:szCs w:val="32"/>
        </w:rPr>
        <w:t>%。</w:t>
      </w:r>
    </w:p>
    <w:p w14:paraId="7C56909B">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14:paraId="56B4B492">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中一般公共预算支出预算5478.76</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5184.92</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_GB2312" w:eastAsia="仿宋_GB2312"/>
          <w:color w:val="000000"/>
          <w:sz w:val="32"/>
          <w:szCs w:val="32"/>
        </w:rPr>
        <w:t>4240.86万</w:t>
      </w:r>
      <w:r>
        <w:rPr>
          <w:rFonts w:hint="eastAsia" w:ascii="仿宋" w:hAnsi="仿宋" w:eastAsia="仿宋"/>
          <w:color w:val="000000"/>
          <w:sz w:val="32"/>
          <w:szCs w:val="32"/>
        </w:rPr>
        <w:t>元增加</w:t>
      </w:r>
      <w:r>
        <w:rPr>
          <w:rFonts w:ascii="仿宋" w:hAnsi="仿宋" w:eastAsia="仿宋"/>
          <w:color w:val="000000"/>
          <w:sz w:val="32"/>
          <w:szCs w:val="32"/>
        </w:rPr>
        <w:t>944.06</w:t>
      </w:r>
      <w:r>
        <w:rPr>
          <w:rFonts w:hint="eastAsia" w:ascii="仿宋" w:hAnsi="仿宋" w:eastAsia="仿宋"/>
          <w:color w:val="000000"/>
          <w:sz w:val="32"/>
          <w:szCs w:val="32"/>
        </w:rPr>
        <w:t>万元，主要原因是扩班学生数和教师数增加，人员和公用经费增加；项目支出预算</w:t>
      </w:r>
      <w:r>
        <w:rPr>
          <w:rFonts w:ascii="仿宋" w:hAnsi="仿宋" w:eastAsia="仿宋"/>
          <w:color w:val="000000"/>
          <w:sz w:val="32"/>
          <w:szCs w:val="32"/>
        </w:rPr>
        <w:t>293.84</w:t>
      </w:r>
      <w:r>
        <w:rPr>
          <w:rFonts w:hint="eastAsia" w:ascii="仿宋" w:hAnsi="仿宋" w:eastAsia="仿宋"/>
          <w:color w:val="000000"/>
          <w:sz w:val="32"/>
          <w:szCs w:val="32"/>
        </w:rPr>
        <w:t>万元，较去年年初</w:t>
      </w:r>
      <w:r>
        <w:rPr>
          <w:rFonts w:ascii="仿宋" w:hAnsi="仿宋" w:eastAsia="仿宋"/>
          <w:color w:val="000000"/>
          <w:sz w:val="32"/>
          <w:szCs w:val="32"/>
        </w:rPr>
        <w:t>预算221.72</w:t>
      </w:r>
      <w:r>
        <w:rPr>
          <w:rFonts w:hint="eastAsia" w:ascii="仿宋" w:hAnsi="仿宋" w:eastAsia="仿宋"/>
          <w:color w:val="000000"/>
          <w:sz w:val="32"/>
          <w:szCs w:val="32"/>
        </w:rPr>
        <w:t>万元增加</w:t>
      </w:r>
      <w:r>
        <w:rPr>
          <w:rFonts w:ascii="仿宋" w:hAnsi="仿宋" w:eastAsia="仿宋"/>
          <w:color w:val="000000"/>
          <w:sz w:val="32"/>
          <w:szCs w:val="32"/>
        </w:rPr>
        <w:t>72.12</w:t>
      </w:r>
      <w:r>
        <w:rPr>
          <w:rFonts w:hint="eastAsia" w:ascii="仿宋" w:hAnsi="仿宋" w:eastAsia="仿宋"/>
          <w:color w:val="000000"/>
          <w:sz w:val="32"/>
          <w:szCs w:val="32"/>
        </w:rPr>
        <w:t>万元，主要原因是本年新增室外上水改造修缮项目和专项保洁经费。</w:t>
      </w:r>
    </w:p>
    <w:p w14:paraId="5FA35E50">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14:paraId="5E1E67A7">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lang w:eastAsia="zh-CN"/>
        </w:rPr>
        <w:t>“三公”经费</w:t>
      </w:r>
      <w:r>
        <w:rPr>
          <w:rFonts w:hint="eastAsia" w:ascii="仿宋" w:hAnsi="仿宋" w:eastAsia="仿宋"/>
          <w:color w:val="000000"/>
          <w:sz w:val="32"/>
          <w:szCs w:val="32"/>
        </w:rPr>
        <w:t>的单位范围</w:t>
      </w:r>
    </w:p>
    <w:p w14:paraId="3A01D9EB">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_GB2312" w:eastAsia="仿宋_GB2312"/>
          <w:color w:val="000000"/>
          <w:sz w:val="32"/>
          <w:szCs w:val="32"/>
        </w:rPr>
        <w:t>本单位</w:t>
      </w:r>
      <w:r>
        <w:rPr>
          <w:rFonts w:hint="eastAsia" w:ascii="仿宋_GB2312" w:eastAsia="仿宋_GB2312"/>
          <w:color w:val="000000"/>
          <w:sz w:val="32"/>
          <w:szCs w:val="32"/>
        </w:rPr>
        <w:t>无此经费</w:t>
      </w:r>
      <w:r>
        <w:rPr>
          <w:rFonts w:ascii="仿宋" w:hAnsi="仿宋" w:eastAsia="仿宋"/>
          <w:color w:val="000000"/>
          <w:sz w:val="32"/>
          <w:szCs w:val="32"/>
        </w:rPr>
        <w:t>。</w:t>
      </w:r>
    </w:p>
    <w:p w14:paraId="45C07634">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lang w:eastAsia="zh-CN"/>
        </w:rPr>
        <w:t>“三公”经费</w:t>
      </w:r>
      <w:r>
        <w:rPr>
          <w:rFonts w:hint="eastAsia" w:ascii="仿宋" w:hAnsi="仿宋" w:eastAsia="仿宋"/>
          <w:color w:val="000000"/>
          <w:sz w:val="32"/>
          <w:szCs w:val="32"/>
        </w:rPr>
        <w:t>财政拨款情况说明</w:t>
      </w:r>
      <w:bookmarkStart w:id="0" w:name="biaoti"/>
    </w:p>
    <w:p w14:paraId="0BF0ACB5">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_GB2312" w:eastAsia="仿宋_GB2312"/>
          <w:color w:val="000000"/>
          <w:sz w:val="32"/>
          <w:szCs w:val="32"/>
        </w:rPr>
        <w:t>北京第二实验小学玉桃园分校</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》的规定执行。2023年部门预算“三公”经费财政拨款预算安排0万元，较2022年年初预算0万元减少0万元。</w:t>
      </w:r>
    </w:p>
    <w:p w14:paraId="4A59343D">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14:paraId="63A7791C">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14:paraId="1BDA4B95">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3.公务用车购置及运行维护费：2023年公务用车数量为0辆，财政拨款预算安排0万元，其中公务用车购置费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万元，公务用车运行维护费0万元，较2022年年初预算0万元减少0万元。</w:t>
      </w:r>
    </w:p>
    <w:p w14:paraId="3D277485">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14:paraId="2849F414">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14:paraId="1565A530">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14:paraId="74F9C697">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14:paraId="359F885B">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_GB2312" w:eastAsia="仿宋_GB2312"/>
          <w:color w:val="000000"/>
          <w:sz w:val="32"/>
          <w:szCs w:val="32"/>
        </w:rPr>
        <w:t>2</w:t>
      </w:r>
      <w:r>
        <w:rPr>
          <w:rFonts w:hint="eastAsia" w:ascii="仿宋" w:hAnsi="仿宋" w:eastAsia="仿宋"/>
          <w:color w:val="000000"/>
          <w:sz w:val="32"/>
          <w:szCs w:val="32"/>
        </w:rPr>
        <w:t>个，预算资金124.48万元。</w:t>
      </w:r>
    </w:p>
    <w:p w14:paraId="3A579BBC">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14:paraId="1D1CAA11">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14:paraId="5B3F6033">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14:paraId="5A98A483">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2023年预算填报项目申报表的项目9项，占总项目数额的100%以上，100万元以上项目共计0个，涉及金额0万元。</w:t>
      </w:r>
    </w:p>
    <w:p w14:paraId="2642F6CC">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14:paraId="115B1CAE">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14:paraId="3421BEE4">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14:paraId="28D6D580">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rPr>
        <w:t>2169.10万元</w:t>
      </w:r>
      <w:r>
        <w:rPr>
          <w:rFonts w:ascii="仿宋" w:hAnsi="仿宋" w:eastAsia="仿宋"/>
          <w:color w:val="000000"/>
          <w:sz w:val="32"/>
          <w:szCs w:val="32"/>
        </w:rPr>
        <w:t>，其中：</w:t>
      </w:r>
      <w:r>
        <w:rPr>
          <w:rFonts w:hint="eastAsia" w:ascii="仿宋" w:hAnsi="仿宋" w:eastAsia="仿宋"/>
          <w:color w:val="000000"/>
          <w:sz w:val="32"/>
          <w:szCs w:val="32"/>
        </w:rPr>
        <w:t>车辆0台</w:t>
      </w:r>
      <w:r>
        <w:rPr>
          <w:rFonts w:ascii="仿宋" w:hAnsi="仿宋" w:eastAsia="仿宋"/>
          <w:color w:val="000000"/>
          <w:sz w:val="32"/>
          <w:szCs w:val="32"/>
        </w:rPr>
        <w:t>，</w:t>
      </w:r>
      <w:r>
        <w:rPr>
          <w:rFonts w:hint="eastAsia" w:ascii="仿宋" w:hAnsi="仿宋" w:eastAsia="仿宋"/>
          <w:color w:val="000000"/>
          <w:sz w:val="32"/>
          <w:szCs w:val="32"/>
        </w:rPr>
        <w:t>0万元；单位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14:paraId="3834D57F">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14:paraId="0A905C7A">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14:paraId="6426D409">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5044E9D0">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3E4B177A">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14:paraId="5F9E2FBB">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596C8583">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14:paraId="33498C2D">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14:paraId="57F1A19F">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1</w:t>
        </w:r>
        <w:r>
          <w:rPr>
            <w:rFonts w:ascii="仿宋" w:hAnsi="仿宋" w:eastAsia="仿宋"/>
            <w:sz w:val="28"/>
          </w:rPr>
          <w:fldChar w:fldCharType="end"/>
        </w:r>
      </w:p>
    </w:sdtContent>
  </w:sdt>
  <w:p w14:paraId="47A18BA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335"/>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9F7"/>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16A"/>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422"/>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8A8"/>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C12"/>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5ACE"/>
    <w:rsid w:val="00CE5CC1"/>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9D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89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7E1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304</Words>
  <Characters>1737</Characters>
  <Lines>14</Lines>
  <Paragraphs>4</Paragraphs>
  <TotalTime>195</TotalTime>
  <ScaleCrop>false</ScaleCrop>
  <LinksUpToDate>false</LinksUpToDate>
  <CharactersWithSpaces>2037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臧璐</cp:lastModifiedBy>
  <dcterms:modified xsi:type="dcterms:W3CDTF">2025-05-07T01:54:02Z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5A50546217814E6A86D23A8284CCDEBC_12</vt:lpwstr>
  </property>
</Properties>
</file>