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color w:val="000000"/>
          <w:sz w:val="44"/>
          <w:szCs w:val="44"/>
        </w:rPr>
      </w:pPr>
      <w:r>
        <w:rPr>
          <w:rFonts w:hint="eastAsia" w:asciiTheme="minorEastAsia" w:hAnsiTheme="minorEastAsia" w:eastAsiaTheme="minorEastAsia"/>
          <w:b/>
          <w:color w:val="000000"/>
          <w:sz w:val="44"/>
          <w:szCs w:val="44"/>
        </w:rPr>
        <w:t>北京市西城区文物管理处</w:t>
      </w:r>
    </w:p>
    <w:p>
      <w:pPr>
        <w:jc w:val="center"/>
        <w:rPr>
          <w:rFonts w:asciiTheme="minorEastAsia" w:hAnsiTheme="minorEastAsia" w:eastAsiaTheme="minorEastAsia"/>
          <w:b/>
          <w:color w:val="000000"/>
          <w:sz w:val="44"/>
          <w:szCs w:val="44"/>
        </w:rPr>
      </w:pPr>
      <w:r>
        <w:rPr>
          <w:rFonts w:hint="eastAsia" w:asciiTheme="minorEastAsia" w:hAnsiTheme="minorEastAsia" w:eastAsiaTheme="minorEastAsia"/>
          <w:b/>
          <w:color w:val="000000"/>
          <w:sz w:val="44"/>
          <w:szCs w:val="44"/>
        </w:rPr>
        <w:t>2022年部门预算公开目录</w:t>
      </w:r>
    </w:p>
    <w:p>
      <w:pPr>
        <w:jc w:val="center"/>
        <w:rPr>
          <w:rFonts w:ascii="方正小标宋简体" w:eastAsia="方正小标宋简体"/>
          <w:b/>
          <w:color w:val="000000"/>
          <w:sz w:val="44"/>
          <w:szCs w:val="44"/>
        </w:rPr>
      </w:pPr>
    </w:p>
    <w:p>
      <w:pPr>
        <w:ind w:firstLine="321" w:firstLineChars="100"/>
        <w:rPr>
          <w:rFonts w:ascii="仿宋_GB2312" w:eastAsia="仿宋_GB2312"/>
          <w:b/>
          <w:color w:val="000000"/>
          <w:sz w:val="32"/>
          <w:szCs w:val="32"/>
        </w:rPr>
      </w:pPr>
      <w:r>
        <w:rPr>
          <w:rFonts w:hint="eastAsia" w:ascii="仿宋_GB2312" w:eastAsia="仿宋_GB2312"/>
          <w:b/>
          <w:color w:val="000000"/>
          <w:sz w:val="32"/>
          <w:szCs w:val="32"/>
        </w:rPr>
        <w:t>第一部分、2022年部门预算情况说明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一、部门主要职责及机构设置情况</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（一）部门机构设置、职责</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（二）人员构成情况</w:t>
      </w:r>
    </w:p>
    <w:p>
      <w:pPr>
        <w:ind w:firstLine="800" w:firstLineChars="250"/>
        <w:rPr>
          <w:rFonts w:ascii="仿宋_GB2312" w:eastAsia="仿宋_GB2312"/>
          <w:color w:val="000000"/>
          <w:sz w:val="32"/>
          <w:szCs w:val="32"/>
        </w:rPr>
      </w:pPr>
      <w:r>
        <w:rPr>
          <w:rFonts w:hint="eastAsia" w:ascii="仿宋_GB2312" w:eastAsia="仿宋_GB2312"/>
          <w:color w:val="000000"/>
          <w:sz w:val="32"/>
          <w:szCs w:val="32"/>
        </w:rPr>
        <w:t>二、2022年部门预算收支及增减变化情况说明</w:t>
      </w:r>
    </w:p>
    <w:p>
      <w:pPr>
        <w:ind w:firstLine="800" w:firstLineChars="250"/>
        <w:rPr>
          <w:rFonts w:ascii="仿宋_GB2312" w:eastAsia="仿宋_GB2312"/>
          <w:color w:val="000000"/>
          <w:sz w:val="32"/>
          <w:szCs w:val="32"/>
        </w:rPr>
      </w:pPr>
      <w:r>
        <w:rPr>
          <w:rFonts w:hint="eastAsia" w:ascii="仿宋_GB2312" w:eastAsia="仿宋_GB2312"/>
          <w:color w:val="000000"/>
          <w:sz w:val="32"/>
          <w:szCs w:val="32"/>
        </w:rPr>
        <w:t>三、主要支出情况</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四、部门“三公”经费财政拨款预算说明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（一）“三公”经费的单位范围</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（二）“三公”经费预算财政拨款情况说明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五、其他情况说明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（二）政府采购预算说明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（三）政府购买服务预算说明</w:t>
      </w:r>
    </w:p>
    <w:p>
      <w:pPr>
        <w:ind w:firstLine="645"/>
        <w:rPr>
          <w:rFonts w:ascii="仿宋_GB2312" w:eastAsia="仿宋_GB2312"/>
          <w:color w:val="000000"/>
          <w:sz w:val="32"/>
          <w:szCs w:val="32"/>
        </w:rPr>
      </w:pPr>
      <w:r>
        <w:rPr>
          <w:rFonts w:hint="eastAsia" w:ascii="仿宋_GB2312" w:eastAsia="仿宋_GB2312"/>
          <w:color w:val="000000"/>
          <w:sz w:val="32"/>
          <w:szCs w:val="32"/>
        </w:rPr>
        <w:t>（四）绩效目标情况及绩效评价结果说明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（五）国有资本经营预算财政拨款情况说明</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（六）国有资产占用情况说明</w:t>
      </w:r>
    </w:p>
    <w:p>
      <w:pPr>
        <w:ind w:firstLine="800" w:firstLineChars="250"/>
        <w:rPr>
          <w:rFonts w:ascii="仿宋_GB2312" w:eastAsia="仿宋_GB2312"/>
          <w:color w:val="000000"/>
          <w:sz w:val="32"/>
          <w:szCs w:val="32"/>
        </w:rPr>
      </w:pPr>
      <w:r>
        <w:rPr>
          <w:rFonts w:hint="eastAsia" w:ascii="仿宋_GB2312" w:eastAsia="仿宋_GB2312"/>
          <w:color w:val="000000"/>
          <w:sz w:val="32"/>
          <w:szCs w:val="32"/>
        </w:rPr>
        <w:t>六、名称解释</w:t>
      </w:r>
    </w:p>
    <w:p>
      <w:pPr>
        <w:ind w:firstLine="321" w:firstLineChars="100"/>
        <w:rPr>
          <w:rFonts w:ascii="仿宋_GB2312" w:eastAsia="仿宋_GB2312"/>
          <w:b/>
          <w:color w:val="000000"/>
          <w:sz w:val="32"/>
          <w:szCs w:val="32"/>
        </w:rPr>
      </w:pPr>
    </w:p>
    <w:p>
      <w:pPr>
        <w:ind w:firstLine="321" w:firstLineChars="100"/>
        <w:rPr>
          <w:rFonts w:ascii="仿宋_GB2312" w:eastAsia="仿宋_GB2312"/>
          <w:b/>
          <w:color w:val="000000"/>
          <w:sz w:val="32"/>
          <w:szCs w:val="32"/>
        </w:rPr>
      </w:pPr>
    </w:p>
    <w:p>
      <w:pPr>
        <w:ind w:firstLine="321" w:firstLineChars="100"/>
        <w:rPr>
          <w:rFonts w:ascii="仿宋_GB2312" w:eastAsia="仿宋_GB2312"/>
          <w:b/>
          <w:color w:val="000000"/>
          <w:sz w:val="32"/>
          <w:szCs w:val="32"/>
        </w:rPr>
      </w:pPr>
      <w:r>
        <w:rPr>
          <w:rFonts w:hint="eastAsia" w:ascii="仿宋_GB2312" w:eastAsia="仿宋_GB2312"/>
          <w:b/>
          <w:color w:val="000000"/>
          <w:sz w:val="32"/>
          <w:szCs w:val="32"/>
        </w:rPr>
        <w:t>第二部分、2022年部门预算表</w:t>
      </w:r>
    </w:p>
    <w:p>
      <w:pPr>
        <w:autoSpaceDE w:val="0"/>
        <w:autoSpaceDN w:val="0"/>
        <w:adjustRightInd w:val="0"/>
        <w:spacing w:line="560" w:lineRule="exact"/>
        <w:ind w:firstLine="800" w:firstLineChars="25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表四、项目支出表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表五、财政拨款收支总体情况表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表六、一般公共预算支出情况表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表七、一般公共预算基本支出情况表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表八、政府性基金预算支出情况表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表九、国有资本经营预算财政拨款支出表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表十、一般公共预算“三公”经费支出情况表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表十一、政府购买服务预算表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表十二、上级转移支付细化明细表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表十三、项目支出绩效目标申报表</w:t>
      </w:r>
    </w:p>
    <w:p>
      <w:pPr>
        <w:rPr>
          <w:rFonts w:ascii="仿宋_GB2312" w:eastAsia="仿宋_GB2312"/>
        </w:rPr>
      </w:pPr>
    </w:p>
    <w:p>
      <w:pPr>
        <w:rPr>
          <w:rFonts w:ascii="仿宋_GB2312" w:eastAsia="仿宋_GB2312"/>
        </w:rPr>
      </w:pPr>
    </w:p>
    <w:p>
      <w:pPr>
        <w:jc w:val="center"/>
        <w:rPr>
          <w:rFonts w:ascii="仿宋_GB2312" w:eastAsia="仿宋_GB2312"/>
          <w:b/>
          <w:sz w:val="32"/>
          <w:szCs w:val="32"/>
        </w:rPr>
      </w:pPr>
      <w:r>
        <w:rPr>
          <w:rFonts w:hint="eastAsia" w:ascii="仿宋_GB2312" w:eastAsia="仿宋_GB2312"/>
          <w:b/>
          <w:sz w:val="32"/>
          <w:szCs w:val="32"/>
        </w:rPr>
        <w:t>第一部分 2022年部门预算情况说明</w:t>
      </w:r>
    </w:p>
    <w:p>
      <w:pPr>
        <w:rPr>
          <w:rFonts w:ascii="仿宋_GB2312" w:eastAsia="仿宋_GB2312"/>
          <w:b/>
          <w:sz w:val="32"/>
          <w:szCs w:val="32"/>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rPr>
        <w:t>一、部门主要职责及机构设置情况</w:t>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ascii="仿宋_GB2312" w:eastAsia="仿宋_GB2312"/>
          <w:sz w:val="32"/>
          <w:szCs w:val="32"/>
        </w:rPr>
      </w:pPr>
      <w:r>
        <w:rPr>
          <w:rFonts w:hint="eastAsia" w:ascii="仿宋_GB2312" w:eastAsia="仿宋_GB2312"/>
          <w:sz w:val="32"/>
          <w:szCs w:val="32"/>
        </w:rPr>
        <w:t>（一）部门机构设置、职责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部门机构设置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eastAsia="仿宋_GB2312"/>
          <w:sz w:val="32"/>
          <w:szCs w:val="32"/>
        </w:rPr>
        <w:t>北京市西城区文物管理处（简称区文管处）是根据</w:t>
      </w:r>
      <w:r>
        <w:rPr>
          <w:rFonts w:hint="eastAsia" w:ascii="仿宋_GB2312" w:hAnsi="仿宋_GB2312" w:eastAsia="仿宋_GB2312" w:cs="仿宋_GB2312"/>
          <w:sz w:val="32"/>
          <w:szCs w:val="32"/>
        </w:rPr>
        <w:t>西编字〔2012〕54号文件批复，为西城区文化和旅游局下属正科级财政拨款事业单位，机构性质为公益一类，经费形式为财政补助事业单位。</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区文管处设下列内设科室：综合办公室、业务室2个科室。</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区文管处人员编制7名，设主任1名，副主任1名，专业技术人员5名。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部门职责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区文管处主要职责是：</w:t>
      </w:r>
      <w:r>
        <w:rPr>
          <w:rFonts w:hint="eastAsia" w:ascii="仿宋_GB2312" w:hAnsi="仿宋" w:eastAsia="仿宋_GB2312"/>
          <w:sz w:val="32"/>
          <w:szCs w:val="32"/>
        </w:rPr>
        <w:t>负责郭守敬纪念馆、万松老人塔等区域各级各类文物的对外开放、保护管理、维护修缮、藏品保管和宣传陈列等日常管理工作。</w:t>
      </w:r>
      <w:r>
        <w:rPr>
          <w:rFonts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（二）人员构成情况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北京市西城区文物管理处：事业编制7人，实有5人,无退休人员。</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rPr>
        <w:t>二、2022年部门预算收支及增减变化情况说明</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（一）收入预算说明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2022年收入预算</w:t>
      </w:r>
      <w:r>
        <w:rPr>
          <w:rFonts w:ascii="仿宋_GB2312" w:hAnsi="仿宋_GB2312" w:eastAsia="仿宋_GB2312" w:cs="仿宋_GB2312"/>
          <w:sz w:val="32"/>
          <w:szCs w:val="32"/>
        </w:rPr>
        <w:t>3982.056565</w:t>
      </w:r>
      <w:r>
        <w:rPr>
          <w:rFonts w:hint="eastAsia" w:ascii="仿宋_GB2312" w:hAnsi="仿宋_GB2312" w:eastAsia="仿宋_GB2312" w:cs="仿宋_GB2312"/>
          <w:sz w:val="32"/>
          <w:szCs w:val="32"/>
        </w:rPr>
        <w:t>万元，与2021年收入预算5299.226816万元相比减少了1317.170251万元，减少了24.86%，主要原因是2021年有文物征收资金。两年的预算收入全部为财政拨款收入。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（二）支出预算说明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2022年支出预算合计为</w:t>
      </w:r>
      <w:r>
        <w:rPr>
          <w:rFonts w:ascii="仿宋_GB2312" w:hAnsi="仿宋_GB2312" w:eastAsia="仿宋_GB2312" w:cs="仿宋_GB2312"/>
          <w:sz w:val="32"/>
          <w:szCs w:val="32"/>
        </w:rPr>
        <w:t>3982.056565</w:t>
      </w:r>
      <w:r>
        <w:rPr>
          <w:rFonts w:hint="eastAsia" w:ascii="仿宋_GB2312" w:hAnsi="仿宋_GB2312" w:eastAsia="仿宋_GB2312" w:cs="仿宋_GB2312"/>
          <w:sz w:val="32"/>
          <w:szCs w:val="32"/>
        </w:rPr>
        <w:t>万元，与2021年支出预算合计5299.226816万元相比减少了24.86%，其中：基本支出预算为</w:t>
      </w:r>
      <w:r>
        <w:rPr>
          <w:rFonts w:ascii="仿宋_GB2312" w:hAnsi="仿宋_GB2312" w:eastAsia="仿宋_GB2312" w:cs="仿宋_GB2312"/>
          <w:sz w:val="32"/>
          <w:szCs w:val="32"/>
        </w:rPr>
        <w:t>162.754296</w:t>
      </w:r>
      <w:r>
        <w:rPr>
          <w:rFonts w:hint="eastAsia" w:ascii="仿宋_GB2312" w:hAnsi="仿宋_GB2312" w:eastAsia="仿宋_GB2312" w:cs="仿宋_GB2312"/>
          <w:sz w:val="32"/>
          <w:szCs w:val="32"/>
        </w:rPr>
        <w:t>万元，占总支出预算的4.09%，与2021年的基本支出预算162.995917万元相比基本持平。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2022年项目支出预算为</w:t>
      </w:r>
      <w:r>
        <w:rPr>
          <w:rFonts w:ascii="仿宋_GB2312" w:hAnsi="仿宋_GB2312" w:eastAsia="仿宋_GB2312" w:cs="仿宋_GB2312"/>
          <w:sz w:val="32"/>
          <w:szCs w:val="32"/>
        </w:rPr>
        <w:t>3819.302269</w:t>
      </w:r>
      <w:r>
        <w:rPr>
          <w:rFonts w:hint="eastAsia" w:ascii="仿宋_GB2312" w:hAnsi="仿宋_GB2312" w:eastAsia="仿宋_GB2312" w:cs="仿宋_GB2312"/>
          <w:sz w:val="32"/>
          <w:szCs w:val="32"/>
        </w:rPr>
        <w:t>万元，与2021年项目支出预算5136.230899万元相比减少了25.64%，减少的主要原因为2021年预算中有文物项目征收资金。</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市级提前下达专项转移支付项目资金3,700万元，与2021年市级提前下达专项转移支付项目资金1,421万元相比增加了160.38%。主要原因是该项资金为文物修缮项目资金。</w:t>
      </w:r>
      <w:r>
        <w:rPr>
          <w:rFonts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rPr>
        <w:t>三、主要支出情况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部门预算主要用于：⑴文物修缮；⑵机构基本运行。</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rPr>
        <w:t>四、部门“三公”经费财政拨款预算说明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（一）“三公”经费预算单位范围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北京市西城区文物管理处2022年“三公”经费使用范围为本单位。</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（二）“三公”经费预算财政拨款情况说明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2022年“三公”经费财政拨款预算安排759.84元，与2021年“三公”经费财政拨款预算安排759.84元相比持平。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因公出国（境）费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2022年因公出国（境）费拨款预算安排0元，与2021年相比没有变化。因公出国（境）费年初不安排预算，根据当年实际情况予以追加。</w:t>
      </w:r>
    </w:p>
    <w:p>
      <w:pPr>
        <w:keepNext w:val="0"/>
        <w:keepLines w:val="0"/>
        <w:pageBreakBefore w:val="0"/>
        <w:widowControl w:val="0"/>
        <w:numPr>
          <w:numId w:val="0"/>
        </w:numPr>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公务接待费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2022年财政拨款预算安排759.84元，与2021年财政拨款预算安排759.84元基本持平。</w:t>
      </w:r>
    </w:p>
    <w:p>
      <w:pPr>
        <w:keepNext w:val="0"/>
        <w:keepLines w:val="0"/>
        <w:pageBreakBefore w:val="0"/>
        <w:widowControl w:val="0"/>
        <w:numPr>
          <w:numId w:val="0"/>
        </w:numPr>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公务用车购置及运行维护费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我单位已于2017年进行公务用车改革，故没有该项预算安排。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rPr>
        <w:t>五、其他情况说明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sz w:val="32"/>
          <w:szCs w:val="32"/>
        </w:rPr>
      </w:pPr>
      <w:r>
        <w:rPr>
          <w:rFonts w:hint="eastAsia" w:ascii="仿宋_GB2312" w:eastAsia="仿宋_GB2312"/>
          <w:sz w:val="32"/>
          <w:szCs w:val="32"/>
        </w:rPr>
        <w:t>（一）机构运行经费说明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北京市西城区文物管理处为财政补助事业单位，故无机构运行经费支出。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（二）政府采购预算说明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2022年政府采购预算总额为32.80万元，采购项目2个。全部为政府采购服务预算。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（三）政府购买服务预算说明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我单位为公益性事业单位，不涉及政府购买服务。</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 xml:space="preserve"> （四）绩效目标情况及绩效评价结果说明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2022年绩效</w:t>
      </w:r>
      <w:r>
        <w:rPr>
          <w:rFonts w:hint="eastAsia" w:ascii="仿宋_GB2312" w:eastAsia="仿宋_GB2312"/>
          <w:sz w:val="32"/>
          <w:szCs w:val="32"/>
          <w:lang w:eastAsia="zh-CN"/>
        </w:rPr>
        <w:t>跟踪</w:t>
      </w:r>
      <w:r>
        <w:rPr>
          <w:rFonts w:hint="eastAsia" w:ascii="仿宋_GB2312" w:eastAsia="仿宋_GB2312"/>
          <w:sz w:val="32"/>
          <w:szCs w:val="32"/>
        </w:rPr>
        <w:t>的预算项目1个，占全部预算项目8个总个数的12.5％。进行绩效跟踪项目支出预算为26.044万元，占全部绩效跟踪项目支出预算44.002269万元的59.19％（详见表13）。</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2022年我单位无绩效评价的预算支出项目。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（五）国有资本经营预算财政拨款情况说明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本单位2022年无国有资本经营预算财政拨款安排的预算。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（六）国有资产占有情况说明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截止2021年底，本单位固定资产总额为57.954180万元，净值为16.033964万元。其中没有单位价值50万元以上的通用设备和单位价值100万元以上的专用设备。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2022年部门预算中没有国有资产的资金安排。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rPr>
        <w:t>六、名词解释</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 xml:space="preserve">   “三公”经费财政拨款预算数：指本部门当年部门预算安排的因公出国（境）费用、公务接待费、公务用车购置和运行维护费预算数。</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482" w:firstLineChars="150"/>
        <w:rPr>
          <w:rFonts w:ascii="仿宋_GB2312" w:eastAsia="仿宋_GB2312"/>
          <w:b/>
          <w:color w:val="000000"/>
          <w:sz w:val="32"/>
          <w:szCs w:val="32"/>
        </w:rPr>
      </w:pPr>
    </w:p>
    <w:p>
      <w:pPr>
        <w:jc w:val="center"/>
        <w:rPr>
          <w:rFonts w:ascii="仿宋_GB2312" w:eastAsia="仿宋_GB2312"/>
          <w:b/>
          <w:sz w:val="32"/>
          <w:szCs w:val="32"/>
        </w:rPr>
      </w:pPr>
      <w:r>
        <w:rPr>
          <w:rFonts w:hint="eastAsia" w:ascii="仿宋_GB2312" w:eastAsia="仿宋_GB2312"/>
          <w:b/>
          <w:sz w:val="32"/>
          <w:szCs w:val="32"/>
        </w:rPr>
        <w:t>第二部分 2022年部门预算表</w:t>
      </w:r>
    </w:p>
    <w:p>
      <w:pPr>
        <w:rPr>
          <w:rFonts w:ascii="仿宋_GB2312" w:eastAsia="仿宋_GB2312"/>
          <w:b/>
          <w:sz w:val="32"/>
          <w:szCs w:val="32"/>
        </w:rPr>
      </w:pPr>
    </w:p>
    <w:p>
      <w:pPr>
        <w:autoSpaceDE w:val="0"/>
        <w:autoSpaceDN w:val="0"/>
        <w:adjustRightInd w:val="0"/>
        <w:spacing w:line="560" w:lineRule="exact"/>
        <w:ind w:firstLine="800" w:firstLineChars="25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表四、项目支出表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表五、财政拨款收支总体情况表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表六、一般公共预算支出情况表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表七、一般公共预算基本支出情况表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表八、政府性基金预算支出情况表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表九、国有资本经营预算财政拨款支出表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表十、一般公共预算“三公”经费支出情况表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表十一、政府购买服务预算表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表十二、上级转移支付细化明细表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表十三、项目支出绩效目标申报表</w:t>
      </w:r>
    </w:p>
    <w:p>
      <w:pPr>
        <w:autoSpaceDE w:val="0"/>
        <w:autoSpaceDN w:val="0"/>
        <w:adjustRightInd w:val="0"/>
        <w:spacing w:line="560" w:lineRule="exact"/>
        <w:ind w:firstLine="800" w:firstLineChars="250"/>
        <w:jc w:val="left"/>
        <w:rPr>
          <w:rFonts w:ascii="仿宋_GB2312" w:eastAsia="仿宋_GB2312"/>
          <w:sz w:val="32"/>
          <w:szCs w:val="32"/>
        </w:rPr>
      </w:pPr>
      <w:r>
        <w:rPr>
          <w:rFonts w:hint="eastAsia" w:ascii="仿宋_GB2312" w:eastAsia="仿宋_GB2312"/>
          <w:sz w:val="32"/>
          <w:szCs w:val="32"/>
        </w:rPr>
        <w:t>上述表一至表十</w:t>
      </w:r>
      <w:r>
        <w:rPr>
          <w:rFonts w:hint="eastAsia" w:ascii="仿宋_GB2312" w:eastAsia="仿宋_GB2312"/>
          <w:sz w:val="32"/>
          <w:szCs w:val="32"/>
          <w:lang w:eastAsia="zh-CN"/>
        </w:rPr>
        <w:t>三</w:t>
      </w:r>
      <w:r>
        <w:rPr>
          <w:rFonts w:hint="eastAsia" w:ascii="仿宋_GB2312" w:eastAsia="仿宋_GB2312"/>
          <w:sz w:val="32"/>
          <w:szCs w:val="32"/>
        </w:rPr>
        <w:t>详见附件表格。</w:t>
      </w:r>
    </w:p>
    <w:p>
      <w:pPr>
        <w:rPr>
          <w:rFonts w:ascii="仿宋_GB2312" w:eastAsia="仿宋_GB231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7E5"/>
    <w:rsid w:val="0002403E"/>
    <w:rsid w:val="00033629"/>
    <w:rsid w:val="00056E15"/>
    <w:rsid w:val="000665CD"/>
    <w:rsid w:val="0008215E"/>
    <w:rsid w:val="000845E1"/>
    <w:rsid w:val="000A3700"/>
    <w:rsid w:val="000B0052"/>
    <w:rsid w:val="000C591C"/>
    <w:rsid w:val="00102B61"/>
    <w:rsid w:val="00161360"/>
    <w:rsid w:val="00180FBD"/>
    <w:rsid w:val="001E125F"/>
    <w:rsid w:val="001E17E5"/>
    <w:rsid w:val="001F0C3E"/>
    <w:rsid w:val="002002D6"/>
    <w:rsid w:val="00220B09"/>
    <w:rsid w:val="00225B5C"/>
    <w:rsid w:val="0026677B"/>
    <w:rsid w:val="00266A50"/>
    <w:rsid w:val="00272A9B"/>
    <w:rsid w:val="002A3A24"/>
    <w:rsid w:val="002C6B53"/>
    <w:rsid w:val="002D5427"/>
    <w:rsid w:val="002F4C06"/>
    <w:rsid w:val="003053B0"/>
    <w:rsid w:val="003861DD"/>
    <w:rsid w:val="00390AA1"/>
    <w:rsid w:val="00396A21"/>
    <w:rsid w:val="003B09BB"/>
    <w:rsid w:val="003B6BDD"/>
    <w:rsid w:val="003C080C"/>
    <w:rsid w:val="003C25DA"/>
    <w:rsid w:val="003D14EA"/>
    <w:rsid w:val="003D6DE0"/>
    <w:rsid w:val="003D7CFD"/>
    <w:rsid w:val="004370D4"/>
    <w:rsid w:val="00445912"/>
    <w:rsid w:val="00483026"/>
    <w:rsid w:val="004B1F56"/>
    <w:rsid w:val="004F5A25"/>
    <w:rsid w:val="0055311E"/>
    <w:rsid w:val="0059350D"/>
    <w:rsid w:val="005A217D"/>
    <w:rsid w:val="006255B9"/>
    <w:rsid w:val="0063088E"/>
    <w:rsid w:val="0065419F"/>
    <w:rsid w:val="006648D5"/>
    <w:rsid w:val="006B6DED"/>
    <w:rsid w:val="006E0549"/>
    <w:rsid w:val="006E1F49"/>
    <w:rsid w:val="006F1E0A"/>
    <w:rsid w:val="006F74E9"/>
    <w:rsid w:val="006F7B17"/>
    <w:rsid w:val="007042EC"/>
    <w:rsid w:val="00712431"/>
    <w:rsid w:val="007218A6"/>
    <w:rsid w:val="007234A9"/>
    <w:rsid w:val="007264F9"/>
    <w:rsid w:val="00731101"/>
    <w:rsid w:val="00731EE7"/>
    <w:rsid w:val="0074328A"/>
    <w:rsid w:val="007623C5"/>
    <w:rsid w:val="007822C8"/>
    <w:rsid w:val="007C495D"/>
    <w:rsid w:val="007F735E"/>
    <w:rsid w:val="0087010D"/>
    <w:rsid w:val="008704A2"/>
    <w:rsid w:val="008723F5"/>
    <w:rsid w:val="00873ADF"/>
    <w:rsid w:val="008C1EC7"/>
    <w:rsid w:val="00970A86"/>
    <w:rsid w:val="009B06A0"/>
    <w:rsid w:val="009B4867"/>
    <w:rsid w:val="009E4BA2"/>
    <w:rsid w:val="00A06E2B"/>
    <w:rsid w:val="00A132A1"/>
    <w:rsid w:val="00A42673"/>
    <w:rsid w:val="00A70AEB"/>
    <w:rsid w:val="00A81841"/>
    <w:rsid w:val="00AA3B29"/>
    <w:rsid w:val="00AF1FE5"/>
    <w:rsid w:val="00B51A4B"/>
    <w:rsid w:val="00B71A4B"/>
    <w:rsid w:val="00B725A9"/>
    <w:rsid w:val="00B75A8B"/>
    <w:rsid w:val="00B76FFA"/>
    <w:rsid w:val="00B84612"/>
    <w:rsid w:val="00B97C07"/>
    <w:rsid w:val="00BA1204"/>
    <w:rsid w:val="00C05E0F"/>
    <w:rsid w:val="00C35E81"/>
    <w:rsid w:val="00C52B9C"/>
    <w:rsid w:val="00CB16E0"/>
    <w:rsid w:val="00CC5A03"/>
    <w:rsid w:val="00CF1FF7"/>
    <w:rsid w:val="00D12275"/>
    <w:rsid w:val="00DA6AAC"/>
    <w:rsid w:val="00DB665C"/>
    <w:rsid w:val="00DC1D4A"/>
    <w:rsid w:val="00DD1696"/>
    <w:rsid w:val="00DE064C"/>
    <w:rsid w:val="00DF19A3"/>
    <w:rsid w:val="00DF6B71"/>
    <w:rsid w:val="00E13877"/>
    <w:rsid w:val="00E64ADA"/>
    <w:rsid w:val="00EB19C9"/>
    <w:rsid w:val="00EE3787"/>
    <w:rsid w:val="00F2442E"/>
    <w:rsid w:val="00F25E41"/>
    <w:rsid w:val="00F32F9E"/>
    <w:rsid w:val="00F6743C"/>
    <w:rsid w:val="00F76B9C"/>
    <w:rsid w:val="00FC443F"/>
    <w:rsid w:val="00FD4357"/>
    <w:rsid w:val="00FE665D"/>
    <w:rsid w:val="00FF2DEA"/>
    <w:rsid w:val="73735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kern w:val="0"/>
      <w:sz w:val="18"/>
      <w:szCs w:val="18"/>
    </w:rPr>
  </w:style>
  <w:style w:type="paragraph" w:styleId="3">
    <w:name w:val="footer"/>
    <w:basedOn w:val="1"/>
    <w:link w:val="9"/>
    <w:unhideWhenUsed/>
    <w:uiPriority w:val="99"/>
    <w:pPr>
      <w:tabs>
        <w:tab w:val="center" w:pos="4153"/>
        <w:tab w:val="right" w:pos="8306"/>
      </w:tabs>
      <w:snapToGrid w:val="0"/>
      <w:jc w:val="left"/>
    </w:pPr>
    <w:rPr>
      <w:rFonts w:ascii="Calibri" w:hAnsi="Calibri"/>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页眉 Char"/>
    <w:link w:val="4"/>
    <w:uiPriority w:val="99"/>
    <w:rPr>
      <w:sz w:val="18"/>
      <w:szCs w:val="18"/>
    </w:rPr>
  </w:style>
  <w:style w:type="character" w:customStyle="1" w:styleId="9">
    <w:name w:val="页脚 Char"/>
    <w:link w:val="3"/>
    <w:uiPriority w:val="99"/>
    <w:rPr>
      <w:sz w:val="18"/>
      <w:szCs w:val="18"/>
    </w:rPr>
  </w:style>
  <w:style w:type="character" w:customStyle="1" w:styleId="10">
    <w:name w:val="批注框文本 Char"/>
    <w:link w:val="2"/>
    <w:semiHidden/>
    <w:qFormat/>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382</Words>
  <Characters>2183</Characters>
  <Lines>18</Lines>
  <Paragraphs>5</Paragraphs>
  <TotalTime>34</TotalTime>
  <ScaleCrop>false</ScaleCrop>
  <LinksUpToDate>false</LinksUpToDate>
  <CharactersWithSpaces>2560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2022-01-11T05:40:00Z</dcterms:created>
  <dc:creator>白杨</dc:creator>
  <cp:lastModifiedBy>Lenovo</cp:lastModifiedBy>
  <dcterms:modified xsi:type="dcterms:W3CDTF">2022-01-15T16:11:16Z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