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</w:p>
    <w:p>
      <w:pPr>
        <w:autoSpaceDE w:val="0"/>
        <w:autoSpaceDN w:val="0"/>
        <w:snapToGrid w:val="0"/>
        <w:spacing w:line="54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highlight w:val="none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sz w:val="44"/>
          <w:highlight w:val="none"/>
        </w:rPr>
        <w:t>北京市西城区</w:t>
      </w:r>
      <w:bookmarkStart w:id="1" w:name="_Hlk199164251"/>
      <w:bookmarkStart w:id="2" w:name="_Hlk199160324"/>
      <w:r>
        <w:rPr>
          <w:rFonts w:hint="eastAsia" w:ascii="方正小标宋简体" w:hAnsi="方正小标宋简体" w:eastAsia="方正小标宋简体" w:cs="方正小标宋简体"/>
          <w:sz w:val="44"/>
          <w:highlight w:val="none"/>
        </w:rPr>
        <w:t>公共阅读空间</w:t>
      </w:r>
      <w:bookmarkEnd w:id="1"/>
      <w:r>
        <w:rPr>
          <w:rFonts w:hint="eastAsia" w:ascii="方正小标宋简体" w:hAnsi="方正小标宋简体" w:eastAsia="方正小标宋简体" w:cs="方正小标宋简体"/>
          <w:sz w:val="44"/>
          <w:highlight w:val="none"/>
        </w:rPr>
        <w:t>扶持项目管理</w:t>
      </w:r>
      <w:bookmarkEnd w:id="2"/>
      <w:r>
        <w:rPr>
          <w:rFonts w:hint="eastAsia" w:ascii="方正小标宋简体" w:hAnsi="方正小标宋简体" w:eastAsia="方正小标宋简体" w:cs="方正小标宋简体"/>
          <w:sz w:val="44"/>
          <w:highlight w:val="none"/>
        </w:rPr>
        <w:t>办法</w:t>
      </w:r>
      <w:bookmarkEnd w:id="0"/>
      <w:bookmarkStart w:id="3" w:name="OLE_LINK4"/>
      <w:r>
        <w:rPr>
          <w:rFonts w:hint="eastAsia" w:ascii="方正小标宋简体" w:hAnsi="方正小标宋简体" w:eastAsia="方正小标宋简体" w:cs="方正小标宋简体"/>
          <w:sz w:val="44"/>
          <w:highlight w:val="none"/>
        </w:rPr>
        <w:t>（征求意见稿）</w:t>
      </w:r>
    </w:p>
    <w:bookmarkEnd w:id="3"/>
    <w:p>
      <w:pPr>
        <w:autoSpaceDE w:val="0"/>
        <w:autoSpaceDN w:val="0"/>
        <w:snapToGrid w:val="0"/>
        <w:spacing w:before="163"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highlight w:val="none"/>
        </w:rPr>
      </w:pPr>
    </w:p>
    <w:p>
      <w:pPr>
        <w:autoSpaceDE w:val="0"/>
        <w:autoSpaceDN w:val="0"/>
        <w:snapToGrid w:val="0"/>
        <w:spacing w:line="540" w:lineRule="exact"/>
        <w:ind w:right="0"/>
        <w:jc w:val="center"/>
        <w:rPr>
          <w:rFonts w:hint="eastAsia" w:ascii="黑体" w:hAnsi="黑体" w:eastAsia="黑体" w:cs="黑体"/>
          <w:spacing w:val="-1"/>
          <w:sz w:val="32"/>
          <w:szCs w:val="22"/>
          <w:highlight w:val="none"/>
        </w:rPr>
      </w:pPr>
      <w:r>
        <w:rPr>
          <w:rFonts w:ascii="黑体" w:hAnsi="黑体" w:eastAsia="黑体" w:cs="黑体"/>
          <w:spacing w:val="-1"/>
          <w:sz w:val="32"/>
          <w:szCs w:val="22"/>
          <w:highlight w:val="none"/>
        </w:rPr>
        <w:t>第一章 总 则</w:t>
      </w:r>
    </w:p>
    <w:p>
      <w:pPr>
        <w:keepNext w:val="0"/>
        <w:keepLines w:val="0"/>
        <w:pageBreakBefore w:val="0"/>
        <w:widowControl w:val="0"/>
        <w:shd w:val="clear" w:color="FFFFFF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12" w:beforeAutospacing="0" w:afterAutospacing="0" w:line="540" w:lineRule="exact"/>
        <w:ind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highlight w:val="none"/>
        </w:rPr>
        <w:t xml:space="preserve">第一条 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为深入推进“书香京城”建设，打造“书香西城”品牌，鼓励社会力量助力公共文化服务高质量发展，健全社会力量参与公共文化服务机制，在西城区营造良好的全民阅读氛围，依据</w:t>
      </w:r>
      <w:bookmarkStart w:id="4" w:name="OLE_LINK1"/>
      <w:r>
        <w:rPr>
          <w:rFonts w:hint="eastAsia" w:ascii="仿宋_GB2312" w:hAnsi="仿宋_GB2312" w:eastAsia="仿宋_GB2312" w:cs="仿宋_GB2312"/>
          <w:sz w:val="32"/>
          <w:highlight w:val="none"/>
        </w:rPr>
        <w:t>《北京市公共文化服务保障条例》（北京市人民代表大会常务委员会公告〔15届〕第84号</w:t>
      </w:r>
      <w:bookmarkEnd w:id="4"/>
      <w:r>
        <w:rPr>
          <w:rFonts w:hint="eastAsia" w:ascii="仿宋_GB2312" w:hAnsi="仿宋_GB2312" w:eastAsia="仿宋_GB2312" w:cs="仿宋_GB2312"/>
          <w:sz w:val="32"/>
          <w:highlight w:val="none"/>
        </w:rPr>
        <w:t>）、《北京市关于深入推进新时代书香京城建设的实施意见》（京文建发〔2022〕3号），以及《北京市西城区促进全民阅读建设“书香西城”若干意见》（西政办发〔2017〕26号）等文件精神和西城区财政资金管理的有关规定，制订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12"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highlight w:val="none"/>
        </w:rPr>
        <w:t xml:space="preserve">第二条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>扶持项目的管理</w:t>
      </w:r>
      <w:r>
        <w:rPr>
          <w:rFonts w:ascii="仿宋_GB2312" w:hAnsi="仿宋_GB2312" w:eastAsia="仿宋_GB2312" w:cs="仿宋_GB2312"/>
          <w:sz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完善公共文化服务体系，促进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优质文化资源直达基层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鼓励更多社会力量参与提供优质公共文化服务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更好满足基层群众精神文化需求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为目标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8"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扶持项目的管理主体为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西城区文化和旅游局。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8"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highlight w:val="none"/>
        </w:rPr>
        <w:t xml:space="preserve">第四条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扶持项目资金的使用和管理遵循公平公正、统筹兼顾、规范高效、突出重点、专款专用、追踪问效原则，服务于北京全国文化中心和“书香西城”建设需要。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8"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highlight w:val="none"/>
        </w:rPr>
        <w:t xml:space="preserve">第五条 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扶持项目资金来源为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西城区财政预算，由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西城区文化和旅游局及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西城区财政局共同负责扶持项目资金的统筹管理。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right="0"/>
        <w:jc w:val="center"/>
        <w:textAlignment w:val="auto"/>
        <w:rPr>
          <w:rFonts w:hint="eastAsia" w:ascii="黑体" w:hAnsi="黑体" w:eastAsia="黑体" w:cs="黑体"/>
          <w:spacing w:val="-1"/>
          <w:sz w:val="32"/>
          <w:szCs w:val="22"/>
          <w:highlight w:val="none"/>
        </w:rPr>
      </w:pPr>
      <w:r>
        <w:rPr>
          <w:rFonts w:hint="eastAsia" w:ascii="黑体" w:hAnsi="黑体" w:eastAsia="黑体" w:cs="黑体"/>
          <w:spacing w:val="-1"/>
          <w:sz w:val="32"/>
          <w:szCs w:val="22"/>
          <w:highlight w:val="none"/>
        </w:rPr>
        <w:t>第二章 扶持对象、方向及标准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8" w:line="540" w:lineRule="exact"/>
        <w:ind w:left="1" w:right="1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highlight w:val="none"/>
        </w:rPr>
        <w:t xml:space="preserve">第六条 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</w:rPr>
        <w:t>扶持对象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5" w:name="OLE_LINK7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依法取得“营业执照”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“民办非企业单位登记证书”或“社会团体法人登记证书”等合法运营资质（有出版物经营业务的需取得“出版物经营许可证”）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bookmarkStart w:id="6" w:name="_Hlk199165850"/>
      <w:bookmarkStart w:id="7" w:name="OLE_LINK8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在北京市西城区运营公共阅读空间并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西城区阅读空间考评</w:t>
      </w:r>
      <w:bookmarkEnd w:id="6"/>
      <w:bookmarkEnd w:id="7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bookmarkStart w:id="8" w:name="OLE_LINK9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挂牌“悦读湾”的运营主体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，可以申报成为扶持对象。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具有以下情形之一的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不得申报为扶持对象：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4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bookmarkStart w:id="9" w:name="OLE_LINK1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两年内存在重大违法、违规行为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4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10" w:name="OLE_LINK12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三年内存在</w:t>
      </w:r>
      <w:r>
        <w:rPr>
          <w:rFonts w:ascii="仿宋_GB2312" w:hAnsi="仿宋" w:eastAsia="仿宋_GB2312" w:cs="仿宋"/>
          <w:sz w:val="32"/>
          <w:highlight w:val="none"/>
        </w:rPr>
        <w:t>虚报、冒领</w:t>
      </w:r>
      <w:r>
        <w:rPr>
          <w:rFonts w:hint="eastAsia" w:ascii="仿宋_GB2312" w:hAnsi="仿宋" w:eastAsia="仿宋_GB2312" w:cs="仿宋"/>
          <w:sz w:val="32"/>
          <w:highlight w:val="none"/>
          <w:lang w:val="en-US" w:eastAsia="zh-CN"/>
        </w:rPr>
        <w:t>扶持项目资金</w:t>
      </w:r>
      <w:r>
        <w:rPr>
          <w:rFonts w:ascii="仿宋_GB2312" w:hAnsi="仿宋" w:eastAsia="仿宋_GB2312" w:cs="仿宋"/>
          <w:sz w:val="32"/>
          <w:highlight w:val="none"/>
        </w:rPr>
        <w:t>行为</w:t>
      </w:r>
      <w:bookmarkEnd w:id="10"/>
      <w:r>
        <w:rPr>
          <w:rFonts w:hint="eastAsia" w:ascii="仿宋_GB2312" w:hAnsi="仿宋" w:eastAsia="仿宋_GB2312" w:cs="仿宋"/>
          <w:sz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4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bookmarkStart w:id="11" w:name="OLE_LINK13"/>
      <w:r>
        <w:rPr>
          <w:rFonts w:hint="eastAsia" w:ascii="仿宋_GB2312" w:hAnsi="仿宋" w:eastAsia="仿宋_GB2312" w:cs="仿宋"/>
          <w:sz w:val="32"/>
          <w:highlight w:val="none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扶持项目时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经营异常</w:t>
      </w:r>
      <w:bookmarkEnd w:id="11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 w:cs="仿宋"/>
          <w:sz w:val="32"/>
          <w:highlight w:val="none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材料不符合事实或弄虚作假。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highlight w:val="none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扶持方向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12" w:name="OLE_LINK5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（一）深入贯彻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习近平新时代中国特色社会主义思想，传播党的理论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路线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方针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弘扬社会主义核心价值观，传承中华优秀传统文化和北京历史文化。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）符合首都功能核心区定位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支持现代公共文化服务体系建设，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满足基层群众多元文化需求，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社会效益突出。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）围绕全民阅读策划举办主题突出、内容丰富、形式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多样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、互动性强、读者认可的公益性阅读文化活动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）鼓励在阅读服务场景、服务方式等方面进行创新性探索，通过智能化手段，打造全民阅读新场景。</w:t>
      </w:r>
    </w:p>
    <w:bookmarkEnd w:id="1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highlight w:val="none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扶持标准及方式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z w:val="2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对符合扶持标准的扶持单位予以资金奖励：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（一）运营奖励。对于</w:t>
      </w:r>
      <w:bookmarkStart w:id="13" w:name="OLE_LINK11"/>
      <w:r>
        <w:rPr>
          <w:rFonts w:ascii="仿宋_GB2312" w:hAnsi="仿宋_GB2312" w:eastAsia="仿宋_GB2312" w:cs="仿宋_GB2312"/>
          <w:sz w:val="32"/>
          <w:szCs w:val="32"/>
          <w:highlight w:val="none"/>
        </w:rPr>
        <w:t>非政府免费提供场地</w:t>
      </w:r>
      <w:bookmarkEnd w:id="13"/>
      <w:r>
        <w:rPr>
          <w:rFonts w:ascii="仿宋_GB2312" w:hAnsi="仿宋_GB2312" w:eastAsia="仿宋_GB2312" w:cs="仿宋_GB2312"/>
          <w:sz w:val="32"/>
          <w:szCs w:val="32"/>
          <w:highlight w:val="none"/>
        </w:rPr>
        <w:t>的公共阅读空间，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依据考评结果给予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单家扶持对象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10万元至50万元的运营奖励。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</w:t>
      </w:r>
      <w:bookmarkStart w:id="14" w:name="OLE_LINK6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延时奖励</w:t>
      </w:r>
      <w:bookmarkEnd w:id="14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。对于周运营时间达到56小时（含），</w:t>
      </w:r>
      <w:bookmarkStart w:id="16" w:name="_GoBack"/>
      <w:bookmarkEnd w:id="16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每天连续开放超过8小时（含），且在20:00至24:00期间提供服务的扶持对象予以延时奖励，依据实际运营发生的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人工及水电费用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，按照延时时长占总运营时长的比例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计算得出的延时期间所分摊的金额给予奖励。单家扶持对象当年累计奖励金额不超过20万元（含）。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特殊贡献奖励。在全民阅读推广，公共文化服务体系建设以及“书香西城”建设中做出突出贡献，且获得荣誉的扶持对象，给予资金奖励，其中：获得国家级奖项的奖励金额为10万元/项，获得省部级奖项的奖励金额为5万元/项。</w:t>
      </w:r>
      <w:bookmarkStart w:id="15" w:name="OLE_LINK2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同一内容获得不同级别奖项时，仅对所获最高奖项给予相应奖励。</w:t>
      </w:r>
      <w:bookmarkEnd w:id="15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同一申报主体当年累计特殊贡献奖励金额不超过20万元（含）。已获得资金奖励的奖项不予重复奖励。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right="0"/>
        <w:jc w:val="center"/>
        <w:textAlignment w:val="auto"/>
        <w:rPr>
          <w:rFonts w:hint="eastAsia" w:ascii="黑体" w:hAnsi="黑体" w:eastAsia="黑体" w:cs="黑体"/>
          <w:spacing w:val="-1"/>
          <w:sz w:val="32"/>
          <w:szCs w:val="22"/>
          <w:highlight w:val="none"/>
        </w:rPr>
      </w:pPr>
      <w:r>
        <w:rPr>
          <w:rFonts w:hint="eastAsia" w:ascii="黑体" w:hAnsi="黑体" w:eastAsia="黑体" w:cs="黑体"/>
          <w:spacing w:val="-1"/>
          <w:sz w:val="32"/>
          <w:szCs w:val="22"/>
          <w:highlight w:val="none"/>
        </w:rPr>
        <w:t>第三章 扶持申报与评审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8" w:line="540" w:lineRule="exact"/>
        <w:ind w:right="1" w:firstLine="643" w:firstLineChars="200"/>
        <w:textAlignment w:val="auto"/>
        <w:rPr>
          <w:rFonts w:hint="eastAsia" w:ascii="仿宋_GB2312" w:hAnsi="仿宋" w:eastAsia="仿宋_GB2312" w:cs="仿宋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highlight w:val="none"/>
        </w:rPr>
        <w:t>第九条</w:t>
      </w:r>
      <w:r>
        <w:rPr>
          <w:rFonts w:hint="eastAsia" w:ascii="仿宋_GB2312" w:hAnsi="仿宋" w:eastAsia="仿宋_GB2312" w:cs="仿宋"/>
          <w:sz w:val="32"/>
          <w:highlight w:val="none"/>
        </w:rPr>
        <w:t xml:space="preserve"> 北京市西城区文化和旅游</w:t>
      </w:r>
      <w:r>
        <w:rPr>
          <w:rFonts w:ascii="仿宋_GB2312" w:hAnsi="仿宋" w:eastAsia="仿宋_GB2312" w:cs="仿宋"/>
          <w:sz w:val="32"/>
          <w:highlight w:val="none"/>
        </w:rPr>
        <w:t>局</w:t>
      </w:r>
      <w:r>
        <w:rPr>
          <w:rFonts w:hint="eastAsia" w:ascii="仿宋_GB2312" w:hAnsi="仿宋" w:eastAsia="仿宋_GB2312" w:cs="仿宋"/>
          <w:sz w:val="32"/>
          <w:highlight w:val="none"/>
          <w:lang w:eastAsia="zh-CN"/>
        </w:rPr>
        <w:t>统筹</w:t>
      </w:r>
      <w:r>
        <w:rPr>
          <w:rFonts w:hint="eastAsia" w:ascii="仿宋_GB2312" w:hAnsi="仿宋" w:eastAsia="仿宋_GB2312" w:cs="仿宋"/>
          <w:sz w:val="32"/>
          <w:highlight w:val="none"/>
          <w:lang w:val="en-US" w:eastAsia="zh-CN"/>
        </w:rPr>
        <w:t>扶持项目管理。北京市西城区阅读推广中心负责具体实施</w:t>
      </w:r>
      <w:r>
        <w:rPr>
          <w:rFonts w:hint="eastAsia" w:ascii="仿宋_GB2312" w:hAnsi="仿宋" w:eastAsia="仿宋_GB2312" w:cs="仿宋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40" w:lineRule="exact"/>
        <w:ind w:right="0" w:firstLine="640" w:firstLineChars="200"/>
        <w:textAlignment w:val="auto"/>
        <w:rPr>
          <w:rFonts w:hint="eastAsia" w:ascii="仿宋_GB2312" w:hAnsi="仿宋" w:eastAsia="仿宋_GB2312" w:cs="仿宋"/>
          <w:sz w:val="32"/>
          <w:highlight w:val="none"/>
        </w:rPr>
      </w:pPr>
      <w:r>
        <w:rPr>
          <w:rFonts w:hint="eastAsia" w:ascii="仿宋_GB2312" w:hAnsi="仿宋" w:eastAsia="仿宋_GB2312" w:cs="仿宋"/>
          <w:sz w:val="32"/>
          <w:highlight w:val="none"/>
        </w:rPr>
        <w:t>（一）扶持项目征集通知通过北京市西城区人民政府官方网站及“京策”平台等向社会公开发布。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40" w:lineRule="exact"/>
        <w:ind w:right="0" w:firstLine="640" w:firstLineChars="200"/>
        <w:textAlignment w:val="auto"/>
        <w:rPr>
          <w:rFonts w:hint="eastAsia" w:ascii="仿宋_GB2312" w:hAnsi="仿宋" w:eastAsia="仿宋_GB2312" w:cs="仿宋"/>
          <w:sz w:val="32"/>
          <w:highlight w:val="none"/>
        </w:rPr>
      </w:pPr>
      <w:r>
        <w:rPr>
          <w:rFonts w:hint="eastAsia" w:ascii="仿宋_GB2312" w:hAnsi="仿宋" w:eastAsia="仿宋_GB2312" w:cs="仿宋"/>
          <w:sz w:val="32"/>
          <w:highlight w:val="none"/>
        </w:rPr>
        <w:t>（二）申报单位应在规定时间内，按照征集通知要求通过</w:t>
      </w:r>
      <w:r>
        <w:rPr>
          <w:rFonts w:hint="eastAsia" w:ascii="仿宋_GB2312" w:hAnsi="仿宋" w:eastAsia="仿宋_GB2312" w:cs="仿宋"/>
          <w:sz w:val="32"/>
          <w:highlight w:val="none"/>
          <w:lang w:eastAsia="zh-CN"/>
        </w:rPr>
        <w:t>“</w:t>
      </w:r>
      <w:r>
        <w:rPr>
          <w:rFonts w:hint="eastAsia" w:ascii="仿宋_GB2312" w:hAnsi="仿宋" w:eastAsia="仿宋_GB2312" w:cs="仿宋"/>
          <w:sz w:val="32"/>
          <w:highlight w:val="none"/>
        </w:rPr>
        <w:t>京策</w:t>
      </w:r>
      <w:r>
        <w:rPr>
          <w:rFonts w:hint="eastAsia" w:ascii="仿宋_GB2312" w:hAnsi="仿宋" w:eastAsia="仿宋_GB2312" w:cs="仿宋"/>
          <w:sz w:val="32"/>
          <w:highlight w:val="none"/>
          <w:lang w:eastAsia="zh-CN"/>
        </w:rPr>
        <w:t>”</w:t>
      </w:r>
      <w:r>
        <w:rPr>
          <w:rFonts w:hint="eastAsia" w:ascii="仿宋_GB2312" w:hAnsi="仿宋" w:eastAsia="仿宋_GB2312" w:cs="仿宋"/>
          <w:sz w:val="32"/>
          <w:highlight w:val="none"/>
        </w:rPr>
        <w:t>平台提交申报资料。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right="0" w:firstLine="640" w:firstLineChars="200"/>
        <w:textAlignment w:val="auto"/>
        <w:rPr>
          <w:rFonts w:hint="eastAsia" w:ascii="仿宋_GB2312" w:hAnsi="仿宋" w:eastAsia="仿宋_GB2312" w:cs="仿宋"/>
          <w:sz w:val="32"/>
          <w:highlight w:val="none"/>
        </w:rPr>
      </w:pPr>
      <w:r>
        <w:rPr>
          <w:rFonts w:hint="eastAsia" w:ascii="仿宋_GB2312" w:hAnsi="仿宋" w:eastAsia="仿宋_GB2312" w:cs="仿宋"/>
          <w:sz w:val="32"/>
          <w:highlight w:val="none"/>
        </w:rPr>
        <w:t>（三）扶持项目评审结果经北京市西城区人民政府批准后，</w:t>
      </w:r>
      <w:r>
        <w:rPr>
          <w:rFonts w:hint="eastAsia" w:ascii="仿宋_GB2312" w:hAnsi="仿宋" w:eastAsia="仿宋_GB2312" w:cs="仿宋"/>
          <w:spacing w:val="0"/>
          <w:sz w:val="32"/>
          <w:highlight w:val="none"/>
        </w:rPr>
        <w:t>在西城区人民政</w:t>
      </w:r>
      <w:r>
        <w:rPr>
          <w:rFonts w:hint="eastAsia" w:ascii="仿宋_GB2312" w:hAnsi="仿宋" w:eastAsia="仿宋_GB2312" w:cs="仿宋"/>
          <w:sz w:val="32"/>
          <w:highlight w:val="none"/>
        </w:rPr>
        <w:t>府</w:t>
      </w:r>
      <w:r>
        <w:rPr>
          <w:rFonts w:hint="eastAsia" w:ascii="仿宋_GB2312" w:hAnsi="仿宋" w:eastAsia="仿宋_GB2312" w:cs="仿宋"/>
          <w:spacing w:val="0"/>
          <w:sz w:val="32"/>
          <w:highlight w:val="none"/>
        </w:rPr>
        <w:t>官方网站予以公</w:t>
      </w:r>
      <w:r>
        <w:rPr>
          <w:rFonts w:hint="eastAsia" w:ascii="仿宋_GB2312" w:hAnsi="仿宋" w:eastAsia="仿宋_GB2312" w:cs="仿宋"/>
          <w:sz w:val="32"/>
          <w:highlight w:val="none"/>
        </w:rPr>
        <w:t>示</w:t>
      </w:r>
      <w:r>
        <w:rPr>
          <w:rFonts w:hint="eastAsia" w:ascii="仿宋_GB2312" w:hAnsi="仿宋" w:eastAsia="仿宋_GB2312" w:cs="仿宋"/>
          <w:spacing w:val="0"/>
          <w:sz w:val="32"/>
          <w:highlight w:val="none"/>
        </w:rPr>
        <w:t>，</w:t>
      </w:r>
      <w:r>
        <w:rPr>
          <w:rFonts w:hint="eastAsia" w:ascii="仿宋_GB2312" w:hAnsi="仿宋" w:eastAsia="仿宋_GB2312" w:cs="仿宋"/>
          <w:sz w:val="32"/>
          <w:highlight w:val="none"/>
        </w:rPr>
        <w:t>公示期不少于五个工作日（含）。公示期内有异议的</w:t>
      </w:r>
      <w:r>
        <w:rPr>
          <w:rFonts w:hint="eastAsia" w:ascii="仿宋_GB2312" w:hAnsi="仿宋" w:eastAsia="仿宋_GB2312" w:cs="仿宋"/>
          <w:spacing w:val="0"/>
          <w:sz w:val="32"/>
          <w:highlight w:val="none"/>
        </w:rPr>
        <w:t>，</w:t>
      </w:r>
      <w:r>
        <w:rPr>
          <w:rFonts w:hint="eastAsia" w:ascii="仿宋_GB2312" w:hAnsi="仿宋" w:eastAsia="仿宋_GB2312" w:cs="仿宋"/>
          <w:sz w:val="32"/>
          <w:highlight w:val="none"/>
        </w:rPr>
        <w:t>异议方可提出书面复查意见</w:t>
      </w:r>
      <w:r>
        <w:rPr>
          <w:rFonts w:hint="eastAsia" w:ascii="仿宋_GB2312" w:hAnsi="仿宋" w:eastAsia="仿宋_GB2312" w:cs="仿宋"/>
          <w:spacing w:val="0"/>
          <w:sz w:val="32"/>
          <w:highlight w:val="none"/>
        </w:rPr>
        <w:t>，</w:t>
      </w:r>
      <w:r>
        <w:rPr>
          <w:rFonts w:hint="eastAsia" w:ascii="仿宋_GB2312" w:hAnsi="仿宋" w:eastAsia="仿宋_GB2312" w:cs="仿宋"/>
          <w:sz w:val="32"/>
          <w:highlight w:val="none"/>
        </w:rPr>
        <w:t>如在公示期内无异议或者</w:t>
      </w:r>
      <w:r>
        <w:rPr>
          <w:rFonts w:hint="eastAsia" w:ascii="仿宋_GB2312" w:hAnsi="仿宋" w:eastAsia="仿宋_GB2312" w:cs="仿宋"/>
          <w:spacing w:val="0"/>
          <w:sz w:val="32"/>
          <w:highlight w:val="none"/>
        </w:rPr>
        <w:t>异议经复查不成</w:t>
      </w:r>
      <w:r>
        <w:rPr>
          <w:rFonts w:hint="eastAsia" w:ascii="仿宋_GB2312" w:hAnsi="仿宋" w:eastAsia="仿宋_GB2312" w:cs="仿宋"/>
          <w:sz w:val="32"/>
          <w:highlight w:val="none"/>
        </w:rPr>
        <w:t>立的</w:t>
      </w:r>
      <w:r>
        <w:rPr>
          <w:rFonts w:hint="eastAsia" w:ascii="仿宋_GB2312" w:hAnsi="仿宋" w:eastAsia="仿宋_GB2312" w:cs="仿宋"/>
          <w:spacing w:val="0"/>
          <w:sz w:val="32"/>
          <w:highlight w:val="none"/>
        </w:rPr>
        <w:t>，</w:t>
      </w:r>
      <w:r>
        <w:rPr>
          <w:rFonts w:hint="eastAsia" w:ascii="仿宋_GB2312" w:hAnsi="仿宋" w:eastAsia="仿宋_GB2312" w:cs="仿宋"/>
          <w:sz w:val="32"/>
          <w:highlight w:val="none"/>
        </w:rPr>
        <w:t>公示期满，履行资金拨付程序。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firstLine="640" w:firstLineChars="200"/>
        <w:textAlignment w:val="auto"/>
        <w:rPr>
          <w:highlight w:val="none"/>
        </w:rPr>
      </w:pPr>
      <w:r>
        <w:rPr>
          <w:rFonts w:hint="eastAsia" w:ascii="仿宋_GB2312" w:hAnsi="仿宋" w:eastAsia="仿宋_GB2312" w:cs="仿宋"/>
          <w:spacing w:val="0"/>
          <w:sz w:val="32"/>
          <w:szCs w:val="32"/>
          <w:highlight w:val="none"/>
        </w:rPr>
        <w:t>（四）享受扶持项目资金支持的单位原则上不再享受西城区其他扶持资金。同时满足多项区级扶持条件的，按照“从高、从优、不重复”的原则予以支持。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right="0"/>
        <w:jc w:val="center"/>
        <w:textAlignment w:val="auto"/>
        <w:rPr>
          <w:rFonts w:hint="eastAsia" w:ascii="黑体" w:hAnsi="黑体" w:eastAsia="黑体" w:cs="黑体"/>
          <w:spacing w:val="-1"/>
          <w:sz w:val="32"/>
          <w:szCs w:val="22"/>
          <w:highlight w:val="none"/>
        </w:rPr>
      </w:pPr>
      <w:r>
        <w:rPr>
          <w:rFonts w:hint="eastAsia" w:ascii="黑体" w:hAnsi="黑体" w:eastAsia="黑体" w:cs="黑体"/>
          <w:spacing w:val="-1"/>
          <w:sz w:val="32"/>
          <w:szCs w:val="22"/>
          <w:highlight w:val="none"/>
        </w:rPr>
        <w:t>第四章 监督与管理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8" w:line="540" w:lineRule="exact"/>
        <w:ind w:right="1" w:firstLine="643" w:firstLineChars="200"/>
        <w:jc w:val="both"/>
        <w:textAlignment w:val="auto"/>
        <w:rPr>
          <w:rFonts w:hint="eastAsia" w:ascii="仿宋_GB2312" w:hAnsi="仿宋" w:eastAsia="仿宋_GB2312" w:cs="仿宋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highlight w:val="none"/>
        </w:rPr>
        <w:t>第十条</w:t>
      </w:r>
      <w:r>
        <w:rPr>
          <w:rFonts w:hint="eastAsia" w:ascii="仿宋_GB2312" w:hAnsi="仿宋" w:eastAsia="仿宋_GB2312" w:cs="仿宋"/>
          <w:sz w:val="32"/>
          <w:highlight w:val="none"/>
        </w:rPr>
        <w:t xml:space="preserve"> </w:t>
      </w:r>
      <w:r>
        <w:rPr>
          <w:rFonts w:hint="eastAsia" w:ascii="仿宋_GB2312" w:hAnsi="仿宋" w:eastAsia="仿宋_GB2312" w:cs="仿宋"/>
          <w:sz w:val="32"/>
          <w:highlight w:val="none"/>
          <w:lang w:val="en-US" w:eastAsia="zh-CN"/>
        </w:rPr>
        <w:t>北京市西城区阅读推广中心负责扶持项目日常监督管理。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8" w:line="540" w:lineRule="exact"/>
        <w:ind w:left="0" w:right="1" w:firstLine="643" w:firstLineChars="200"/>
        <w:textAlignment w:val="auto"/>
        <w:rPr>
          <w:rFonts w:hint="eastAsia" w:ascii="仿宋_GB2312" w:hAnsi="仿宋" w:eastAsia="仿宋_GB2312" w:cs="仿宋"/>
          <w:sz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highlight w:val="none"/>
        </w:rPr>
        <w:t>第十一条</w:t>
      </w:r>
      <w:r>
        <w:rPr>
          <w:rFonts w:hint="eastAsia" w:ascii="仿宋_GB2312" w:hAnsi="仿宋" w:eastAsia="仿宋_GB2312" w:cs="仿宋"/>
          <w:sz w:val="32"/>
          <w:highlight w:val="none"/>
        </w:rPr>
        <w:t xml:space="preserve"> </w:t>
      </w:r>
      <w:r>
        <w:rPr>
          <w:rFonts w:ascii="仿宋_GB2312" w:hAnsi="仿宋" w:eastAsia="仿宋_GB2312" w:cs="仿宋"/>
          <w:sz w:val="32"/>
          <w:highlight w:val="none"/>
        </w:rPr>
        <w:t>扶持项目申报单位应配合行政主管部门及财政、审计、监察等部门的监督检查</w:t>
      </w:r>
      <w:r>
        <w:rPr>
          <w:rFonts w:hint="eastAsia" w:ascii="仿宋_GB2312" w:hAnsi="仿宋" w:eastAsia="仿宋_GB2312" w:cs="仿宋"/>
          <w:sz w:val="32"/>
          <w:highlight w:val="none"/>
        </w:rPr>
        <w:t>。</w:t>
      </w:r>
      <w:r>
        <w:rPr>
          <w:rFonts w:ascii="仿宋_GB2312" w:hAnsi="仿宋" w:eastAsia="仿宋_GB2312" w:cs="仿宋"/>
          <w:sz w:val="32"/>
          <w:highlight w:val="none"/>
        </w:rPr>
        <w:t>获得扶持项目资金的单位</w:t>
      </w:r>
      <w:r>
        <w:rPr>
          <w:rFonts w:hint="eastAsia" w:ascii="仿宋_GB2312" w:hAnsi="仿宋" w:eastAsia="仿宋_GB2312" w:cs="仿宋"/>
          <w:sz w:val="32"/>
          <w:highlight w:val="none"/>
        </w:rPr>
        <w:t>应遵守国家财政、财务制度和财</w:t>
      </w:r>
      <w:r>
        <w:rPr>
          <w:rFonts w:hint="eastAsia" w:ascii="仿宋_GB2312" w:hAnsi="仿宋" w:eastAsia="仿宋_GB2312" w:cs="仿宋"/>
          <w:spacing w:val="0"/>
          <w:sz w:val="32"/>
          <w:highlight w:val="none"/>
        </w:rPr>
        <w:t>经纪律，加强资金使用管理</w:t>
      </w:r>
      <w:r>
        <w:rPr>
          <w:rFonts w:ascii="仿宋_GB2312" w:hAnsi="仿宋" w:eastAsia="仿宋_GB2312" w:cs="仿宋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right="0"/>
        <w:jc w:val="center"/>
        <w:textAlignment w:val="auto"/>
        <w:rPr>
          <w:rFonts w:hint="eastAsia" w:ascii="黑体" w:hAnsi="黑体" w:eastAsia="黑体" w:cs="黑体"/>
          <w:spacing w:val="-1"/>
          <w:sz w:val="32"/>
          <w:szCs w:val="22"/>
          <w:highlight w:val="none"/>
        </w:rPr>
      </w:pPr>
      <w:r>
        <w:rPr>
          <w:rFonts w:hint="eastAsia" w:ascii="黑体" w:hAnsi="黑体" w:eastAsia="黑体" w:cs="黑体"/>
          <w:spacing w:val="-1"/>
          <w:sz w:val="32"/>
          <w:szCs w:val="22"/>
          <w:highlight w:val="none"/>
        </w:rPr>
        <w:t>第五章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8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-4"/>
          <w:sz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本办法实施期间如遇国家和北京市相关政策</w:t>
      </w:r>
      <w:r>
        <w:rPr>
          <w:rFonts w:hint="eastAsia" w:ascii="仿宋_GB2312" w:hAnsi="仿宋_GB2312" w:eastAsia="仿宋_GB2312" w:cs="仿宋_GB2312"/>
          <w:spacing w:val="-8"/>
          <w:sz w:val="32"/>
          <w:highlight w:val="none"/>
        </w:rPr>
        <w:t>调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整，则按照调整后的相关政策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修订并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1" w:firstLine="641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-1"/>
          <w:sz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本办法由北京市西城区文化和旅游局负责解释。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1" w:firstLine="641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highlight w:val="none"/>
        </w:rPr>
        <w:t>本办法自发布之日起施行，有效期五年，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2022年9月6日发布的</w:t>
      </w:r>
      <w:r>
        <w:rPr>
          <w:rFonts w:hint="eastAsia" w:ascii="仿宋_GB2312" w:hAnsi="仿宋_GB2312" w:eastAsia="仿宋_GB2312" w:cs="仿宋_GB2312"/>
          <w:spacing w:val="-1"/>
          <w:sz w:val="32"/>
          <w:highlight w:val="none"/>
        </w:rPr>
        <w:t>《北京市西城区实体书店、阅读空间扶持项目暂行管理办法》（西文旅发〔2022〕7号）同时废止。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913226"/>
    <w:multiLevelType w:val="singleLevel"/>
    <w:tmpl w:val="C891322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0"/>
    <w:multiLevelType w:val="singleLevel"/>
    <w:tmpl w:val="00000000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B6211"/>
    <w:rsid w:val="13E046C4"/>
    <w:rsid w:val="16A50B32"/>
    <w:rsid w:val="1DC06743"/>
    <w:rsid w:val="1E320F90"/>
    <w:rsid w:val="212E20C3"/>
    <w:rsid w:val="283F52F3"/>
    <w:rsid w:val="340F5ED4"/>
    <w:rsid w:val="3BD62B20"/>
    <w:rsid w:val="46127A3E"/>
    <w:rsid w:val="465700F4"/>
    <w:rsid w:val="494F3CF3"/>
    <w:rsid w:val="49A57335"/>
    <w:rsid w:val="541F08D5"/>
    <w:rsid w:val="5DC2337B"/>
    <w:rsid w:val="6BD66D29"/>
    <w:rsid w:val="713247D8"/>
    <w:rsid w:val="7226005C"/>
    <w:rsid w:val="77E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Autospacing="1" w:after="0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5">
    <w:name w:val="table of authorities"/>
    <w:basedOn w:val="1"/>
    <w:next w:val="1"/>
    <w:qFormat/>
    <w:uiPriority w:val="99"/>
    <w:pPr>
      <w:spacing w:line="360" w:lineRule="auto"/>
      <w:ind w:left="420"/>
    </w:pPr>
  </w:style>
  <w:style w:type="paragraph" w:styleId="6">
    <w:name w:val="annotation text"/>
    <w:basedOn w:val="1"/>
    <w:link w:val="16"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99"/>
    <w:pPr>
      <w:spacing w:after="140" w:line="276" w:lineRule="auto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annotation subject"/>
    <w:basedOn w:val="6"/>
    <w:next w:val="6"/>
    <w:link w:val="17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Revision"/>
    <w:qFormat/>
    <w:uiPriority w:val="99"/>
    <w:pPr>
      <w:spacing w:after="0" w:line="240" w:lineRule="auto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6">
    <w:name w:val="批注文字 字符"/>
    <w:basedOn w:val="12"/>
    <w:link w:val="6"/>
    <w:qFormat/>
    <w:uiPriority w:val="0"/>
    <w:rPr>
      <w:kern w:val="2"/>
      <w:sz w:val="21"/>
    </w:rPr>
  </w:style>
  <w:style w:type="character" w:customStyle="1" w:styleId="17">
    <w:name w:val="批注主题 字符"/>
    <w:basedOn w:val="16"/>
    <w:link w:val="10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7da234-38e6-4092-8f5c-447350835b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1985</Words>
  <Characters>2014</Characters>
  <Paragraphs>64</Paragraphs>
  <TotalTime>8</TotalTime>
  <ScaleCrop>false</ScaleCrop>
  <LinksUpToDate>false</LinksUpToDate>
  <CharactersWithSpaces>2035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2025-04-28T05:47:00Z</dcterms:created>
  <dc:creator>admin</dc:creator>
  <cp:lastModifiedBy>admin</cp:lastModifiedBy>
  <cp:lastPrinted>2025-05-29T02:01:00Z</cp:lastPrinted>
  <dcterms:modified xsi:type="dcterms:W3CDTF">2025-05-29T06:46:29Z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E454775A6A2646B38D727DDE8E3EC0CA_13</vt:lpwstr>
  </property>
  <property fmtid="{D5CDD505-2E9C-101B-9397-08002B2CF9AE}" pid="4" name="KSOTemplateDocerSaveRecord">
    <vt:lpwstr>eyJoZGlkIjoiMDBjY2I5ZjJjOWQ5MWFiNTA0NDdiNGI5YTQ1OTkzZjYiLCJ1c2VySWQiOiIzODQyNDc4MDgifQ==</vt:lpwstr>
  </property>
</Properties>
</file>